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BB5519" w:rsidTr="00B909F2">
        <w:trPr>
          <w:trHeight w:val="4063"/>
        </w:trPr>
        <w:tc>
          <w:tcPr>
            <w:tcW w:w="5951" w:type="dxa"/>
            <w:tcBorders>
              <w:bottom w:val="single" w:sz="18" w:space="0" w:color="808080"/>
              <w:right w:val="single" w:sz="18" w:space="0" w:color="808080"/>
            </w:tcBorders>
            <w:vAlign w:val="center"/>
          </w:tcPr>
          <w:p w:rsidR="00FF3825" w:rsidRPr="00BB5519" w:rsidRDefault="00FF3825" w:rsidP="00B038A8">
            <w:pPr>
              <w:pStyle w:val="Title"/>
              <w:tabs>
                <w:tab w:val="left" w:pos="1875"/>
              </w:tabs>
              <w:ind w:hanging="387"/>
              <w:rPr>
                <w:rFonts w:cs="Tahoma"/>
                <w:b w:val="0"/>
                <w:sz w:val="76"/>
                <w:szCs w:val="76"/>
                <w:lang w:val="de-DE"/>
              </w:rPr>
            </w:pPr>
            <w:bookmarkStart w:id="0" w:name="_Toc348455837"/>
            <w:bookmarkStart w:id="1" w:name="_Toc354054533"/>
            <w:r w:rsidRPr="00BB5519">
              <w:rPr>
                <w:rFonts w:cs="Tahoma"/>
                <w:b w:val="0"/>
                <w:sz w:val="76"/>
                <w:szCs w:val="76"/>
                <w:lang w:val="de-DE"/>
              </w:rPr>
              <w:t>Microsoft</w:t>
            </w:r>
            <w:r w:rsidRPr="00BB5519">
              <w:rPr>
                <w:rFonts w:cs="Tahoma"/>
                <w:b w:val="0"/>
                <w:sz w:val="76"/>
                <w:szCs w:val="76"/>
                <w:vertAlign w:val="superscript"/>
                <w:lang w:val="de-DE"/>
              </w:rPr>
              <w:t>®</w:t>
            </w:r>
            <w:bookmarkEnd w:id="0"/>
            <w:bookmarkEnd w:id="1"/>
          </w:p>
          <w:p w:rsidR="00023FE7" w:rsidRPr="00BB5519" w:rsidRDefault="00FF3825" w:rsidP="00A5211D">
            <w:pPr>
              <w:pStyle w:val="NoSpacing1"/>
              <w:ind w:left="540" w:right="668" w:firstLine="270"/>
              <w:jc w:val="right"/>
              <w:rPr>
                <w:rFonts w:ascii="Cambria" w:hAnsi="Cambria" w:cs="Calibri"/>
                <w:sz w:val="76"/>
                <w:szCs w:val="72"/>
              </w:rPr>
            </w:pPr>
            <w:r w:rsidRPr="00BB5519">
              <w:rPr>
                <w:rFonts w:ascii="Cambria" w:hAnsi="Cambria" w:cs="Tahoma"/>
                <w:sz w:val="76"/>
                <w:szCs w:val="76"/>
              </w:rPr>
              <w:t>Produktliste</w:t>
            </w:r>
          </w:p>
        </w:tc>
        <w:tc>
          <w:tcPr>
            <w:tcW w:w="4615" w:type="dxa"/>
            <w:tcBorders>
              <w:left w:val="single" w:sz="18" w:space="0" w:color="808080"/>
              <w:bottom w:val="single" w:sz="18" w:space="0" w:color="808080"/>
            </w:tcBorders>
            <w:vAlign w:val="center"/>
          </w:tcPr>
          <w:p w:rsidR="00FF3825" w:rsidRPr="00BB5519" w:rsidRDefault="00FF3825" w:rsidP="00FF3825">
            <w:pPr>
              <w:pStyle w:val="NoSpacing1"/>
              <w:ind w:right="-1797"/>
              <w:rPr>
                <w:rFonts w:ascii="Tahoma" w:hAnsi="Tahoma" w:cs="Tahoma"/>
                <w:sz w:val="72"/>
                <w:szCs w:val="72"/>
              </w:rPr>
            </w:pPr>
          </w:p>
          <w:p w:rsidR="00023FE7" w:rsidRPr="00EC2A0D" w:rsidRDefault="00290FC1">
            <w:pPr>
              <w:pStyle w:val="NoSpacing1"/>
              <w:ind w:right="-1797"/>
              <w:rPr>
                <w:rFonts w:ascii="Tahoma" w:hAnsi="Tahoma" w:cs="Tahoma"/>
                <w:sz w:val="72"/>
                <w:szCs w:val="72"/>
              </w:rPr>
            </w:pPr>
            <w:r w:rsidRPr="00BB5519">
              <w:rPr>
                <w:rFonts w:ascii="Tahoma" w:hAnsi="Tahoma" w:cs="Tahoma"/>
                <w:sz w:val="72"/>
                <w:szCs w:val="72"/>
              </w:rPr>
              <w:t>1. Mai</w:t>
            </w:r>
          </w:p>
          <w:p w:rsidR="00023FE7" w:rsidRPr="00BB5519" w:rsidRDefault="0077167D" w:rsidP="00A04495">
            <w:pPr>
              <w:pStyle w:val="NoSpacing1"/>
              <w:ind w:rightChars="-103" w:right="-185"/>
              <w:rPr>
                <w:rFonts w:ascii="Tahoma" w:hAnsi="Tahoma" w:cs="Tahoma"/>
                <w:color w:val="4F81BD"/>
                <w:sz w:val="200"/>
                <w:szCs w:val="200"/>
              </w:rPr>
            </w:pPr>
            <w:r w:rsidRPr="00BB5519">
              <w:rPr>
                <w:rFonts w:ascii="Tahoma" w:hAnsi="Tahoma" w:cs="Tahoma"/>
                <w:color w:val="4F81BD"/>
                <w:sz w:val="180"/>
                <w:szCs w:val="200"/>
              </w:rPr>
              <w:t>2013</w:t>
            </w:r>
          </w:p>
        </w:tc>
      </w:tr>
      <w:tr w:rsidR="00023FE7" w:rsidRPr="006F21F8" w:rsidTr="00B909F2">
        <w:trPr>
          <w:trHeight w:val="412"/>
        </w:trPr>
        <w:tc>
          <w:tcPr>
            <w:tcW w:w="5951" w:type="dxa"/>
            <w:tcBorders>
              <w:top w:val="single" w:sz="18" w:space="0" w:color="808080"/>
            </w:tcBorders>
            <w:vAlign w:val="center"/>
          </w:tcPr>
          <w:p w:rsidR="00023FE7" w:rsidRPr="00BB5519" w:rsidRDefault="00023FE7" w:rsidP="00A04495">
            <w:pPr>
              <w:pStyle w:val="NoSpacing1"/>
              <w:ind w:leftChars="122" w:left="220" w:firstLine="2"/>
              <w:rPr>
                <w:rFonts w:ascii="Tahoma" w:hAnsi="Tahoma" w:cs="Tahoma"/>
                <w:sz w:val="22"/>
                <w:szCs w:val="22"/>
                <w:lang w:val="de-DE"/>
              </w:rPr>
            </w:pPr>
            <w:r w:rsidRPr="00BB5519">
              <w:rPr>
                <w:rFonts w:ascii="Tahoma" w:hAnsi="Tahoma" w:cs="Tahoma"/>
                <w:szCs w:val="22"/>
                <w:lang w:val="de-DE"/>
              </w:rPr>
              <w:t>Die Microsoft-Produktliste informiert Sie monatlich über Microsoft-Software und -Onlinedienste, die im Rahmen von Microsoft-Volumenlizenzprogrammen lizenziert werden.</w:t>
            </w:r>
          </w:p>
        </w:tc>
        <w:tc>
          <w:tcPr>
            <w:tcW w:w="4615" w:type="dxa"/>
            <w:tcBorders>
              <w:top w:val="single" w:sz="18" w:space="0" w:color="808080"/>
            </w:tcBorders>
            <w:vAlign w:val="center"/>
          </w:tcPr>
          <w:p w:rsidR="00023FE7" w:rsidRPr="00BB5519" w:rsidRDefault="00023FE7" w:rsidP="00A04495">
            <w:pPr>
              <w:pStyle w:val="NoSpacing1"/>
              <w:ind w:rightChars="-15" w:right="-27"/>
              <w:rPr>
                <w:rFonts w:ascii="Tahoma" w:hAnsi="Tahoma" w:cs="Tahoma"/>
                <w:sz w:val="32"/>
                <w:szCs w:val="32"/>
                <w:lang w:val="de-DE"/>
              </w:rPr>
            </w:pPr>
          </w:p>
        </w:tc>
      </w:tr>
    </w:tbl>
    <w:p w:rsidR="00023FE7" w:rsidRPr="00BB5519" w:rsidRDefault="00023FE7" w:rsidP="00B0065F">
      <w:pPr>
        <w:pStyle w:val="Heading1"/>
        <w:rPr>
          <w:lang w:val="de-DE"/>
        </w:rPr>
        <w:sectPr w:rsidR="00023FE7" w:rsidRPr="00BB5519"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621662" w:rsidRDefault="00023FE7" w:rsidP="00B0065F">
      <w:pPr>
        <w:pStyle w:val="Heading1"/>
        <w:rPr>
          <w:lang w:val="de-DE"/>
        </w:rPr>
      </w:pPr>
      <w:bookmarkStart w:id="2" w:name="_Toc336337838"/>
      <w:bookmarkStart w:id="3" w:name="_Toc354054534"/>
      <w:r w:rsidRPr="00621662">
        <w:rPr>
          <w:lang w:val="de-DE"/>
        </w:rPr>
        <w:lastRenderedPageBreak/>
        <w:t>ÜBER DIESES DOKUMENT</w:t>
      </w:r>
      <w:bookmarkEnd w:id="2"/>
      <w:bookmarkEnd w:id="3"/>
    </w:p>
    <w:p w:rsidR="00023FE7" w:rsidRPr="00BB5519" w:rsidRDefault="00023FE7">
      <w:pPr>
        <w:pStyle w:val="Body"/>
        <w:ind w:right="720"/>
        <w:rPr>
          <w:lang w:val="de-DE"/>
        </w:rPr>
      </w:pPr>
    </w:p>
    <w:p w:rsidR="00023FE7" w:rsidRPr="00BB5519" w:rsidRDefault="00023FE7" w:rsidP="006C5DCD">
      <w:pPr>
        <w:pStyle w:val="Body"/>
        <w:ind w:right="720"/>
        <w:rPr>
          <w:lang w:val="de-DE"/>
        </w:rPr>
      </w:pPr>
      <w:r w:rsidRPr="00BB5519">
        <w:rPr>
          <w:rFonts w:ascii="Tahoma" w:hAnsi="Tahoma" w:cs="Tahoma"/>
          <w:sz w:val="18"/>
          <w:szCs w:val="18"/>
          <w:lang w:val="de-DE"/>
        </w:rPr>
        <w:t>Die Microsoft-Produktliste informiert Sie monatlich über Microsoft-Software und -Onlinedienste, die</w:t>
      </w:r>
      <w:r w:rsidR="006C5DCD" w:rsidRPr="00BB5519">
        <w:rPr>
          <w:rFonts w:ascii="Tahoma" w:hAnsi="Tahoma" w:cs="Tahoma"/>
          <w:sz w:val="18"/>
          <w:szCs w:val="18"/>
          <w:lang w:val="de-DE"/>
        </w:rPr>
        <w:t> </w:t>
      </w:r>
      <w:r w:rsidRPr="00BB5519">
        <w:rPr>
          <w:rFonts w:ascii="Tahoma" w:hAnsi="Tahoma" w:cs="Tahoma"/>
          <w:sz w:val="18"/>
          <w:szCs w:val="18"/>
          <w:lang w:val="de-DE"/>
        </w:rPr>
        <w:t>im Rahmen von Microsoft-Volumenlizenzprogrammen lizenziert werden. In der Microsoft-Produktliste wird unter anderem Folgendes beschrieben:</w:t>
      </w:r>
    </w:p>
    <w:p w:rsidR="00023FE7" w:rsidRPr="00BB5519" w:rsidRDefault="00023FE7">
      <w:pPr>
        <w:pStyle w:val="Body"/>
        <w:ind w:right="720"/>
        <w:rPr>
          <w:lang w:val="de-DE"/>
        </w:rPr>
      </w:pPr>
    </w:p>
    <w:p w:rsidR="00023FE7" w:rsidRPr="00BB5519" w:rsidRDefault="00023FE7" w:rsidP="00176438">
      <w:pPr>
        <w:pStyle w:val="BulletedList"/>
        <w:ind w:right="270"/>
        <w:rPr>
          <w:lang w:val="de-DE"/>
        </w:rPr>
      </w:pPr>
      <w:r w:rsidRPr="00BB5519">
        <w:rPr>
          <w:rFonts w:ascii="Tahoma" w:hAnsi="Tahoma" w:cs="Tahoma"/>
          <w:sz w:val="18"/>
          <w:szCs w:val="18"/>
          <w:lang w:val="de-DE"/>
        </w:rPr>
        <w:t>Verfügbarkeit neuer Software und Produkte, die im Rahmen von Microsoft-Volumenlizenzprogrammen angeboten werden</w:t>
      </w:r>
    </w:p>
    <w:p w:rsidR="00023FE7" w:rsidRPr="00BB5519" w:rsidRDefault="00023FE7" w:rsidP="00176438">
      <w:pPr>
        <w:pStyle w:val="BulletedList"/>
        <w:numPr>
          <w:ilvl w:val="0"/>
          <w:numId w:val="16"/>
        </w:numPr>
        <w:ind w:right="360"/>
        <w:rPr>
          <w:lang w:val="de-DE"/>
        </w:rPr>
      </w:pPr>
      <w:r w:rsidRPr="00BB5519">
        <w:rPr>
          <w:rFonts w:ascii="Tahoma" w:hAnsi="Tahoma" w:cs="Tahoma"/>
          <w:sz w:val="18"/>
          <w:szCs w:val="18"/>
          <w:lang w:val="de-DE"/>
        </w:rPr>
        <w:t>Wegfall von Software und Produkten, die im Rahmen von Microsoft-Volumenlizenzprogrammen angeboten wurden</w:t>
      </w:r>
    </w:p>
    <w:p w:rsidR="00023FE7" w:rsidRPr="00BB5519" w:rsidRDefault="00023FE7" w:rsidP="00176438">
      <w:pPr>
        <w:pStyle w:val="BulletedList"/>
        <w:numPr>
          <w:ilvl w:val="0"/>
          <w:numId w:val="16"/>
        </w:numPr>
        <w:ind w:right="90"/>
        <w:rPr>
          <w:lang w:val="de-DE"/>
        </w:rPr>
      </w:pPr>
      <w:r w:rsidRPr="00BB5519">
        <w:rPr>
          <w:rFonts w:ascii="Tahoma" w:hAnsi="Tahoma" w:cs="Tahoma"/>
          <w:sz w:val="18"/>
          <w:szCs w:val="18"/>
          <w:lang w:val="de-DE"/>
        </w:rPr>
        <w:t xml:space="preserve">Software- und Produktzuordnungen in Bezug auf den Microsoft-Volumenlizenz-Produktpool </w:t>
      </w:r>
    </w:p>
    <w:p w:rsidR="00023FE7" w:rsidRPr="00BB5519" w:rsidRDefault="00023FE7" w:rsidP="00024C3C">
      <w:pPr>
        <w:pStyle w:val="BulletedList"/>
        <w:numPr>
          <w:ilvl w:val="0"/>
          <w:numId w:val="16"/>
        </w:numPr>
        <w:ind w:right="720"/>
        <w:rPr>
          <w:lang w:val="de-DE"/>
        </w:rPr>
      </w:pPr>
      <w:r w:rsidRPr="00BB5519">
        <w:rPr>
          <w:rFonts w:ascii="Tahoma" w:hAnsi="Tahoma" w:cs="Tahoma"/>
          <w:sz w:val="18"/>
          <w:szCs w:val="18"/>
          <w:lang w:val="de-DE"/>
        </w:rPr>
        <w:t>Die Punktwerte für die einzelnen Software- und Produkttechnologien</w:t>
      </w:r>
    </w:p>
    <w:p w:rsidR="00023FE7" w:rsidRPr="00BB5519" w:rsidRDefault="00023FE7" w:rsidP="00024C3C">
      <w:pPr>
        <w:pStyle w:val="BulletedList"/>
        <w:numPr>
          <w:ilvl w:val="0"/>
          <w:numId w:val="16"/>
        </w:numPr>
        <w:ind w:right="720"/>
      </w:pPr>
      <w:r w:rsidRPr="00BB5519">
        <w:rPr>
          <w:rFonts w:ascii="Tahoma" w:hAnsi="Tahoma" w:cs="Tahoma"/>
          <w:sz w:val="18"/>
          <w:szCs w:val="18"/>
        </w:rPr>
        <w:t>Verfügbare Promotions</w:t>
      </w:r>
    </w:p>
    <w:p w:rsidR="00023FE7" w:rsidRPr="00BB5519" w:rsidRDefault="00023FE7" w:rsidP="00024C3C">
      <w:pPr>
        <w:pStyle w:val="BulletedList"/>
        <w:numPr>
          <w:ilvl w:val="0"/>
          <w:numId w:val="16"/>
        </w:numPr>
        <w:ind w:right="720"/>
        <w:rPr>
          <w:lang w:val="de-DE"/>
        </w:rPr>
      </w:pPr>
      <w:r w:rsidRPr="00BB5519">
        <w:rPr>
          <w:rFonts w:ascii="Tahoma" w:hAnsi="Tahoma" w:cs="Tahoma"/>
          <w:sz w:val="18"/>
          <w:szCs w:val="18"/>
          <w:lang w:val="de-DE"/>
        </w:rPr>
        <w:t>Migrationspfade von einer Softwareversion auf eine andere Version derselben Software</w:t>
      </w:r>
    </w:p>
    <w:p w:rsidR="00023FE7" w:rsidRPr="00BB5519" w:rsidRDefault="00023FE7" w:rsidP="00024C3C">
      <w:pPr>
        <w:pStyle w:val="BulletedList"/>
        <w:numPr>
          <w:ilvl w:val="0"/>
          <w:numId w:val="16"/>
        </w:numPr>
        <w:ind w:right="720"/>
        <w:rPr>
          <w:lang w:val="de-DE"/>
        </w:rPr>
      </w:pPr>
      <w:r w:rsidRPr="00BB5519">
        <w:rPr>
          <w:rFonts w:ascii="Tahoma" w:hAnsi="Tahoma" w:cs="Tahoma"/>
          <w:sz w:val="18"/>
          <w:szCs w:val="18"/>
          <w:lang w:val="de-DE"/>
        </w:rPr>
        <w:t>Migrationspfade von einer nicht mehr angebotenen Software auf neue Softwareversionen</w:t>
      </w:r>
    </w:p>
    <w:p w:rsidR="00023FE7" w:rsidRPr="00BB5519" w:rsidRDefault="00023FE7" w:rsidP="00024C3C">
      <w:pPr>
        <w:pStyle w:val="BulletedList"/>
        <w:numPr>
          <w:ilvl w:val="0"/>
          <w:numId w:val="16"/>
        </w:numPr>
        <w:ind w:right="720"/>
      </w:pPr>
      <w:r w:rsidRPr="00BB5519">
        <w:rPr>
          <w:rFonts w:ascii="Tahoma" w:hAnsi="Tahoma" w:cs="Tahoma"/>
          <w:sz w:val="18"/>
          <w:szCs w:val="18"/>
        </w:rPr>
        <w:t>Software Assurance-Vergünstigungen</w:t>
      </w:r>
    </w:p>
    <w:p w:rsidR="00023FE7" w:rsidRPr="00BB5519" w:rsidRDefault="00023FE7" w:rsidP="00024C3C">
      <w:pPr>
        <w:pStyle w:val="BulletedList"/>
        <w:numPr>
          <w:ilvl w:val="0"/>
          <w:numId w:val="16"/>
        </w:numPr>
        <w:ind w:right="720"/>
        <w:rPr>
          <w:lang w:val="de-DE"/>
        </w:rPr>
      </w:pPr>
      <w:r w:rsidRPr="00BB5519">
        <w:rPr>
          <w:rFonts w:ascii="Tahoma" w:hAnsi="Tahoma" w:cs="Tahoma"/>
          <w:sz w:val="18"/>
          <w:szCs w:val="18"/>
          <w:lang w:val="de-DE"/>
        </w:rPr>
        <w:t>Sonstige spezifische Hinweise und Informationen zu Software und Produkten</w:t>
      </w:r>
    </w:p>
    <w:p w:rsidR="00023FE7" w:rsidRPr="00BB5519" w:rsidRDefault="00023FE7">
      <w:pPr>
        <w:ind w:right="720"/>
        <w:rPr>
          <w:lang w:val="de-DE"/>
        </w:rPr>
      </w:pPr>
    </w:p>
    <w:p w:rsidR="00023FE7" w:rsidRPr="00BB5519" w:rsidRDefault="00023FE7">
      <w:pPr>
        <w:ind w:right="720"/>
        <w:rPr>
          <w:lang w:val="de-DE"/>
        </w:rPr>
      </w:pPr>
    </w:p>
    <w:p w:rsidR="00023FE7" w:rsidRPr="00BB5519" w:rsidRDefault="00023FE7" w:rsidP="00B0065F">
      <w:pPr>
        <w:pStyle w:val="Heading1"/>
        <w:rPr>
          <w:lang w:val="de-DE"/>
        </w:rPr>
      </w:pPr>
      <w:bookmarkStart w:id="4" w:name="_Toc336337839"/>
      <w:bookmarkStart w:id="5" w:name="_Toc354054535"/>
      <w:r w:rsidRPr="00BB5519">
        <w:rPr>
          <w:lang w:val="de-DE"/>
        </w:rPr>
        <w:t>VERWENDUNG dER Microsoft-ProduktLISTe</w:t>
      </w:r>
      <w:bookmarkEnd w:id="4"/>
      <w:bookmarkEnd w:id="5"/>
    </w:p>
    <w:p w:rsidR="00023FE7" w:rsidRPr="00BB5519" w:rsidRDefault="00023FE7">
      <w:pPr>
        <w:pStyle w:val="Body"/>
        <w:ind w:right="-1890"/>
        <w:rPr>
          <w:lang w:val="de-DE"/>
        </w:rPr>
      </w:pPr>
    </w:p>
    <w:p w:rsidR="00023FE7" w:rsidRPr="00BB5519" w:rsidRDefault="00023FE7">
      <w:pPr>
        <w:pStyle w:val="Body"/>
        <w:ind w:right="-1890"/>
        <w:rPr>
          <w:lang w:val="de-DE"/>
        </w:rPr>
      </w:pPr>
      <w:r w:rsidRPr="00BB5519">
        <w:rPr>
          <w:rFonts w:ascii="Tahoma" w:hAnsi="Tahoma" w:cs="Tahoma"/>
          <w:b/>
          <w:lang w:val="de-DE"/>
        </w:rPr>
        <w:t xml:space="preserve">Bitte machen Sie sich mit der Tabellenlegende vertraut, die im Anschluss an die </w:t>
      </w:r>
      <w:r w:rsidR="006C5DCD" w:rsidRPr="00BB5519">
        <w:rPr>
          <w:rFonts w:ascii="Tahoma" w:hAnsi="Tahoma" w:cs="Tahoma"/>
          <w:b/>
          <w:lang w:val="de-DE"/>
        </w:rPr>
        <w:br/>
      </w:r>
      <w:r w:rsidRPr="00BB5519">
        <w:rPr>
          <w:rFonts w:ascii="Tahoma" w:hAnsi="Tahoma" w:cs="Tahoma"/>
          <w:b/>
          <w:lang w:val="de-DE"/>
        </w:rPr>
        <w:t>nachfolgend gen</w:t>
      </w:r>
      <w:r w:rsidR="00360586">
        <w:rPr>
          <w:noProof/>
        </w:rPr>
        <mc:AlternateContent>
          <mc:Choice Requires="wps">
            <w:drawing>
              <wp:anchor distT="0" distB="0" distL="114300" distR="114300" simplePos="0" relativeHeight="251670016" behindDoc="0" locked="0" layoutInCell="1" allowOverlap="1" wp14:anchorId="676DF62A" wp14:editId="00898606">
                <wp:simplePos x="0" y="0"/>
                <wp:positionH relativeFrom="column">
                  <wp:posOffset>728345</wp:posOffset>
                </wp:positionH>
                <wp:positionV relativeFrom="paragraph">
                  <wp:posOffset>6267450</wp:posOffset>
                </wp:positionV>
                <wp:extent cx="1886585" cy="180975"/>
                <wp:effectExtent l="0" t="0" r="0" b="9525"/>
                <wp:wrapNone/>
                <wp:docPr id="16"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D07878" id="Oval 10" o:spid="_x0000_s1026" style="position:absolute;margin-left:57.35pt;margin-top:493.5pt;width:148.55pt;height:14.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" filled="f" strokecolor="red" strokeweight="1.5pt"/>
            </w:pict>
          </mc:Fallback>
        </mc:AlternateContent>
      </w:r>
      <w:r w:rsidR="00360586">
        <w:rPr>
          <w:noProof/>
        </w:rPr>
        <mc:AlternateContent>
          <mc:Choice Requires="wps">
            <w:drawing>
              <wp:anchor distT="0" distB="0" distL="114300" distR="114300" simplePos="0" relativeHeight="251672064" behindDoc="0" locked="0" layoutInCell="1" allowOverlap="1" wp14:anchorId="36E742B6" wp14:editId="60F7123D">
                <wp:simplePos x="0" y="0"/>
                <wp:positionH relativeFrom="column">
                  <wp:posOffset>728345</wp:posOffset>
                </wp:positionH>
                <wp:positionV relativeFrom="paragraph">
                  <wp:posOffset>6267450</wp:posOffset>
                </wp:positionV>
                <wp:extent cx="1886585" cy="180975"/>
                <wp:effectExtent l="0" t="0" r="0" b="9525"/>
                <wp:wrapNone/>
                <wp:docPr id="15"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72BD8F2" id="Oval 10" o:spid="_x0000_s1026" style="position:absolute;margin-left:57.35pt;margin-top:493.5pt;width:148.55pt;height:14.2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" filled="f" strokecolor="red" strokeweight="1.5pt"/>
            </w:pict>
          </mc:Fallback>
        </mc:AlternateContent>
      </w:r>
      <w:r w:rsidRPr="00BB5519">
        <w:rPr>
          <w:rFonts w:ascii="Tahoma" w:hAnsi="Tahoma" w:cs="Tahoma"/>
          <w:b/>
          <w:lang w:val="de-DE"/>
        </w:rPr>
        <w:t>annten Schritte zu finden ist.</w:t>
      </w:r>
    </w:p>
    <w:p w:rsidR="00023FE7" w:rsidRPr="00BB5519" w:rsidRDefault="00023FE7">
      <w:pPr>
        <w:pStyle w:val="Body"/>
        <w:ind w:right="-1890"/>
        <w:rPr>
          <w:lang w:val="de-DE"/>
        </w:rPr>
      </w:pPr>
    </w:p>
    <w:p w:rsidR="00020E89" w:rsidRDefault="00023FE7">
      <w:pPr>
        <w:pStyle w:val="Body"/>
        <w:ind w:right="-1890"/>
        <w:rPr>
          <w:rFonts w:ascii="Tahoma" w:hAnsi="Tahoma" w:cs="Tahoma"/>
          <w:sz w:val="18"/>
          <w:szCs w:val="18"/>
          <w:lang w:val="de-DE"/>
        </w:rPr>
      </w:pPr>
      <w:r w:rsidRPr="00BB5519">
        <w:rPr>
          <w:rStyle w:val="BodyChar"/>
          <w:rFonts w:ascii="Tahoma" w:hAnsi="Tahoma" w:cs="Tahoma"/>
          <w:b/>
          <w:sz w:val="18"/>
          <w:szCs w:val="18"/>
          <w:lang w:val="de-DE"/>
        </w:rPr>
        <w:t>Schritt 1:</w:t>
      </w:r>
      <w:r w:rsidR="009E4976" w:rsidRPr="00BB5519">
        <w:rPr>
          <w:rStyle w:val="BodyChar"/>
          <w:rFonts w:ascii="Tahoma" w:hAnsi="Tahoma" w:cs="Tahoma"/>
          <w:bCs/>
          <w:sz w:val="18"/>
          <w:szCs w:val="18"/>
          <w:lang w:val="de-DE"/>
        </w:rPr>
        <w:t xml:space="preserve"> </w:t>
      </w:r>
      <w:r w:rsidRPr="00BB5519">
        <w:rPr>
          <w:rFonts w:ascii="Tahoma" w:hAnsi="Tahoma" w:cs="Tahoma"/>
          <w:sz w:val="18"/>
          <w:szCs w:val="18"/>
          <w:lang w:val="de-DE"/>
        </w:rPr>
        <w:t xml:space="preserve">Suchen Sie die infrage kommende Software in der Tabelle. </w:t>
      </w:r>
    </w:p>
    <w:p w:rsidR="00020E89" w:rsidRDefault="00360586">
      <w:pPr>
        <w:pStyle w:val="Body"/>
        <w:ind w:right="-1890"/>
        <w:rPr>
          <w:rFonts w:ascii="Tahoma" w:hAnsi="Tahoma" w:cs="Tahoma"/>
          <w:sz w:val="18"/>
          <w:szCs w:val="18"/>
          <w:lang w:val="de-DE"/>
        </w:rPr>
      </w:pPr>
      <w:r>
        <w:rPr>
          <w:noProof/>
        </w:rPr>
        <mc:AlternateContent>
          <mc:Choice Requires="wps">
            <w:drawing>
              <wp:anchor distT="0" distB="0" distL="114300" distR="114300" simplePos="0" relativeHeight="251674112" behindDoc="0" locked="0" layoutInCell="1" allowOverlap="1" wp14:anchorId="01839677" wp14:editId="303000B7">
                <wp:simplePos x="0" y="0"/>
                <wp:positionH relativeFrom="column">
                  <wp:posOffset>728345</wp:posOffset>
                </wp:positionH>
                <wp:positionV relativeFrom="paragraph">
                  <wp:posOffset>6267450</wp:posOffset>
                </wp:positionV>
                <wp:extent cx="1886585" cy="180975"/>
                <wp:effectExtent l="0" t="0" r="0" b="9525"/>
                <wp:wrapNone/>
                <wp:docPr id="13"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FFA2B1" id="Oval 10" o:spid="_x0000_s1026" style="position:absolute;margin-left:57.35pt;margin-top:493.5pt;width:148.55pt;height:14.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" filled="f" strokecolor="red" strokeweight="1.5pt"/>
            </w:pict>
          </mc:Fallback>
        </mc:AlternateContent>
      </w:r>
      <w:r>
        <w:rPr>
          <w:noProof/>
        </w:rPr>
        <mc:AlternateContent>
          <mc:Choice Requires="wps">
            <w:drawing>
              <wp:anchor distT="0" distB="0" distL="114300" distR="114300" simplePos="0" relativeHeight="251676160" behindDoc="0" locked="0" layoutInCell="1" allowOverlap="1" wp14:anchorId="3C9829C6" wp14:editId="3487663D">
                <wp:simplePos x="0" y="0"/>
                <wp:positionH relativeFrom="column">
                  <wp:posOffset>728345</wp:posOffset>
                </wp:positionH>
                <wp:positionV relativeFrom="paragraph">
                  <wp:posOffset>6267450</wp:posOffset>
                </wp:positionV>
                <wp:extent cx="1886585" cy="180975"/>
                <wp:effectExtent l="0" t="0" r="0" b="9525"/>
                <wp:wrapNone/>
                <wp:docPr id="1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9BFFF61" id="Oval 10" o:spid="_x0000_s1026" style="position:absolute;margin-left:57.35pt;margin-top:493.5pt;width:148.55pt;height:14.2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" filled="f" strokecolor="red" strokeweight="1.5pt"/>
            </w:pict>
          </mc:Fallback>
        </mc:AlternateContent>
      </w:r>
    </w:p>
    <w:p w:rsidR="007C18D1" w:rsidRDefault="00360586">
      <w:pPr>
        <w:pStyle w:val="Body"/>
        <w:ind w:right="-1890"/>
        <w:rPr>
          <w:lang w:val="de-DE"/>
        </w:rPr>
      </w:pPr>
      <w:r>
        <w:rPr>
          <w:noProof/>
        </w:rPr>
        <mc:AlternateContent>
          <mc:Choice Requires="wps">
            <w:drawing>
              <wp:anchor distT="0" distB="0" distL="114300" distR="114300" simplePos="0" relativeHeight="251667968" behindDoc="0" locked="0" layoutInCell="1" allowOverlap="1" wp14:anchorId="4969F11A" wp14:editId="00533C1B">
                <wp:simplePos x="0" y="0"/>
                <wp:positionH relativeFrom="column">
                  <wp:posOffset>728345</wp:posOffset>
                </wp:positionH>
                <wp:positionV relativeFrom="paragraph">
                  <wp:posOffset>6267450</wp:posOffset>
                </wp:positionV>
                <wp:extent cx="1886585" cy="180975"/>
                <wp:effectExtent l="0" t="0" r="0" b="9525"/>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C423A95" id="Oval 10" o:spid="_x0000_s1026" style="position:absolute;margin-left:57.35pt;margin-top:493.5pt;width:148.55pt;height:14.2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" filled="f" strokecolor="red" strokeweight="1.5pt"/>
            </w:pict>
          </mc:Fallback>
        </mc:AlternateContent>
      </w:r>
      <w:r w:rsidR="007C18D1">
        <w:rPr>
          <w:noProof/>
        </w:rPr>
        <w:drawing>
          <wp:inline distT="0" distB="0" distL="0" distR="0" wp14:anchorId="14357A21" wp14:editId="629AFECF">
            <wp:extent cx="5934456" cy="30843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5491" t="30060" r="25772" b="38277"/>
                    <a:stretch/>
                  </pic:blipFill>
                  <pic:spPr bwMode="auto">
                    <a:xfrm>
                      <a:off x="0" y="0"/>
                      <a:ext cx="5934456" cy="3084355"/>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BB5519" w:rsidRDefault="00023FE7">
      <w:pPr>
        <w:pStyle w:val="Body"/>
        <w:ind w:right="-1890"/>
        <w:rPr>
          <w:lang w:val="de-DE"/>
        </w:rPr>
      </w:pPr>
    </w:p>
    <w:p w:rsidR="00023FE7" w:rsidRPr="00BB5519" w:rsidRDefault="00023FE7">
      <w:pPr>
        <w:pStyle w:val="Body"/>
        <w:ind w:right="-1890"/>
        <w:rPr>
          <w:lang w:val="de-DE"/>
        </w:rPr>
      </w:pPr>
    </w:p>
    <w:p w:rsidR="00023FE7" w:rsidRPr="00BB5519" w:rsidRDefault="00023FE7">
      <w:pPr>
        <w:pStyle w:val="NumberedSteps"/>
        <w:ind w:right="720"/>
        <w:rPr>
          <w:lang w:val="de-DE"/>
        </w:rPr>
      </w:pPr>
      <w:r w:rsidRPr="00BB5519">
        <w:rPr>
          <w:rStyle w:val="BodyChar"/>
          <w:rFonts w:ascii="Tahoma" w:hAnsi="Tahoma" w:cs="Tahoma"/>
          <w:b/>
          <w:sz w:val="18"/>
          <w:szCs w:val="18"/>
          <w:lang w:val="de-DE"/>
        </w:rPr>
        <w:t>Schritt 2:</w:t>
      </w:r>
      <w:r w:rsidR="009E4976" w:rsidRPr="00BB5519">
        <w:rPr>
          <w:rFonts w:ascii="Tahoma" w:hAnsi="Tahoma" w:cs="Tahoma"/>
          <w:sz w:val="18"/>
          <w:szCs w:val="18"/>
          <w:lang w:val="de-DE"/>
        </w:rPr>
        <w:t xml:space="preserve"> </w:t>
      </w:r>
      <w:r w:rsidRPr="00BB5519">
        <w:rPr>
          <w:rFonts w:ascii="Tahoma" w:hAnsi="Tahoma" w:cs="Tahoma"/>
          <w:sz w:val="18"/>
          <w:szCs w:val="18"/>
          <w:lang w:val="de-DE"/>
        </w:rPr>
        <w:t>Informieren Sie sich in den zugehörigen Spalten über verfügbare Promotions, Software Assurance-Vergünstigungen, Punktzahlen, Programmverfügbarkeit usw.</w:t>
      </w:r>
    </w:p>
    <w:p w:rsidR="00023FE7" w:rsidRPr="00BB5519" w:rsidRDefault="00023FE7" w:rsidP="000E5145">
      <w:pPr>
        <w:pStyle w:val="NumberedSteps"/>
        <w:ind w:right="720"/>
        <w:rPr>
          <w:lang w:val="de-DE"/>
        </w:rPr>
      </w:pPr>
      <w:r w:rsidRPr="00BB5519">
        <w:rPr>
          <w:rStyle w:val="BodyChar"/>
          <w:rFonts w:ascii="Tahoma" w:hAnsi="Tahoma" w:cs="Tahoma"/>
          <w:b/>
          <w:sz w:val="18"/>
          <w:szCs w:val="18"/>
          <w:lang w:val="de-DE"/>
        </w:rPr>
        <w:lastRenderedPageBreak/>
        <w:t>Schritt 3:</w:t>
      </w:r>
      <w:r w:rsidR="009E4976" w:rsidRPr="00BB5519">
        <w:rPr>
          <w:rFonts w:ascii="Tahoma" w:hAnsi="Tahoma" w:cs="Tahoma"/>
          <w:sz w:val="18"/>
          <w:szCs w:val="18"/>
          <w:lang w:val="de-DE"/>
        </w:rPr>
        <w:t xml:space="preserve"> </w:t>
      </w:r>
      <w:r w:rsidRPr="00BB5519">
        <w:rPr>
          <w:rFonts w:ascii="Tahoma" w:hAnsi="Tahoma" w:cs="Tahoma"/>
          <w:sz w:val="18"/>
          <w:szCs w:val="18"/>
          <w:lang w:val="de-DE"/>
        </w:rPr>
        <w:t>Einige Softwareprodukte sind darüber hinaus mit Fußnoten versehen, die weitere Informationen enthalten. Wenn Sie auf die Fußnotennummer (sofern vorhanden) „klicken“ (Strg + Klick), gelangen Sie direkt zu dem entsprechenden Text. Alternativ können Sie die angegebene Fußnote auf den Seiten im Anschluss an die Tabelle nachschlagen und dort die zusätzlichen Informationen lesen. Die zusätzlichen Informationen enthalten Einzelheiten bezüglich Migrationsangeboten oder Berechtigungskriterien, wie im folgenden Beispiel dargestellt.</w:t>
      </w:r>
    </w:p>
    <w:p w:rsidR="000E5145" w:rsidRPr="00BB5519" w:rsidRDefault="007C18D1" w:rsidP="000E5145">
      <w:pPr>
        <w:pStyle w:val="NumberedSteps"/>
        <w:ind w:right="720"/>
        <w:rPr>
          <w:lang w:val="de-DE"/>
        </w:rPr>
      </w:pPr>
      <w:r>
        <w:rPr>
          <w:noProof/>
        </w:rPr>
        <w:drawing>
          <wp:inline distT="0" distB="0" distL="0" distR="0" wp14:anchorId="6F2E2398" wp14:editId="58186CD0">
            <wp:extent cx="2578608" cy="3584448"/>
            <wp:effectExtent l="0" t="0" r="0" b="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5650" t="20441" r="56554" b="47696"/>
                    <a:stretch/>
                  </pic:blipFill>
                  <pic:spPr bwMode="auto">
                    <a:xfrm>
                      <a:off x="0" y="0"/>
                      <a:ext cx="2578608" cy="358444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BB5519" w:rsidRDefault="0013361B">
      <w:pPr>
        <w:pStyle w:val="NumberedSteps"/>
        <w:tabs>
          <w:tab w:val="left" w:pos="9360"/>
        </w:tabs>
        <w:ind w:right="720"/>
      </w:pPr>
    </w:p>
    <w:p w:rsidR="00023FE7" w:rsidRPr="00BB5519" w:rsidRDefault="000909E5">
      <w:pPr>
        <w:pStyle w:val="NumberedSteps"/>
        <w:ind w:right="720"/>
      </w:pPr>
      <w:r w:rsidRPr="000909E5">
        <w:rPr>
          <w:noProof/>
          <w:bdr w:val="single" w:sz="8" w:space="0" w:color="auto"/>
        </w:rPr>
        <w:drawing>
          <wp:inline distT="0" distB="0" distL="0" distR="0" wp14:anchorId="673D2397" wp14:editId="2F8B561C">
            <wp:extent cx="5377218" cy="1175776"/>
            <wp:effectExtent l="0" t="0" r="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30310" t="34086" r="30310" b="50606"/>
                    <a:stretch/>
                  </pic:blipFill>
                  <pic:spPr bwMode="auto">
                    <a:xfrm>
                      <a:off x="0" y="0"/>
                      <a:ext cx="5377218" cy="117577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BB5519" w:rsidRDefault="0013361B">
      <w:pPr>
        <w:pStyle w:val="NumberedSteps"/>
        <w:ind w:right="720"/>
      </w:pPr>
    </w:p>
    <w:p w:rsidR="00023FE7" w:rsidRPr="00BB5519" w:rsidRDefault="00023FE7" w:rsidP="006C5DCD">
      <w:pPr>
        <w:pStyle w:val="NumberedSteps"/>
        <w:ind w:right="720"/>
        <w:rPr>
          <w:lang w:val="de-DE"/>
        </w:rPr>
      </w:pPr>
      <w:r w:rsidRPr="00BB5519">
        <w:rPr>
          <w:rStyle w:val="BodyChar"/>
          <w:rFonts w:ascii="Tahoma" w:hAnsi="Tahoma" w:cs="Tahoma"/>
          <w:b/>
          <w:sz w:val="18"/>
          <w:szCs w:val="18"/>
          <w:lang w:val="de-DE"/>
        </w:rPr>
        <w:t>Schritt 4:</w:t>
      </w:r>
      <w:r w:rsidR="009E4976" w:rsidRPr="00BB5519">
        <w:rPr>
          <w:rStyle w:val="BodyChar"/>
          <w:rFonts w:ascii="Tahoma" w:hAnsi="Tahoma" w:cs="Tahoma"/>
          <w:b/>
          <w:sz w:val="18"/>
          <w:szCs w:val="18"/>
          <w:lang w:val="de-DE"/>
        </w:rPr>
        <w:t xml:space="preserve"> </w:t>
      </w:r>
      <w:r w:rsidRPr="00BB5519">
        <w:rPr>
          <w:rFonts w:ascii="Tahoma" w:hAnsi="Tahoma" w:cs="Tahoma"/>
          <w:sz w:val="18"/>
          <w:szCs w:val="18"/>
          <w:lang w:val="de-DE"/>
        </w:rPr>
        <w:t>Weitere Informationen über Software Assurance-Vergünstigungen sowie den Erwerb</w:t>
      </w:r>
      <w:r w:rsidR="006C5DCD" w:rsidRPr="00BB5519">
        <w:rPr>
          <w:rFonts w:ascii="Tahoma" w:hAnsi="Tahoma" w:cs="Tahoma"/>
          <w:sz w:val="18"/>
          <w:szCs w:val="18"/>
          <w:lang w:val="de-DE"/>
        </w:rPr>
        <w:t> </w:t>
      </w:r>
      <w:r w:rsidRPr="00BB5519">
        <w:rPr>
          <w:rFonts w:ascii="Tahoma" w:hAnsi="Tahoma" w:cs="Tahoma"/>
          <w:sz w:val="18"/>
          <w:szCs w:val="18"/>
          <w:lang w:val="de-DE"/>
        </w:rPr>
        <w:t>und die Verlängerung von Software Assurance finden Sie in den Anhängen 5 und 6.</w:t>
      </w:r>
    </w:p>
    <w:p w:rsidR="00023FE7" w:rsidRPr="00BB5519" w:rsidRDefault="00023FE7">
      <w:pPr>
        <w:pStyle w:val="Body"/>
        <w:ind w:right="720"/>
        <w:rPr>
          <w:lang w:val="de-DE"/>
        </w:rPr>
      </w:pPr>
      <w:r w:rsidRPr="00BB5519">
        <w:rPr>
          <w:rFonts w:ascii="Tahoma" w:hAnsi="Tahoma" w:cs="Tahoma"/>
          <w:b/>
          <w:sz w:val="18"/>
          <w:szCs w:val="18"/>
          <w:lang w:val="de-DE"/>
        </w:rPr>
        <w:t>Anmerkung:</w:t>
      </w:r>
      <w:r w:rsidR="009E4976" w:rsidRPr="00BB5519">
        <w:rPr>
          <w:rFonts w:ascii="Tahoma" w:hAnsi="Tahoma" w:cs="Tahoma"/>
          <w:sz w:val="18"/>
          <w:szCs w:val="18"/>
          <w:lang w:val="de-DE"/>
        </w:rPr>
        <w:t xml:space="preserve"> </w:t>
      </w:r>
      <w:r w:rsidRPr="00BB5519">
        <w:rPr>
          <w:rFonts w:ascii="Tahoma" w:hAnsi="Tahoma" w:cs="Tahoma"/>
          <w:sz w:val="18"/>
          <w:szCs w:val="18"/>
          <w:lang w:val="de-DE"/>
        </w:rPr>
        <w:t xml:space="preserve">In der Produktliste ist die verfügbare Software nach Programm aufgeführt. Darüber hinaus enthält die Produktliste softwarespezifische Informationen hinsichtlich des Erwerbs von Lizenzen für die betreffende Software. Die Produktliste wird durch Bezugnahme Bestandteil des Microsoft-Volumenlizenvertrages. Die Verfügbarkeit von Software kann von Region zu Region variieren. Für Informationen bezüglich der regionalen Verfügbarkeit eines bestimmten Softwareproduktes sollten sich Kunden an ihren Handelspartner oder </w:t>
      </w:r>
      <w:r w:rsidR="00AD2124" w:rsidRPr="00BB5519">
        <w:rPr>
          <w:rFonts w:ascii="Tahoma" w:hAnsi="Tahoma" w:cs="Tahoma"/>
          <w:sz w:val="18"/>
          <w:szCs w:val="18"/>
          <w:lang w:val="de-DE"/>
        </w:rPr>
        <w:br/>
      </w:r>
      <w:r w:rsidRPr="00BB5519">
        <w:rPr>
          <w:rFonts w:ascii="Tahoma" w:hAnsi="Tahoma" w:cs="Tahoma"/>
          <w:sz w:val="18"/>
          <w:szCs w:val="18"/>
          <w:lang w:val="de-DE"/>
        </w:rPr>
        <w:t>Microsoft-Kundenbetreuer wenden.</w:t>
      </w:r>
    </w:p>
    <w:p w:rsidR="00023FE7" w:rsidRPr="00BB5519" w:rsidRDefault="00023FE7" w:rsidP="00D82E35">
      <w:pPr>
        <w:pStyle w:val="Body"/>
        <w:keepNext/>
        <w:keepLines/>
        <w:ind w:right="720"/>
        <w:rPr>
          <w:lang w:val="de-DE"/>
        </w:rPr>
      </w:pPr>
      <w:r w:rsidRPr="00BB5519">
        <w:rPr>
          <w:rFonts w:ascii="Tahoma" w:hAnsi="Tahoma" w:cs="Tahoma"/>
          <w:sz w:val="18"/>
          <w:szCs w:val="18"/>
          <w:lang w:val="de-DE"/>
        </w:rPr>
        <w:lastRenderedPageBreak/>
        <w:t>Außerdem ist es sinnvoll, das Produktbenutzungsrechte(PUR)-Dokument zu konsultieren. Das</w:t>
      </w:r>
      <w:r w:rsidR="00D858CF" w:rsidRPr="00BB5519">
        <w:rPr>
          <w:rFonts w:ascii="Tahoma" w:hAnsi="Tahoma" w:cs="Tahoma"/>
          <w:sz w:val="18"/>
          <w:szCs w:val="18"/>
          <w:lang w:val="de-DE"/>
        </w:rPr>
        <w:t> </w:t>
      </w:r>
      <w:r w:rsidRPr="00BB5519">
        <w:rPr>
          <w:rFonts w:ascii="Tahoma" w:hAnsi="Tahoma" w:cs="Tahoma"/>
          <w:sz w:val="18"/>
          <w:szCs w:val="18"/>
          <w:lang w:val="de-DE"/>
        </w:rPr>
        <w:t>Produktbenutzungsrechte-Dokument wird vierteljährlich aktualisiert und enthält Informationen</w:t>
      </w:r>
      <w:r w:rsidR="00D858CF" w:rsidRPr="00BB5519">
        <w:rPr>
          <w:rFonts w:ascii="Tahoma" w:hAnsi="Tahoma" w:cs="Tahoma"/>
          <w:sz w:val="18"/>
          <w:szCs w:val="18"/>
          <w:lang w:val="de-DE"/>
        </w:rPr>
        <w:t> </w:t>
      </w:r>
      <w:r w:rsidRPr="00BB5519">
        <w:rPr>
          <w:rFonts w:ascii="Tahoma" w:hAnsi="Tahoma" w:cs="Tahoma"/>
          <w:sz w:val="18"/>
          <w:szCs w:val="18"/>
          <w:lang w:val="de-DE"/>
        </w:rPr>
        <w:t xml:space="preserve">über die neuesten Nutzungsrechte für Microsoft-Software unter </w:t>
      </w:r>
      <w:r w:rsidR="00D858CF" w:rsidRPr="00BB5519">
        <w:rPr>
          <w:rFonts w:ascii="Tahoma" w:hAnsi="Tahoma" w:cs="Tahoma"/>
          <w:sz w:val="18"/>
          <w:szCs w:val="18"/>
          <w:lang w:val="de-DE"/>
        </w:rPr>
        <w:br/>
      </w:r>
      <w:r w:rsidRPr="00BB5519">
        <w:rPr>
          <w:rFonts w:ascii="Tahoma" w:hAnsi="Tahoma" w:cs="Tahoma"/>
          <w:sz w:val="18"/>
          <w:szCs w:val="18"/>
          <w:lang w:val="de-DE"/>
        </w:rPr>
        <w:t>Microsoft-Volumenlizenzprogrammen. Das Dokument befindet sich unter:</w:t>
      </w:r>
      <w:r w:rsidR="009E4976" w:rsidRPr="00BB5519">
        <w:rPr>
          <w:rFonts w:ascii="Tahoma" w:hAnsi="Tahoma" w:cs="Tahoma"/>
          <w:sz w:val="18"/>
          <w:szCs w:val="18"/>
          <w:lang w:val="de-DE"/>
        </w:rPr>
        <w:t xml:space="preserve"> </w:t>
      </w:r>
      <w:r w:rsidRPr="0004410D">
        <w:rPr>
          <w:rFonts w:ascii="Tahoma" w:hAnsi="Tahoma" w:cs="Tahoma"/>
          <w:sz w:val="18"/>
          <w:szCs w:val="18"/>
          <w:lang w:val="de-DE"/>
        </w:rPr>
        <w:t>http://www.microsoftvolumelicensing.com/userights/Default.aspx</w:t>
      </w:r>
      <w:hyperlink w:history="1"/>
    </w:p>
    <w:p w:rsidR="00465757" w:rsidRPr="00BB5519" w:rsidRDefault="00465757" w:rsidP="00465757">
      <w:pPr>
        <w:rPr>
          <w:lang w:val="de-DE"/>
        </w:rPr>
      </w:pPr>
    </w:p>
    <w:p w:rsidR="00465757" w:rsidRPr="00BB5519" w:rsidRDefault="00465757" w:rsidP="00465757">
      <w:pPr>
        <w:rPr>
          <w:lang w:val="de-DE"/>
        </w:rPr>
      </w:pPr>
    </w:p>
    <w:p w:rsidR="00B7356C" w:rsidRPr="006F21F8" w:rsidRDefault="00023FE7" w:rsidP="00836D9F">
      <w:pPr>
        <w:pStyle w:val="TOC1"/>
        <w:rPr>
          <w:lang w:val="de-DE"/>
        </w:rPr>
      </w:pPr>
      <w:r w:rsidRPr="00BB5519">
        <w:rPr>
          <w:lang w:val="de-DE"/>
        </w:rPr>
        <w:br w:type="page"/>
      </w:r>
      <w:r w:rsidR="00955428" w:rsidRPr="00106A7D">
        <w:rPr>
          <w:color w:val="auto"/>
        </w:rPr>
        <w:fldChar w:fldCharType="begin"/>
      </w:r>
      <w:r w:rsidRPr="00106A7D">
        <w:rPr>
          <w:color w:val="auto"/>
          <w:lang w:val="de-DE"/>
        </w:rPr>
        <w:instrText xml:space="preserve"> TOC \o "1-2" \t "Heading 3,3,Heading 4,4,Product Names,2" </w:instrText>
      </w:r>
      <w:r w:rsidR="00955428" w:rsidRPr="00106A7D">
        <w:rPr>
          <w:color w:val="auto"/>
        </w:rPr>
        <w:fldChar w:fldCharType="separate"/>
      </w:r>
    </w:p>
    <w:p w:rsidR="00B7356C" w:rsidRPr="00360586" w:rsidRDefault="00B7356C">
      <w:pPr>
        <w:pStyle w:val="TOC1"/>
        <w:rPr>
          <w:rFonts w:asciiTheme="minorHAnsi" w:eastAsia="Batang" w:hAnsiTheme="minorHAnsi" w:cstheme="minorBidi"/>
          <w:b w:val="0"/>
          <w:caps w:val="0"/>
          <w:color w:val="auto"/>
          <w:szCs w:val="22"/>
          <w:lang w:val="de-DE" w:eastAsia="ko-KR"/>
        </w:rPr>
      </w:pPr>
      <w:r w:rsidRPr="00E1012C">
        <w:rPr>
          <w:b w:val="0"/>
          <w:lang w:val="de-DE"/>
        </w:rPr>
        <w:lastRenderedPageBreak/>
        <w:t>Microsoft</w:t>
      </w:r>
      <w:r w:rsidRPr="00E1012C">
        <w:rPr>
          <w:b w:val="0"/>
          <w:vertAlign w:val="superscript"/>
          <w:lang w:val="de-DE"/>
        </w:rPr>
        <w:t>®</w:t>
      </w:r>
      <w:r w:rsidRPr="00360586">
        <w:rPr>
          <w:lang w:val="de-DE"/>
        </w:rPr>
        <w:tab/>
      </w:r>
      <w:r>
        <w:fldChar w:fldCharType="begin"/>
      </w:r>
      <w:r w:rsidRPr="00360586">
        <w:rPr>
          <w:lang w:val="de-DE"/>
        </w:rPr>
        <w:instrText xml:space="preserve"> PAGEREF _Toc354054533 \h </w:instrText>
      </w:r>
      <w:r>
        <w:fldChar w:fldCharType="separate"/>
      </w:r>
      <w:r w:rsidR="000B627C">
        <w:rPr>
          <w:lang w:val="de-DE"/>
        </w:rPr>
        <w:t>1</w:t>
      </w:r>
      <w:r>
        <w:fldChar w:fldCharType="end"/>
      </w:r>
    </w:p>
    <w:p w:rsidR="00B7356C" w:rsidRPr="00360586" w:rsidRDefault="00B7356C">
      <w:pPr>
        <w:pStyle w:val="TOC1"/>
        <w:rPr>
          <w:rFonts w:asciiTheme="minorHAnsi" w:eastAsia="Batang" w:hAnsiTheme="minorHAnsi" w:cstheme="minorBidi"/>
          <w:b w:val="0"/>
          <w:caps w:val="0"/>
          <w:color w:val="auto"/>
          <w:szCs w:val="22"/>
          <w:lang w:val="de-DE" w:eastAsia="ko-KR"/>
        </w:rPr>
      </w:pPr>
      <w:r w:rsidRPr="00E1012C">
        <w:rPr>
          <w:lang w:val="de-DE"/>
        </w:rPr>
        <w:t>ÜBER DIESES DOKUMENT</w:t>
      </w:r>
      <w:r w:rsidRPr="00360586">
        <w:rPr>
          <w:lang w:val="de-DE"/>
        </w:rPr>
        <w:tab/>
      </w:r>
      <w:r>
        <w:fldChar w:fldCharType="begin"/>
      </w:r>
      <w:r w:rsidRPr="00360586">
        <w:rPr>
          <w:lang w:val="de-DE"/>
        </w:rPr>
        <w:instrText xml:space="preserve"> PAGEREF _Toc354054534 \h </w:instrText>
      </w:r>
      <w:r>
        <w:fldChar w:fldCharType="separate"/>
      </w:r>
      <w:r w:rsidR="000B627C">
        <w:rPr>
          <w:lang w:val="de-DE"/>
        </w:rPr>
        <w:t>2</w:t>
      </w:r>
      <w:r>
        <w:fldChar w:fldCharType="end"/>
      </w:r>
    </w:p>
    <w:p w:rsidR="00B7356C" w:rsidRPr="00360586" w:rsidRDefault="00B7356C">
      <w:pPr>
        <w:pStyle w:val="TOC1"/>
        <w:rPr>
          <w:rFonts w:asciiTheme="minorHAnsi" w:eastAsia="Batang" w:hAnsiTheme="minorHAnsi" w:cstheme="minorBidi"/>
          <w:b w:val="0"/>
          <w:caps w:val="0"/>
          <w:color w:val="auto"/>
          <w:szCs w:val="22"/>
          <w:lang w:val="de-DE" w:eastAsia="ko-KR"/>
        </w:rPr>
      </w:pPr>
      <w:r w:rsidRPr="00E1012C">
        <w:rPr>
          <w:lang w:val="de-DE"/>
        </w:rPr>
        <w:t>VERWENDUNG dER Microsoft-ProduktLISTe</w:t>
      </w:r>
      <w:r w:rsidRPr="00360586">
        <w:rPr>
          <w:lang w:val="de-DE"/>
        </w:rPr>
        <w:tab/>
      </w:r>
      <w:r>
        <w:fldChar w:fldCharType="begin"/>
      </w:r>
      <w:r w:rsidRPr="00360586">
        <w:rPr>
          <w:lang w:val="de-DE"/>
        </w:rPr>
        <w:instrText xml:space="preserve"> PAGEREF _Toc354054535 \h </w:instrText>
      </w:r>
      <w:r>
        <w:fldChar w:fldCharType="separate"/>
      </w:r>
      <w:r w:rsidR="000B627C">
        <w:rPr>
          <w:lang w:val="de-DE"/>
        </w:rPr>
        <w:t>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Tabellenlegende</w:t>
      </w:r>
      <w:r w:rsidRPr="00360586">
        <w:rPr>
          <w:lang w:val="de-DE"/>
        </w:rPr>
        <w:tab/>
      </w:r>
      <w:r>
        <w:fldChar w:fldCharType="begin"/>
      </w:r>
      <w:r w:rsidRPr="00360586">
        <w:rPr>
          <w:lang w:val="de-DE"/>
        </w:rPr>
        <w:instrText xml:space="preserve"> PAGEREF _Toc354054536 \h </w:instrText>
      </w:r>
      <w:r>
        <w:fldChar w:fldCharType="separate"/>
      </w:r>
      <w:r w:rsidR="000B627C">
        <w:rPr>
          <w:lang w:val="de-DE"/>
        </w:rPr>
        <w:t>15</w:t>
      </w:r>
      <w:r>
        <w:fldChar w:fldCharType="end"/>
      </w:r>
    </w:p>
    <w:p w:rsidR="00B7356C" w:rsidRPr="00360586" w:rsidRDefault="00B7356C">
      <w:pPr>
        <w:pStyle w:val="TOC1"/>
        <w:rPr>
          <w:rFonts w:asciiTheme="minorHAnsi" w:eastAsia="Batang" w:hAnsiTheme="minorHAnsi" w:cstheme="minorBidi"/>
          <w:b w:val="0"/>
          <w:caps w:val="0"/>
          <w:color w:val="auto"/>
          <w:szCs w:val="22"/>
          <w:lang w:val="de-DE" w:eastAsia="ko-KR"/>
        </w:rPr>
      </w:pPr>
      <w:r w:rsidRPr="00360586">
        <w:rPr>
          <w:lang w:val="de-DE"/>
        </w:rPr>
        <w:t>Produktliste</w:t>
      </w:r>
      <w:r w:rsidRPr="00360586">
        <w:rPr>
          <w:lang w:val="de-DE"/>
        </w:rPr>
        <w:tab/>
      </w:r>
      <w:r>
        <w:fldChar w:fldCharType="begin"/>
      </w:r>
      <w:r w:rsidRPr="00360586">
        <w:rPr>
          <w:lang w:val="de-DE"/>
        </w:rPr>
        <w:instrText xml:space="preserve"> PAGEREF _Toc354054537 \h </w:instrText>
      </w:r>
      <w:r>
        <w:fldChar w:fldCharType="separate"/>
      </w:r>
      <w:r w:rsidR="000B627C">
        <w:rPr>
          <w:lang w:val="de-DE"/>
        </w:rPr>
        <w:t>17</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360586">
        <w:rPr>
          <w:lang w:val="de-DE"/>
        </w:rPr>
        <w:t>ANWENDUNGS-POOL</w:t>
      </w:r>
      <w:r w:rsidRPr="00360586">
        <w:rPr>
          <w:lang w:val="de-DE"/>
        </w:rPr>
        <w:tab/>
      </w:r>
      <w:r>
        <w:fldChar w:fldCharType="begin"/>
      </w:r>
      <w:r w:rsidRPr="00360586">
        <w:rPr>
          <w:lang w:val="de-DE"/>
        </w:rPr>
        <w:instrText xml:space="preserve"> PAGEREF _Toc354054538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Access 2013</w:t>
      </w:r>
      <w:r w:rsidRPr="00360586">
        <w:rPr>
          <w:lang w:val="de-DE"/>
        </w:rPr>
        <w:tab/>
      </w:r>
      <w:r>
        <w:fldChar w:fldCharType="begin"/>
      </w:r>
      <w:r w:rsidRPr="00360586">
        <w:rPr>
          <w:lang w:val="de-DE"/>
        </w:rPr>
        <w:instrText xml:space="preserve"> PAGEREF _Toc354054539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360586">
        <w:rPr>
          <w:rFonts w:cs="Tahoma"/>
          <w:lang w:val="fr-FR"/>
        </w:rPr>
        <w:t>AutoRoute 2013</w:t>
      </w:r>
      <w:r w:rsidRPr="00360586">
        <w:rPr>
          <w:lang w:val="fr-FR"/>
        </w:rPr>
        <w:tab/>
      </w:r>
      <w:r>
        <w:fldChar w:fldCharType="begin"/>
      </w:r>
      <w:r w:rsidRPr="00360586">
        <w:rPr>
          <w:lang w:val="fr-FR"/>
        </w:rPr>
        <w:instrText xml:space="preserve"> PAGEREF _Toc354054540 \h </w:instrText>
      </w:r>
      <w:r>
        <w:fldChar w:fldCharType="separate"/>
      </w:r>
      <w:r w:rsidR="000B627C">
        <w:rPr>
          <w:lang w:val="fr-FR"/>
        </w:rPr>
        <w:t>17</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360586">
        <w:rPr>
          <w:rFonts w:cs="Tahoma"/>
          <w:lang w:val="fr-FR"/>
        </w:rPr>
        <w:t>Excel 2013</w:t>
      </w:r>
      <w:r w:rsidRPr="00360586">
        <w:rPr>
          <w:lang w:val="fr-FR"/>
        </w:rPr>
        <w:tab/>
      </w:r>
      <w:r>
        <w:fldChar w:fldCharType="begin"/>
      </w:r>
      <w:r w:rsidRPr="00360586">
        <w:rPr>
          <w:lang w:val="fr-FR"/>
        </w:rPr>
        <w:instrText xml:space="preserve"> PAGEREF _Toc354054541 \h </w:instrText>
      </w:r>
      <w:r>
        <w:fldChar w:fldCharType="separate"/>
      </w:r>
      <w:r w:rsidR="000B627C">
        <w:rPr>
          <w:lang w:val="fr-FR"/>
        </w:rPr>
        <w:t>17</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360586">
        <w:rPr>
          <w:rFonts w:cs="Tahoma"/>
          <w:lang w:val="fr-FR"/>
        </w:rPr>
        <w:t>Excel für Mac 2011</w:t>
      </w:r>
      <w:r w:rsidRPr="00360586">
        <w:rPr>
          <w:lang w:val="fr-FR"/>
        </w:rPr>
        <w:tab/>
      </w:r>
      <w:r>
        <w:fldChar w:fldCharType="begin"/>
      </w:r>
      <w:r w:rsidRPr="00360586">
        <w:rPr>
          <w:lang w:val="fr-FR"/>
        </w:rPr>
        <w:instrText xml:space="preserve"> PAGEREF _Toc354054542 \h </w:instrText>
      </w:r>
      <w:r>
        <w:fldChar w:fldCharType="separate"/>
      </w:r>
      <w:r w:rsidR="000B627C">
        <w:rPr>
          <w:lang w:val="fr-FR"/>
        </w:rPr>
        <w:t>17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Expression Encoder Pro 4</w:t>
      </w:r>
      <w:r>
        <w:tab/>
      </w:r>
      <w:r>
        <w:fldChar w:fldCharType="begin"/>
      </w:r>
      <w:r>
        <w:instrText xml:space="preserve"> PAGEREF _Toc354054543 \h </w:instrText>
      </w:r>
      <w:r>
        <w:fldChar w:fldCharType="separate"/>
      </w:r>
      <w:r w:rsidR="000B627C">
        <w:t>17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GeoSynther 3.0</w:t>
      </w:r>
      <w:r>
        <w:tab/>
      </w:r>
      <w:r>
        <w:fldChar w:fldCharType="begin"/>
      </w:r>
      <w:r>
        <w:instrText xml:space="preserve"> PAGEREF _Toc354054544 \h </w:instrText>
      </w:r>
      <w:r>
        <w:fldChar w:fldCharType="separate"/>
      </w:r>
      <w:r w:rsidR="000B627C">
        <w:t>17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GeoSynth Viewer 3.0</w:t>
      </w:r>
      <w:r>
        <w:tab/>
      </w:r>
      <w:r>
        <w:fldChar w:fldCharType="begin"/>
      </w:r>
      <w:r>
        <w:instrText xml:space="preserve"> PAGEREF _Toc354054545 \h </w:instrText>
      </w:r>
      <w:r>
        <w:fldChar w:fldCharType="separate"/>
      </w:r>
      <w:r w:rsidR="000B627C">
        <w:t>17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InfoPath</w:t>
      </w:r>
      <w:r w:rsidRPr="00E1012C">
        <w:rPr>
          <w:rFonts w:cs="Tahoma"/>
          <w:vertAlign w:val="superscript"/>
        </w:rPr>
        <w:t>®</w:t>
      </w:r>
      <w:r w:rsidRPr="00E1012C">
        <w:rPr>
          <w:rFonts w:cs="Tahoma"/>
        </w:rPr>
        <w:t xml:space="preserve"> 2013</w:t>
      </w:r>
      <w:r>
        <w:tab/>
      </w:r>
      <w:r>
        <w:fldChar w:fldCharType="begin"/>
      </w:r>
      <w:r>
        <w:instrText xml:space="preserve"> PAGEREF _Toc354054546 \h </w:instrText>
      </w:r>
      <w:r>
        <w:fldChar w:fldCharType="separate"/>
      </w:r>
      <w:r w:rsidR="000B627C">
        <w:t>17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Lync 2013</w:t>
      </w:r>
      <w:r>
        <w:tab/>
      </w:r>
      <w:r>
        <w:fldChar w:fldCharType="begin"/>
      </w:r>
      <w:r>
        <w:instrText xml:space="preserve"> PAGEREF _Toc354054547 \h </w:instrText>
      </w:r>
      <w:r>
        <w:fldChar w:fldCharType="separate"/>
      </w:r>
      <w:r w:rsidR="000B627C">
        <w:t>17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Lync für Mac 2011</w:t>
      </w:r>
      <w:r>
        <w:tab/>
      </w:r>
      <w:r>
        <w:fldChar w:fldCharType="begin"/>
      </w:r>
      <w:r>
        <w:instrText xml:space="preserve"> PAGEREF _Toc354054548 \h </w:instrText>
      </w:r>
      <w:r>
        <w:fldChar w:fldCharType="separate"/>
      </w:r>
      <w:r w:rsidR="000B627C">
        <w:t>17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MapPoint</w:t>
      </w:r>
      <w:r w:rsidRPr="00E1012C">
        <w:rPr>
          <w:rFonts w:cs="Tahoma"/>
          <w:vertAlign w:val="superscript"/>
        </w:rPr>
        <w:t>®</w:t>
      </w:r>
      <w:r w:rsidRPr="00E1012C">
        <w:rPr>
          <w:rFonts w:cs="Tahoma"/>
        </w:rPr>
        <w:t xml:space="preserve"> Fleet Edition 2013</w:t>
      </w:r>
      <w:r>
        <w:tab/>
      </w:r>
      <w:r>
        <w:fldChar w:fldCharType="begin"/>
      </w:r>
      <w:r>
        <w:instrText xml:space="preserve"> PAGEREF _Toc354054549 \h </w:instrText>
      </w:r>
      <w:r>
        <w:fldChar w:fldCharType="separate"/>
      </w:r>
      <w:r w:rsidR="000B627C">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MapPoint</w:t>
      </w:r>
      <w:r w:rsidRPr="00360586">
        <w:rPr>
          <w:rFonts w:cs="Tahoma"/>
          <w:vertAlign w:val="superscript"/>
          <w:lang w:val="de-DE"/>
        </w:rPr>
        <w:t>®</w:t>
      </w:r>
      <w:r w:rsidRPr="00360586">
        <w:rPr>
          <w:rFonts w:cs="Tahoma"/>
          <w:lang w:val="de-DE"/>
        </w:rPr>
        <w:t xml:space="preserve"> 2013 für Windows</w:t>
      </w:r>
      <w:r w:rsidRPr="00360586">
        <w:rPr>
          <w:lang w:val="de-DE"/>
        </w:rPr>
        <w:tab/>
      </w:r>
      <w:r>
        <w:fldChar w:fldCharType="begin"/>
      </w:r>
      <w:r w:rsidRPr="00360586">
        <w:rPr>
          <w:lang w:val="de-DE"/>
        </w:rPr>
        <w:instrText xml:space="preserve"> PAGEREF _Toc354054550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MSDN-Betriebssysteme</w:t>
      </w:r>
      <w:r w:rsidRPr="00360586">
        <w:rPr>
          <w:lang w:val="de-DE"/>
        </w:rPr>
        <w:tab/>
      </w:r>
      <w:r>
        <w:fldChar w:fldCharType="begin"/>
      </w:r>
      <w:r w:rsidRPr="00360586">
        <w:rPr>
          <w:lang w:val="de-DE"/>
        </w:rPr>
        <w:instrText xml:space="preserve"> PAGEREF _Toc354054551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A2 (Nutzer-AL)</w:t>
      </w:r>
      <w:r w:rsidRPr="00360586">
        <w:rPr>
          <w:lang w:val="de-DE"/>
        </w:rPr>
        <w:tab/>
      </w:r>
      <w:r>
        <w:fldChar w:fldCharType="begin"/>
      </w:r>
      <w:r w:rsidRPr="00360586">
        <w:rPr>
          <w:lang w:val="de-DE"/>
        </w:rPr>
        <w:instrText xml:space="preserve"> PAGEREF _Toc354054552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A3 (Nutzer-AL)</w:t>
      </w:r>
      <w:r w:rsidRPr="00360586">
        <w:rPr>
          <w:lang w:val="de-DE"/>
        </w:rPr>
        <w:tab/>
      </w:r>
      <w:r>
        <w:fldChar w:fldCharType="begin"/>
      </w:r>
      <w:r w:rsidRPr="00360586">
        <w:rPr>
          <w:lang w:val="de-DE"/>
        </w:rPr>
        <w:instrText xml:space="preserve"> PAGEREF _Toc354054553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A4 (Nutzer-AL)</w:t>
      </w:r>
      <w:r w:rsidRPr="00360586">
        <w:rPr>
          <w:lang w:val="de-DE"/>
        </w:rPr>
        <w:tab/>
      </w:r>
      <w:r>
        <w:fldChar w:fldCharType="begin"/>
      </w:r>
      <w:r w:rsidRPr="00360586">
        <w:rPr>
          <w:lang w:val="de-DE"/>
        </w:rPr>
        <w:instrText xml:space="preserve"> PAGEREF _Toc354054554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Midsize Business (Nutzer-AL)</w:t>
      </w:r>
      <w:r w:rsidRPr="00360586">
        <w:rPr>
          <w:lang w:val="de-DE"/>
        </w:rPr>
        <w:tab/>
      </w:r>
      <w:r>
        <w:fldChar w:fldCharType="begin"/>
      </w:r>
      <w:r w:rsidRPr="00360586">
        <w:rPr>
          <w:lang w:val="de-DE"/>
        </w:rPr>
        <w:instrText xml:space="preserve"> PAGEREF _Toc354054555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Enterprise E1 (Nutzer-AL)</w:t>
      </w:r>
      <w:r w:rsidRPr="00360586">
        <w:rPr>
          <w:lang w:val="de-DE"/>
        </w:rPr>
        <w:tab/>
      </w:r>
      <w:r>
        <w:fldChar w:fldCharType="begin"/>
      </w:r>
      <w:r w:rsidRPr="00360586">
        <w:rPr>
          <w:lang w:val="de-DE"/>
        </w:rPr>
        <w:instrText xml:space="preserve"> PAGEREF _Toc354054556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Enterprise E2 (Nutzer-AL)</w:t>
      </w:r>
      <w:r w:rsidRPr="00360586">
        <w:rPr>
          <w:lang w:val="de-DE"/>
        </w:rPr>
        <w:tab/>
      </w:r>
      <w:r>
        <w:fldChar w:fldCharType="begin"/>
      </w:r>
      <w:r w:rsidRPr="00360586">
        <w:rPr>
          <w:lang w:val="de-DE"/>
        </w:rPr>
        <w:instrText xml:space="preserve"> PAGEREF _Toc354054557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Enterprise E3 (Nutzer-AL)</w:t>
      </w:r>
      <w:r w:rsidRPr="00360586">
        <w:rPr>
          <w:lang w:val="de-DE"/>
        </w:rPr>
        <w:tab/>
      </w:r>
      <w:r>
        <w:fldChar w:fldCharType="begin"/>
      </w:r>
      <w:r w:rsidRPr="00360586">
        <w:rPr>
          <w:lang w:val="de-DE"/>
        </w:rPr>
        <w:instrText xml:space="preserve"> PAGEREF _Toc354054558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Enterprise E4 (Nutzer-AL)</w:t>
      </w:r>
      <w:r w:rsidRPr="00360586">
        <w:rPr>
          <w:lang w:val="de-DE"/>
        </w:rPr>
        <w:tab/>
      </w:r>
      <w:r>
        <w:fldChar w:fldCharType="begin"/>
      </w:r>
      <w:r w:rsidRPr="00360586">
        <w:rPr>
          <w:lang w:val="de-DE"/>
        </w:rPr>
        <w:instrText xml:space="preserve"> PAGEREF _Toc354054559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Kommerzielle Nutzungsrechte für Office Home &amp; Student 2013 RT</w:t>
      </w:r>
      <w:r w:rsidRPr="00360586">
        <w:rPr>
          <w:lang w:val="de-DE"/>
        </w:rPr>
        <w:tab/>
      </w:r>
      <w:r>
        <w:fldChar w:fldCharType="begin"/>
      </w:r>
      <w:r w:rsidRPr="00360586">
        <w:rPr>
          <w:lang w:val="de-DE"/>
        </w:rPr>
        <w:instrText xml:space="preserve"> PAGEREF _Toc354054560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für Mac Standard 2011</w:t>
      </w:r>
      <w:r w:rsidRPr="00360586">
        <w:rPr>
          <w:lang w:val="de-DE"/>
        </w:rPr>
        <w:tab/>
      </w:r>
      <w:r>
        <w:fldChar w:fldCharType="begin"/>
      </w:r>
      <w:r w:rsidRPr="00360586">
        <w:rPr>
          <w:lang w:val="de-DE"/>
        </w:rPr>
        <w:instrText xml:space="preserve"> PAGEREF _Toc354054561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Multi-Language Pack 2013</w:t>
      </w:r>
      <w:r w:rsidRPr="00360586">
        <w:rPr>
          <w:lang w:val="de-DE"/>
        </w:rPr>
        <w:tab/>
      </w:r>
      <w:r>
        <w:fldChar w:fldCharType="begin"/>
      </w:r>
      <w:r w:rsidRPr="00360586">
        <w:rPr>
          <w:lang w:val="de-DE"/>
        </w:rPr>
        <w:instrText xml:space="preserve"> PAGEREF _Toc354054562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Professional Plus 2013</w:t>
      </w:r>
      <w:r w:rsidRPr="00360586">
        <w:rPr>
          <w:lang w:val="de-DE"/>
        </w:rPr>
        <w:tab/>
      </w:r>
      <w:r>
        <w:fldChar w:fldCharType="begin"/>
      </w:r>
      <w:r w:rsidRPr="00360586">
        <w:rPr>
          <w:lang w:val="de-DE"/>
        </w:rPr>
        <w:instrText xml:space="preserve"> PAGEREF _Toc354054563 \h </w:instrText>
      </w:r>
      <w:r>
        <w:fldChar w:fldCharType="separate"/>
      </w:r>
      <w:r w:rsidR="000B627C">
        <w:rPr>
          <w:lang w:val="de-DE"/>
        </w:rPr>
        <w:t>17</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360586">
        <w:rPr>
          <w:lang w:val="de-DE"/>
        </w:rPr>
        <w:t>Office Standard 2013</w:t>
      </w:r>
      <w:r w:rsidRPr="00360586">
        <w:rPr>
          <w:lang w:val="de-DE"/>
        </w:rPr>
        <w:tab/>
      </w:r>
      <w:r>
        <w:fldChar w:fldCharType="begin"/>
      </w:r>
      <w:r w:rsidRPr="00360586">
        <w:rPr>
          <w:lang w:val="de-DE"/>
        </w:rPr>
        <w:instrText xml:space="preserve"> PAGEREF _Toc354054564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Office 365 ProPlus (Nutzer-AL)</w:t>
      </w:r>
      <w:r w:rsidRPr="00360586">
        <w:rPr>
          <w:lang w:val="de-DE"/>
        </w:rPr>
        <w:tab/>
      </w:r>
      <w:r>
        <w:fldChar w:fldCharType="begin"/>
      </w:r>
      <w:r w:rsidRPr="00360586">
        <w:rPr>
          <w:lang w:val="de-DE"/>
        </w:rPr>
        <w:instrText xml:space="preserve"> PAGEREF _Toc354054565 \h </w:instrText>
      </w:r>
      <w:r>
        <w:fldChar w:fldCharType="separate"/>
      </w:r>
      <w:r w:rsidR="000B627C">
        <w:rPr>
          <w:lang w:val="de-DE"/>
        </w:rPr>
        <w:t>17</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Office 365 ProPlus SA-Übergang (Nutzer-AL)</w:t>
      </w:r>
      <w:r w:rsidRPr="00360586">
        <w:rPr>
          <w:lang w:val="de-DE"/>
        </w:rPr>
        <w:tab/>
      </w:r>
      <w:r>
        <w:fldChar w:fldCharType="begin"/>
      </w:r>
      <w:r w:rsidRPr="00360586">
        <w:rPr>
          <w:lang w:val="de-DE"/>
        </w:rPr>
        <w:instrText xml:space="preserve"> PAGEREF _Toc354054566 \h </w:instrText>
      </w:r>
      <w:r>
        <w:fldChar w:fldCharType="separate"/>
      </w:r>
      <w:r w:rsidR="000B627C">
        <w:rPr>
          <w:lang w:val="de-DE"/>
        </w:rPr>
        <w:t>18</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E1012C">
        <w:rPr>
          <w:rFonts w:cs="Tahoma"/>
          <w:lang w:val="fr-FR"/>
        </w:rPr>
        <w:t>Office Professional Plus-Abonnement A (Nutzer-AL)</w:t>
      </w:r>
      <w:r w:rsidRPr="00360586">
        <w:rPr>
          <w:lang w:val="fr-FR"/>
        </w:rPr>
        <w:tab/>
      </w:r>
      <w:r>
        <w:fldChar w:fldCharType="begin"/>
      </w:r>
      <w:r w:rsidRPr="00360586">
        <w:rPr>
          <w:lang w:val="fr-FR"/>
        </w:rPr>
        <w:instrText xml:space="preserve"> PAGEREF _Toc354054567 \h </w:instrText>
      </w:r>
      <w:r>
        <w:fldChar w:fldCharType="separate"/>
      </w:r>
      <w:r w:rsidR="000B627C">
        <w:rPr>
          <w:lang w:val="fr-FR"/>
        </w:rPr>
        <w:t>18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OneNote</w:t>
      </w:r>
      <w:r w:rsidRPr="00E1012C">
        <w:rPr>
          <w:rFonts w:cs="Tahoma"/>
          <w:vertAlign w:val="superscript"/>
        </w:rPr>
        <w:t>®</w:t>
      </w:r>
      <w:r w:rsidRPr="00E1012C">
        <w:rPr>
          <w:rFonts w:cs="Tahoma"/>
        </w:rPr>
        <w:t xml:space="preserve"> 2013</w:t>
      </w:r>
      <w:r>
        <w:tab/>
      </w:r>
      <w:r>
        <w:fldChar w:fldCharType="begin"/>
      </w:r>
      <w:r>
        <w:instrText xml:space="preserve"> PAGEREF _Toc354054568 \h </w:instrText>
      </w:r>
      <w:r>
        <w:fldChar w:fldCharType="separate"/>
      </w:r>
      <w:r w:rsidR="000B627C">
        <w:t>18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Outlook</w:t>
      </w:r>
      <w:r w:rsidRPr="00E1012C">
        <w:rPr>
          <w:rFonts w:cs="Tahoma"/>
          <w:vertAlign w:val="superscript"/>
        </w:rPr>
        <w:t>®</w:t>
      </w:r>
      <w:r w:rsidRPr="00E1012C">
        <w:rPr>
          <w:rFonts w:cs="Tahoma"/>
        </w:rPr>
        <w:t xml:space="preserve"> 2013</w:t>
      </w:r>
      <w:r>
        <w:tab/>
      </w:r>
      <w:r>
        <w:fldChar w:fldCharType="begin"/>
      </w:r>
      <w:r>
        <w:instrText xml:space="preserve"> PAGEREF _Toc354054569 \h </w:instrText>
      </w:r>
      <w:r>
        <w:fldChar w:fldCharType="separate"/>
      </w:r>
      <w:r w:rsidR="000B627C">
        <w:t>18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Outlook für Mac 2011</w:t>
      </w:r>
      <w:r>
        <w:tab/>
      </w:r>
      <w:r>
        <w:fldChar w:fldCharType="begin"/>
      </w:r>
      <w:r>
        <w:instrText xml:space="preserve"> PAGEREF _Toc354054570 \h </w:instrText>
      </w:r>
      <w:r>
        <w:fldChar w:fldCharType="separate"/>
      </w:r>
      <w:r w:rsidR="000B627C">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PowerPoint 2013</w:t>
      </w:r>
      <w:r>
        <w:tab/>
      </w:r>
      <w:r>
        <w:fldChar w:fldCharType="begin"/>
      </w:r>
      <w:r>
        <w:instrText xml:space="preserve"> PAGEREF _Toc354054571 \h </w:instrText>
      </w:r>
      <w:r>
        <w:fldChar w:fldCharType="separate"/>
      </w:r>
      <w:r w:rsidR="000B627C">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PowerPoint für Mac 2011</w:t>
      </w:r>
      <w:r>
        <w:tab/>
      </w:r>
      <w:r>
        <w:fldChar w:fldCharType="begin"/>
      </w:r>
      <w:r>
        <w:instrText xml:space="preserve"> PAGEREF _Toc354054572 \h </w:instrText>
      </w:r>
      <w:r>
        <w:fldChar w:fldCharType="separate"/>
      </w:r>
      <w:r w:rsidR="000B627C">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Project 2013 Standard</w:t>
      </w:r>
      <w:r>
        <w:tab/>
      </w:r>
      <w:r>
        <w:fldChar w:fldCharType="begin"/>
      </w:r>
      <w:r>
        <w:instrText xml:space="preserve"> PAGEREF _Toc354054573 \h </w:instrText>
      </w:r>
      <w:r>
        <w:fldChar w:fldCharType="separate"/>
      </w:r>
      <w:r w:rsidR="000B627C">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Project 2013 Professional</w:t>
      </w:r>
      <w:r>
        <w:tab/>
      </w:r>
      <w:r>
        <w:fldChar w:fldCharType="begin"/>
      </w:r>
      <w:r>
        <w:instrText xml:space="preserve"> PAGEREF _Toc354054574 \h </w:instrText>
      </w:r>
      <w:r>
        <w:fldChar w:fldCharType="separate"/>
      </w:r>
      <w:r w:rsidR="000B627C">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Project Pro für Office 365</w:t>
      </w:r>
      <w:r>
        <w:tab/>
      </w:r>
      <w:r>
        <w:fldChar w:fldCharType="begin"/>
      </w:r>
      <w:r>
        <w:instrText xml:space="preserve"> PAGEREF _Toc354054575 \h </w:instrText>
      </w:r>
      <w:r>
        <w:fldChar w:fldCharType="separate"/>
      </w:r>
      <w:r w:rsidR="000B627C">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Project Pro für Office 365 A</w:t>
      </w:r>
      <w:r>
        <w:tab/>
      </w:r>
      <w:r>
        <w:fldChar w:fldCharType="begin"/>
      </w:r>
      <w:r>
        <w:instrText xml:space="preserve"> PAGEREF _Toc354054576 \h </w:instrText>
      </w:r>
      <w:r>
        <w:fldChar w:fldCharType="separate"/>
      </w:r>
      <w:r w:rsidR="000B627C">
        <w:t>18</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360586">
        <w:rPr>
          <w:lang w:val="de-DE"/>
        </w:rPr>
        <w:t>Publisher 2013</w:t>
      </w:r>
      <w:r w:rsidRPr="00360586">
        <w:rPr>
          <w:lang w:val="de-DE"/>
        </w:rPr>
        <w:tab/>
      </w:r>
      <w:r>
        <w:fldChar w:fldCharType="begin"/>
      </w:r>
      <w:r w:rsidRPr="00360586">
        <w:rPr>
          <w:lang w:val="de-DE"/>
        </w:rPr>
        <w:instrText xml:space="preserve"> PAGEREF _Toc354054577 \h </w:instrText>
      </w:r>
      <w:r>
        <w:fldChar w:fldCharType="separate"/>
      </w:r>
      <w:r w:rsidR="000B627C">
        <w:rPr>
          <w:lang w:val="de-DE"/>
        </w:rPr>
        <w:t>18</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360586">
        <w:rPr>
          <w:lang w:val="de-DE"/>
        </w:rPr>
        <w:t>Vermietungsrechte für Office Standard</w:t>
      </w:r>
      <w:r w:rsidRPr="00360586">
        <w:rPr>
          <w:lang w:val="de-DE"/>
        </w:rPr>
        <w:tab/>
      </w:r>
      <w:r>
        <w:fldChar w:fldCharType="begin"/>
      </w:r>
      <w:r w:rsidRPr="00360586">
        <w:rPr>
          <w:lang w:val="de-DE"/>
        </w:rPr>
        <w:instrText xml:space="preserve"> PAGEREF _Toc354054578 \h </w:instrText>
      </w:r>
      <w:r>
        <w:fldChar w:fldCharType="separate"/>
      </w:r>
      <w:r w:rsidR="000B627C">
        <w:rPr>
          <w:lang w:val="de-DE"/>
        </w:rPr>
        <w:t>18</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E1012C">
        <w:rPr>
          <w:lang w:val="de-DE"/>
        </w:rPr>
        <w:t>Vermietungsrechte für Office Professional Plus</w:t>
      </w:r>
      <w:r w:rsidRPr="00360586">
        <w:rPr>
          <w:lang w:val="de-DE"/>
        </w:rPr>
        <w:tab/>
      </w:r>
      <w:r>
        <w:fldChar w:fldCharType="begin"/>
      </w:r>
      <w:r w:rsidRPr="00360586">
        <w:rPr>
          <w:lang w:val="de-DE"/>
        </w:rPr>
        <w:instrText xml:space="preserve"> PAGEREF _Toc354054579 \h </w:instrText>
      </w:r>
      <w:r>
        <w:fldChar w:fldCharType="separate"/>
      </w:r>
      <w:r w:rsidR="000B627C">
        <w:rPr>
          <w:lang w:val="de-DE"/>
        </w:rPr>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Streets and Trips 2013</w:t>
      </w:r>
      <w:r>
        <w:tab/>
      </w:r>
      <w:r>
        <w:fldChar w:fldCharType="begin"/>
      </w:r>
      <w:r>
        <w:instrText xml:space="preserve"> PAGEREF _Toc354054580 \h </w:instrText>
      </w:r>
      <w:r>
        <w:fldChar w:fldCharType="separate"/>
      </w:r>
      <w:r w:rsidR="000B627C">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TechNet Plus Direct</w:t>
      </w:r>
      <w:r>
        <w:tab/>
      </w:r>
      <w:r>
        <w:fldChar w:fldCharType="begin"/>
      </w:r>
      <w:r>
        <w:instrText xml:space="preserve"> PAGEREF _Toc354054581 \h </w:instrText>
      </w:r>
      <w:r>
        <w:fldChar w:fldCharType="separate"/>
      </w:r>
      <w:r w:rsidR="000B627C">
        <w:t>18</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E1012C">
        <w:rPr>
          <w:lang w:val="de-DE"/>
        </w:rPr>
        <w:t>Vexcel Desktop mit Erweitertem Inhaltspaket</w:t>
      </w:r>
      <w:r w:rsidRPr="00360586">
        <w:rPr>
          <w:lang w:val="de-DE"/>
        </w:rPr>
        <w:tab/>
      </w:r>
      <w:r>
        <w:fldChar w:fldCharType="begin"/>
      </w:r>
      <w:r w:rsidRPr="00360586">
        <w:rPr>
          <w:lang w:val="de-DE"/>
        </w:rPr>
        <w:instrText xml:space="preserve"> PAGEREF _Toc354054582 \h </w:instrText>
      </w:r>
      <w:r>
        <w:fldChar w:fldCharType="separate"/>
      </w:r>
      <w:r w:rsidR="000B627C">
        <w:rPr>
          <w:lang w:val="de-DE"/>
        </w:rPr>
        <w:t>18</w:t>
      </w:r>
      <w:r>
        <w:fldChar w:fldCharType="end"/>
      </w:r>
    </w:p>
    <w:p w:rsidR="00B7356C" w:rsidRPr="00360586" w:rsidRDefault="00B7356C" w:rsidP="008F06E8">
      <w:pPr>
        <w:pStyle w:val="TOC3"/>
        <w:rPr>
          <w:rFonts w:asciiTheme="minorHAnsi" w:eastAsia="Batang" w:hAnsiTheme="minorHAnsi" w:cstheme="minorBidi"/>
          <w:color w:val="auto"/>
          <w:sz w:val="22"/>
          <w:szCs w:val="22"/>
          <w:lang w:val="it-IT" w:eastAsia="ko-KR"/>
        </w:rPr>
      </w:pPr>
      <w:r w:rsidRPr="00360586">
        <w:rPr>
          <w:lang w:val="it-IT"/>
        </w:rPr>
        <w:t>Visio</w:t>
      </w:r>
      <w:r w:rsidRPr="00360586">
        <w:rPr>
          <w:vertAlign w:val="superscript"/>
          <w:lang w:val="it-IT"/>
        </w:rPr>
        <w:t>®</w:t>
      </w:r>
      <w:r w:rsidRPr="00360586">
        <w:rPr>
          <w:lang w:val="it-IT"/>
        </w:rPr>
        <w:t xml:space="preserve"> 2013 Professional</w:t>
      </w:r>
      <w:r w:rsidRPr="00360586">
        <w:rPr>
          <w:lang w:val="it-IT"/>
        </w:rPr>
        <w:tab/>
      </w:r>
      <w:r>
        <w:fldChar w:fldCharType="begin"/>
      </w:r>
      <w:r w:rsidRPr="00360586">
        <w:rPr>
          <w:lang w:val="it-IT"/>
        </w:rPr>
        <w:instrText xml:space="preserve"> PAGEREF _Toc354054583 \h </w:instrText>
      </w:r>
      <w:r>
        <w:fldChar w:fldCharType="separate"/>
      </w:r>
      <w:r w:rsidR="000B627C">
        <w:rPr>
          <w:lang w:val="it-IT"/>
        </w:rPr>
        <w:t>18</w:t>
      </w:r>
      <w:r>
        <w:fldChar w:fldCharType="end"/>
      </w:r>
    </w:p>
    <w:p w:rsidR="00B7356C" w:rsidRPr="00360586" w:rsidRDefault="00B7356C" w:rsidP="008F06E8">
      <w:pPr>
        <w:pStyle w:val="TOC3"/>
        <w:rPr>
          <w:rFonts w:asciiTheme="minorHAnsi" w:eastAsia="Batang" w:hAnsiTheme="minorHAnsi" w:cstheme="minorBidi"/>
          <w:color w:val="auto"/>
          <w:sz w:val="22"/>
          <w:szCs w:val="22"/>
          <w:lang w:val="it-IT" w:eastAsia="ko-KR"/>
        </w:rPr>
      </w:pPr>
      <w:r w:rsidRPr="00360586">
        <w:rPr>
          <w:lang w:val="it-IT"/>
        </w:rPr>
        <w:t>Visio</w:t>
      </w:r>
      <w:r w:rsidRPr="00360586">
        <w:rPr>
          <w:vertAlign w:val="superscript"/>
          <w:lang w:val="it-IT"/>
        </w:rPr>
        <w:t>®</w:t>
      </w:r>
      <w:r w:rsidRPr="00360586">
        <w:rPr>
          <w:lang w:val="it-IT"/>
        </w:rPr>
        <w:t xml:space="preserve"> 2013 Standard</w:t>
      </w:r>
      <w:r w:rsidRPr="00360586">
        <w:rPr>
          <w:lang w:val="it-IT"/>
        </w:rPr>
        <w:tab/>
      </w:r>
      <w:r>
        <w:fldChar w:fldCharType="begin"/>
      </w:r>
      <w:r w:rsidRPr="00360586">
        <w:rPr>
          <w:lang w:val="it-IT"/>
        </w:rPr>
        <w:instrText xml:space="preserve"> PAGEREF _Toc354054584 \h </w:instrText>
      </w:r>
      <w:r>
        <w:fldChar w:fldCharType="separate"/>
      </w:r>
      <w:r w:rsidR="000B627C">
        <w:rPr>
          <w:lang w:val="it-IT"/>
        </w:rPr>
        <w:t>18</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360586">
        <w:rPr>
          <w:rFonts w:cs="Tahoma"/>
          <w:lang w:val="it-IT"/>
        </w:rPr>
        <w:t>Visio Pro für Office 365</w:t>
      </w:r>
      <w:r w:rsidRPr="00360586">
        <w:rPr>
          <w:lang w:val="it-IT"/>
        </w:rPr>
        <w:tab/>
      </w:r>
      <w:r>
        <w:fldChar w:fldCharType="begin"/>
      </w:r>
      <w:r w:rsidRPr="00360586">
        <w:rPr>
          <w:lang w:val="it-IT"/>
        </w:rPr>
        <w:instrText xml:space="preserve"> PAGEREF _Toc354054585 \h </w:instrText>
      </w:r>
      <w:r>
        <w:fldChar w:fldCharType="separate"/>
      </w:r>
      <w:r w:rsidR="000B627C">
        <w:rPr>
          <w:lang w:val="it-IT"/>
        </w:rPr>
        <w:t>18</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E1012C">
        <w:rPr>
          <w:rFonts w:cs="Tahoma"/>
          <w:lang w:val="it-IT"/>
        </w:rPr>
        <w:t>Visio Pro für Office 365 A</w:t>
      </w:r>
      <w:r w:rsidRPr="00360586">
        <w:rPr>
          <w:lang w:val="it-IT"/>
        </w:rPr>
        <w:tab/>
      </w:r>
      <w:r>
        <w:fldChar w:fldCharType="begin"/>
      </w:r>
      <w:r w:rsidRPr="00360586">
        <w:rPr>
          <w:lang w:val="it-IT"/>
        </w:rPr>
        <w:instrText xml:space="preserve"> PAGEREF _Toc354054586 \h </w:instrText>
      </w:r>
      <w:r>
        <w:fldChar w:fldCharType="separate"/>
      </w:r>
      <w:r w:rsidR="000B627C">
        <w:rPr>
          <w:lang w:val="it-IT"/>
        </w:rPr>
        <w:t>18</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360586">
        <w:rPr>
          <w:rFonts w:cs="Tahoma"/>
          <w:lang w:val="it-IT"/>
        </w:rPr>
        <w:t>Visual Studio</w:t>
      </w:r>
      <w:r w:rsidRPr="00360586">
        <w:rPr>
          <w:rFonts w:cs="Tahoma"/>
          <w:vertAlign w:val="superscript"/>
          <w:lang w:val="it-IT"/>
        </w:rPr>
        <w:t>®</w:t>
      </w:r>
      <w:r w:rsidRPr="00360586">
        <w:rPr>
          <w:rFonts w:cs="Tahoma"/>
          <w:lang w:val="it-IT"/>
        </w:rPr>
        <w:t xml:space="preserve"> Professional 2012</w:t>
      </w:r>
      <w:r w:rsidRPr="00360586">
        <w:rPr>
          <w:lang w:val="it-IT"/>
        </w:rPr>
        <w:tab/>
      </w:r>
      <w:r>
        <w:fldChar w:fldCharType="begin"/>
      </w:r>
      <w:r w:rsidRPr="00360586">
        <w:rPr>
          <w:lang w:val="it-IT"/>
        </w:rPr>
        <w:instrText xml:space="preserve"> PAGEREF _Toc354054587 \h </w:instrText>
      </w:r>
      <w:r>
        <w:fldChar w:fldCharType="separate"/>
      </w:r>
      <w:r w:rsidR="000B627C">
        <w:rPr>
          <w:lang w:val="it-IT"/>
        </w:rPr>
        <w:t>18</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360586">
        <w:rPr>
          <w:rFonts w:cs="Tahoma"/>
          <w:lang w:val="it-IT"/>
        </w:rPr>
        <w:t>Visual Studio</w:t>
      </w:r>
      <w:r w:rsidRPr="00360586">
        <w:rPr>
          <w:rFonts w:cs="Tahoma"/>
          <w:vertAlign w:val="superscript"/>
          <w:lang w:val="it-IT"/>
        </w:rPr>
        <w:t>®</w:t>
      </w:r>
      <w:r w:rsidRPr="00360586">
        <w:rPr>
          <w:rFonts w:cs="Tahoma"/>
          <w:lang w:val="it-IT"/>
        </w:rPr>
        <w:t xml:space="preserve"> Professional  2012 mit MSDN</w:t>
      </w:r>
      <w:r w:rsidRPr="00360586">
        <w:rPr>
          <w:lang w:val="it-IT"/>
        </w:rPr>
        <w:tab/>
      </w:r>
      <w:r>
        <w:fldChar w:fldCharType="begin"/>
      </w:r>
      <w:r w:rsidRPr="00360586">
        <w:rPr>
          <w:lang w:val="it-IT"/>
        </w:rPr>
        <w:instrText xml:space="preserve"> PAGEREF _Toc354054588 \h </w:instrText>
      </w:r>
      <w:r>
        <w:fldChar w:fldCharType="separate"/>
      </w:r>
      <w:r w:rsidR="000B627C">
        <w:rPr>
          <w:lang w:val="it-IT"/>
        </w:rPr>
        <w:t>18</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360586">
        <w:rPr>
          <w:rFonts w:cs="Tahoma"/>
          <w:lang w:val="it-IT"/>
        </w:rPr>
        <w:lastRenderedPageBreak/>
        <w:t>Visual Studio</w:t>
      </w:r>
      <w:r w:rsidRPr="00360586">
        <w:rPr>
          <w:rFonts w:cs="Tahoma"/>
          <w:vertAlign w:val="superscript"/>
          <w:lang w:val="it-IT"/>
        </w:rPr>
        <w:t>®</w:t>
      </w:r>
      <w:r w:rsidRPr="00360586">
        <w:rPr>
          <w:rFonts w:cs="Tahoma"/>
          <w:lang w:val="it-IT"/>
        </w:rPr>
        <w:t xml:space="preserve"> Premium 2012 mit MSDN</w:t>
      </w:r>
      <w:r w:rsidRPr="00360586">
        <w:rPr>
          <w:lang w:val="it-IT"/>
        </w:rPr>
        <w:tab/>
      </w:r>
      <w:r>
        <w:fldChar w:fldCharType="begin"/>
      </w:r>
      <w:r w:rsidRPr="00360586">
        <w:rPr>
          <w:lang w:val="it-IT"/>
        </w:rPr>
        <w:instrText xml:space="preserve"> PAGEREF _Toc354054589 \h </w:instrText>
      </w:r>
      <w:r>
        <w:fldChar w:fldCharType="separate"/>
      </w:r>
      <w:r w:rsidR="000B627C">
        <w:rPr>
          <w:lang w:val="it-IT"/>
        </w:rPr>
        <w:t>18</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360586">
        <w:rPr>
          <w:rFonts w:cs="Tahoma"/>
          <w:lang w:val="it-IT"/>
        </w:rPr>
        <w:t>Visual Studio</w:t>
      </w:r>
      <w:r w:rsidRPr="00360586">
        <w:rPr>
          <w:rFonts w:cs="Tahoma"/>
          <w:vertAlign w:val="superscript"/>
          <w:lang w:val="it-IT"/>
        </w:rPr>
        <w:t>®</w:t>
      </w:r>
      <w:r w:rsidRPr="00360586">
        <w:rPr>
          <w:rFonts w:cs="Tahoma"/>
          <w:lang w:val="it-IT"/>
        </w:rPr>
        <w:t xml:space="preserve"> Ultimate 2012 mit MSDN</w:t>
      </w:r>
      <w:r w:rsidRPr="00360586">
        <w:rPr>
          <w:lang w:val="it-IT"/>
        </w:rPr>
        <w:tab/>
      </w:r>
      <w:r>
        <w:fldChar w:fldCharType="begin"/>
      </w:r>
      <w:r w:rsidRPr="00360586">
        <w:rPr>
          <w:lang w:val="it-IT"/>
        </w:rPr>
        <w:instrText xml:space="preserve"> PAGEREF _Toc354054590 \h </w:instrText>
      </w:r>
      <w:r>
        <w:fldChar w:fldCharType="separate"/>
      </w:r>
      <w:r w:rsidR="000B627C">
        <w:rPr>
          <w:lang w:val="it-IT"/>
        </w:rPr>
        <w:t>18</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360586">
        <w:rPr>
          <w:rFonts w:cs="Tahoma"/>
          <w:lang w:val="it-IT"/>
        </w:rPr>
        <w:t>Visual Studio</w:t>
      </w:r>
      <w:r w:rsidRPr="00360586">
        <w:rPr>
          <w:rFonts w:cs="Tahoma"/>
          <w:vertAlign w:val="superscript"/>
          <w:lang w:val="it-IT"/>
        </w:rPr>
        <w:t>®</w:t>
      </w:r>
      <w:r w:rsidRPr="00360586">
        <w:rPr>
          <w:rFonts w:cs="Tahoma"/>
          <w:lang w:val="it-IT"/>
        </w:rPr>
        <w:t xml:space="preserve"> Test Professional 2012 mit MSDN</w:t>
      </w:r>
      <w:r w:rsidRPr="00360586">
        <w:rPr>
          <w:lang w:val="it-IT"/>
        </w:rPr>
        <w:tab/>
      </w:r>
      <w:r>
        <w:fldChar w:fldCharType="begin"/>
      </w:r>
      <w:r w:rsidRPr="00360586">
        <w:rPr>
          <w:lang w:val="it-IT"/>
        </w:rPr>
        <w:instrText xml:space="preserve"> PAGEREF _Toc354054591 \h </w:instrText>
      </w:r>
      <w:r>
        <w:fldChar w:fldCharType="separate"/>
      </w:r>
      <w:r w:rsidR="000B627C">
        <w:rPr>
          <w:lang w:val="it-IT"/>
        </w:rPr>
        <w:t>18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Word 2013</w:t>
      </w:r>
      <w:r>
        <w:tab/>
      </w:r>
      <w:r>
        <w:fldChar w:fldCharType="begin"/>
      </w:r>
      <w:r>
        <w:instrText xml:space="preserve"> PAGEREF _Toc354054592 \h </w:instrText>
      </w:r>
      <w:r>
        <w:fldChar w:fldCharType="separate"/>
      </w:r>
      <w:r w:rsidR="000B627C">
        <w:t>18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Word für Mac 2011</w:t>
      </w:r>
      <w:r>
        <w:tab/>
      </w:r>
      <w:r>
        <w:fldChar w:fldCharType="begin"/>
      </w:r>
      <w:r>
        <w:instrText xml:space="preserve"> PAGEREF _Toc354054593 \h </w:instrText>
      </w:r>
      <w:r>
        <w:fldChar w:fldCharType="separate"/>
      </w:r>
      <w:r w:rsidR="000B627C">
        <w:t>18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SYSTEM-POOL</w:t>
      </w:r>
      <w:r>
        <w:tab/>
      </w:r>
      <w:r>
        <w:fldChar w:fldCharType="begin"/>
      </w:r>
      <w:r>
        <w:instrText xml:space="preserve"> PAGEREF _Toc354054594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Microsoft Desktop Optimization Pack für Software Assurance</w:t>
      </w:r>
      <w:r>
        <w:tab/>
      </w:r>
      <w:r>
        <w:fldChar w:fldCharType="begin"/>
      </w:r>
      <w:r>
        <w:instrText xml:space="preserve"> PAGEREF _Toc354054595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Companion-Abonnementlizenz</w:t>
      </w:r>
      <w:r>
        <w:tab/>
      </w:r>
      <w:r>
        <w:fldChar w:fldCharType="begin"/>
      </w:r>
      <w:r>
        <w:instrText xml:space="preserve"> PAGEREF _Toc354054596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Vista DVD Playback Pack</w:t>
      </w:r>
      <w:r>
        <w:tab/>
      </w:r>
      <w:r>
        <w:fldChar w:fldCharType="begin"/>
      </w:r>
      <w:r>
        <w:instrText xml:space="preserve"> PAGEREF _Toc354054597 \h </w:instrText>
      </w:r>
      <w:r>
        <w:fldChar w:fldCharType="separate"/>
      </w:r>
      <w:r w:rsidR="000B627C">
        <w:t>19</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Vermietungsrechte für Windows</w:t>
      </w:r>
      <w:r w:rsidRPr="00360586">
        <w:rPr>
          <w:lang w:val="de-DE"/>
        </w:rPr>
        <w:tab/>
      </w:r>
      <w:r>
        <w:fldChar w:fldCharType="begin"/>
      </w:r>
      <w:r w:rsidRPr="00360586">
        <w:rPr>
          <w:lang w:val="de-DE"/>
        </w:rPr>
        <w:instrText xml:space="preserve"> PAGEREF _Toc354054598 \h </w:instrText>
      </w:r>
      <w:r>
        <w:fldChar w:fldCharType="separate"/>
      </w:r>
      <w:r w:rsidR="000B627C">
        <w:rPr>
          <w:lang w:val="de-DE"/>
        </w:rPr>
        <w:t>19</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Windows 8 Enterprise  Sideloading (100 Pack)</w:t>
      </w:r>
      <w:r w:rsidRPr="00360586">
        <w:rPr>
          <w:lang w:val="de-DE"/>
        </w:rPr>
        <w:tab/>
      </w:r>
      <w:r>
        <w:fldChar w:fldCharType="begin"/>
      </w:r>
      <w:r w:rsidRPr="00360586">
        <w:rPr>
          <w:lang w:val="de-DE"/>
        </w:rPr>
        <w:instrText xml:space="preserve"> PAGEREF _Toc354054599 \h </w:instrText>
      </w:r>
      <w:r>
        <w:fldChar w:fldCharType="separate"/>
      </w:r>
      <w:r w:rsidR="000B627C">
        <w:rPr>
          <w:lang w:val="de-DE"/>
        </w:rPr>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w:t>
      </w:r>
      <w:r w:rsidRPr="00E1012C">
        <w:rPr>
          <w:rFonts w:cs="Tahoma"/>
          <w:vertAlign w:val="superscript"/>
        </w:rPr>
        <w:t>®</w:t>
      </w:r>
      <w:r w:rsidRPr="00E1012C">
        <w:rPr>
          <w:rFonts w:cs="Tahoma"/>
        </w:rPr>
        <w:t xml:space="preserve"> 7 Partners in Learning</w:t>
      </w:r>
      <w:r>
        <w:tab/>
      </w:r>
      <w:r>
        <w:fldChar w:fldCharType="begin"/>
      </w:r>
      <w:r>
        <w:instrText xml:space="preserve"> PAGEREF _Toc354054600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w:t>
      </w:r>
      <w:r w:rsidRPr="00E1012C">
        <w:rPr>
          <w:rFonts w:cs="Tahoma"/>
          <w:vertAlign w:val="superscript"/>
        </w:rPr>
        <w:t>®</w:t>
      </w:r>
      <w:r w:rsidRPr="00E1012C">
        <w:rPr>
          <w:rFonts w:cs="Tahoma"/>
        </w:rPr>
        <w:t xml:space="preserve"> 8 Pro</w:t>
      </w:r>
      <w:r>
        <w:tab/>
      </w:r>
      <w:r>
        <w:fldChar w:fldCharType="begin"/>
      </w:r>
      <w:r>
        <w:instrText xml:space="preserve"> PAGEREF _Toc354054601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w:t>
      </w:r>
      <w:r w:rsidRPr="00E1012C">
        <w:rPr>
          <w:rFonts w:cs="Tahoma"/>
          <w:vertAlign w:val="superscript"/>
        </w:rPr>
        <w:t>®</w:t>
      </w:r>
      <w:r w:rsidRPr="00E1012C">
        <w:rPr>
          <w:rFonts w:cs="Tahoma"/>
        </w:rPr>
        <w:t xml:space="preserve"> 8 Pro mit MDOP</w:t>
      </w:r>
      <w:r>
        <w:tab/>
      </w:r>
      <w:r>
        <w:fldChar w:fldCharType="begin"/>
      </w:r>
      <w:r>
        <w:instrText xml:space="preserve"> PAGEREF _Toc354054602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Virtual Desktop Access (VDA)</w:t>
      </w:r>
      <w:r>
        <w:tab/>
      </w:r>
      <w:r>
        <w:fldChar w:fldCharType="begin"/>
      </w:r>
      <w:r>
        <w:instrText xml:space="preserve"> PAGEREF _Toc354054603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Intune (Pro Gerät)</w:t>
      </w:r>
      <w:r>
        <w:tab/>
      </w:r>
      <w:r>
        <w:fldChar w:fldCharType="begin"/>
      </w:r>
      <w:r>
        <w:instrText xml:space="preserve"> PAGEREF _Toc354054604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Intune-Add-On (Pro Gerät)</w:t>
      </w:r>
      <w:r>
        <w:tab/>
      </w:r>
      <w:r>
        <w:fldChar w:fldCharType="begin"/>
      </w:r>
      <w:r>
        <w:instrText xml:space="preserve"> PAGEREF _Toc354054605 \h </w:instrText>
      </w:r>
      <w:r>
        <w:fldChar w:fldCharType="separate"/>
      </w:r>
      <w:r w:rsidR="000B627C">
        <w:t>19</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E1012C">
        <w:t>SERVER-POOL</w:t>
      </w:r>
      <w:r>
        <w:tab/>
      </w:r>
      <w:r>
        <w:fldChar w:fldCharType="begin"/>
      </w:r>
      <w:r>
        <w:instrText xml:space="preserve"> PAGEREF _Toc354054606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Consumer Tracked Per Asset Monthly Sub</w:t>
      </w:r>
      <w:r>
        <w:tab/>
      </w:r>
      <w:r>
        <w:fldChar w:fldCharType="begin"/>
      </w:r>
      <w:r>
        <w:instrText xml:space="preserve"> PAGEREF _Toc354054607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for Enterprise Platform Fee Monthly Sub</w:t>
      </w:r>
      <w:r>
        <w:tab/>
      </w:r>
      <w:r>
        <w:fldChar w:fldCharType="begin"/>
      </w:r>
      <w:r>
        <w:instrText xml:space="preserve"> PAGEREF _Toc354054608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Public Website Usage 100K Transactions Monthly Sub</w:t>
      </w:r>
      <w:r>
        <w:tab/>
      </w:r>
      <w:r>
        <w:fldChar w:fldCharType="begin"/>
      </w:r>
      <w:r>
        <w:instrText xml:space="preserve"> PAGEREF _Toc354054609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Public Website Usage 250K Transactions Monthly Sub</w:t>
      </w:r>
      <w:r>
        <w:tab/>
      </w:r>
      <w:r>
        <w:fldChar w:fldCharType="begin"/>
      </w:r>
      <w:r>
        <w:instrText xml:space="preserve"> PAGEREF _Toc354054610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Public Website Usage 420K Transactions Monthly Sub</w:t>
      </w:r>
      <w:r>
        <w:tab/>
      </w:r>
      <w:r>
        <w:fldChar w:fldCharType="begin"/>
      </w:r>
      <w:r>
        <w:instrText xml:space="preserve"> PAGEREF _Toc354054611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Public Website Usage 840K Transactions Monthly Sub</w:t>
      </w:r>
      <w:r>
        <w:tab/>
      </w:r>
      <w:r>
        <w:fldChar w:fldCharType="begin"/>
      </w:r>
      <w:r>
        <w:instrText xml:space="preserve"> PAGEREF _Toc354054612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Public Website Usage 2.5m Transactions Monthly Sub</w:t>
      </w:r>
      <w:r>
        <w:tab/>
      </w:r>
      <w:r>
        <w:fldChar w:fldCharType="begin"/>
      </w:r>
      <w:r>
        <w:instrText xml:space="preserve"> PAGEREF _Toc354054613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Public Website Usage 4.2m Transactions Monthly Sub</w:t>
      </w:r>
      <w:r>
        <w:tab/>
      </w:r>
      <w:r>
        <w:fldChar w:fldCharType="begin"/>
      </w:r>
      <w:r>
        <w:instrText xml:space="preserve"> PAGEREF _Toc354054614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Public Website Usage 8.4m Transactions Monthly Sub</w:t>
      </w:r>
      <w:r>
        <w:tab/>
      </w:r>
      <w:r>
        <w:fldChar w:fldCharType="begin"/>
      </w:r>
      <w:r>
        <w:instrText xml:space="preserve"> PAGEREF _Toc354054615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Public Website Usage Unlimited Transactions Monthly Sub</w:t>
      </w:r>
      <w:r>
        <w:tab/>
      </w:r>
      <w:r>
        <w:fldChar w:fldCharType="begin"/>
      </w:r>
      <w:r>
        <w:instrText xml:space="preserve"> PAGEREF _Toc354054616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Internal Website Usage 100K Transactions Monthly Sub</w:t>
      </w:r>
      <w:r>
        <w:tab/>
      </w:r>
      <w:r>
        <w:fldChar w:fldCharType="begin"/>
      </w:r>
      <w:r>
        <w:instrText xml:space="preserve"> PAGEREF _Toc354054617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Internal Website Usage 250K Transactions Monthly Sub</w:t>
      </w:r>
      <w:r>
        <w:tab/>
      </w:r>
      <w:r>
        <w:fldChar w:fldCharType="begin"/>
      </w:r>
      <w:r>
        <w:instrText xml:space="preserve"> PAGEREF _Toc354054618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Internal Website Usage 420K Transactions Monthly Sub</w:t>
      </w:r>
      <w:r>
        <w:tab/>
      </w:r>
      <w:r>
        <w:fldChar w:fldCharType="begin"/>
      </w:r>
      <w:r>
        <w:instrText xml:space="preserve"> PAGEREF _Toc354054619 \h </w:instrText>
      </w:r>
      <w:r>
        <w:fldChar w:fldCharType="separate"/>
      </w:r>
      <w:r w:rsidR="000B627C">
        <w:t>19</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Internal Website Usage 1.25m Transactions Monthly Sub</w:t>
      </w:r>
      <w:r>
        <w:tab/>
      </w:r>
      <w:r>
        <w:fldChar w:fldCharType="begin"/>
      </w:r>
      <w:r>
        <w:instrText xml:space="preserve"> PAGEREF _Toc354054620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Internal Website Usage 2.1m Transactions Monthly Sub</w:t>
      </w:r>
      <w:r>
        <w:tab/>
      </w:r>
      <w:r>
        <w:fldChar w:fldCharType="begin"/>
      </w:r>
      <w:r>
        <w:instrText xml:space="preserve"> PAGEREF _Toc354054621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Internal Website Usage Unlimited Transactions Monthly Sub</w:t>
      </w:r>
      <w:r>
        <w:tab/>
      </w:r>
      <w:r>
        <w:fldChar w:fldCharType="begin"/>
      </w:r>
      <w:r>
        <w:instrText xml:space="preserve"> PAGEREF _Toc354054622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Known Per User Monthly Sub</w:t>
      </w:r>
      <w:r>
        <w:tab/>
      </w:r>
      <w:r>
        <w:fldChar w:fldCharType="begin"/>
      </w:r>
      <w:r>
        <w:instrText xml:space="preserve"> PAGEREF _Toc354054623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Known 5K User Bundle Monthly Sub</w:t>
      </w:r>
      <w:r>
        <w:tab/>
      </w:r>
      <w:r>
        <w:fldChar w:fldCharType="begin"/>
      </w:r>
      <w:r>
        <w:instrText xml:space="preserve"> PAGEREF _Toc354054624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Light Known Per User Monthly Sub</w:t>
      </w:r>
      <w:r>
        <w:tab/>
      </w:r>
      <w:r>
        <w:fldChar w:fldCharType="begin"/>
      </w:r>
      <w:r>
        <w:instrText xml:space="preserve"> PAGEREF _Toc354054625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Light Known 5K User Bundle Monthly Sub</w:t>
      </w:r>
      <w:r>
        <w:tab/>
      </w:r>
      <w:r>
        <w:fldChar w:fldCharType="begin"/>
      </w:r>
      <w:r>
        <w:instrText xml:space="preserve"> PAGEREF _Toc354054626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Mobile Asset Management Platform Fee Monthly Sub</w:t>
      </w:r>
      <w:r>
        <w:tab/>
      </w:r>
      <w:r>
        <w:fldChar w:fldCharType="begin"/>
      </w:r>
      <w:r>
        <w:instrText xml:space="preserve"> PAGEREF _Toc354054627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Mobile Asset Management NA mit Routing Per Asset Monthly Sub</w:t>
      </w:r>
      <w:r>
        <w:tab/>
      </w:r>
      <w:r>
        <w:fldChar w:fldCharType="begin"/>
      </w:r>
      <w:r>
        <w:instrText xml:space="preserve"> PAGEREF _Toc354054628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Mobile Asset Management NA ohne Routing Per Asset Monthly Sub</w:t>
      </w:r>
      <w:r>
        <w:tab/>
      </w:r>
      <w:r>
        <w:fldChar w:fldCharType="begin"/>
      </w:r>
      <w:r>
        <w:instrText xml:space="preserve"> PAGEREF _Toc354054629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Mobile Asset Management Europe mit Routing Per Asset Monthly Sub</w:t>
      </w:r>
      <w:r>
        <w:tab/>
      </w:r>
      <w:r>
        <w:fldChar w:fldCharType="begin"/>
      </w:r>
      <w:r>
        <w:instrText xml:space="preserve"> PAGEREF _Toc354054630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Bing Maps Mobile Asset Management Europe ohne Routing Per Asset Monthly Sub</w:t>
      </w:r>
      <w:r>
        <w:tab/>
      </w:r>
      <w:r>
        <w:fldChar w:fldCharType="begin"/>
      </w:r>
      <w:r>
        <w:instrText xml:space="preserve"> PAGEREF _Toc354054631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Client-Zugriffslizenz („CAL“ oder „Client Access License“) für Bing Maps Server</w:t>
      </w:r>
      <w:r>
        <w:tab/>
      </w:r>
      <w:r>
        <w:fldChar w:fldCharType="begin"/>
      </w:r>
      <w:r>
        <w:instrText xml:space="preserve"> PAGEREF _Toc354054632 \h </w:instrText>
      </w:r>
      <w:r>
        <w:fldChar w:fldCharType="separate"/>
      </w:r>
      <w:r w:rsidR="000B627C">
        <w:t>20</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E1012C">
        <w:rPr>
          <w:lang w:val="de-DE"/>
        </w:rPr>
        <w:t>CAL für Bing Maps Server mit erweitertem Inhaltspaket</w:t>
      </w:r>
      <w:r w:rsidRPr="00360586">
        <w:rPr>
          <w:lang w:val="de-DE"/>
        </w:rPr>
        <w:tab/>
      </w:r>
      <w:r>
        <w:fldChar w:fldCharType="begin"/>
      </w:r>
      <w:r w:rsidRPr="00360586">
        <w:rPr>
          <w:lang w:val="de-DE"/>
        </w:rPr>
        <w:instrText xml:space="preserve"> PAGEREF _Toc354054633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lang w:val="de-DE"/>
        </w:rPr>
        <w:t>Bing Maps Standard (Nutzer-AL)</w:t>
      </w:r>
      <w:r w:rsidRPr="00360586">
        <w:rPr>
          <w:lang w:val="de-DE"/>
        </w:rPr>
        <w:tab/>
      </w:r>
      <w:r>
        <w:fldChar w:fldCharType="begin"/>
      </w:r>
      <w:r w:rsidRPr="00360586">
        <w:rPr>
          <w:lang w:val="de-DE"/>
        </w:rPr>
        <w:instrText xml:space="preserve"> PAGEREF _Toc354054634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lang w:val="de-DE"/>
        </w:rPr>
        <w:t>Bing Maps Standard (Dienste-AL)</w:t>
      </w:r>
      <w:r w:rsidRPr="00360586">
        <w:rPr>
          <w:lang w:val="de-DE"/>
        </w:rPr>
        <w:tab/>
      </w:r>
      <w:r>
        <w:fldChar w:fldCharType="begin"/>
      </w:r>
      <w:r w:rsidRPr="00360586">
        <w:rPr>
          <w:lang w:val="de-DE"/>
        </w:rPr>
        <w:instrText xml:space="preserve"> PAGEREF _Toc354054635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BizTalk</w:t>
      </w:r>
      <w:r w:rsidRPr="00360586">
        <w:rPr>
          <w:rFonts w:cs="Tahoma"/>
          <w:vertAlign w:val="superscript"/>
          <w:lang w:val="de-DE"/>
        </w:rPr>
        <w:t>®</w:t>
      </w:r>
      <w:r w:rsidRPr="00360586">
        <w:rPr>
          <w:rFonts w:cs="Tahoma"/>
          <w:lang w:val="de-DE"/>
        </w:rPr>
        <w:t xml:space="preserve"> Server 2013 Branch Edition</w:t>
      </w:r>
      <w:r w:rsidRPr="00360586">
        <w:rPr>
          <w:lang w:val="de-DE"/>
        </w:rPr>
        <w:tab/>
      </w:r>
      <w:r>
        <w:fldChar w:fldCharType="begin"/>
      </w:r>
      <w:r w:rsidRPr="00360586">
        <w:rPr>
          <w:lang w:val="de-DE"/>
        </w:rPr>
        <w:instrText xml:space="preserve"> PAGEREF _Toc354054636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BizTalk</w:t>
      </w:r>
      <w:r w:rsidRPr="00360586">
        <w:rPr>
          <w:rFonts w:cs="Tahoma"/>
          <w:vertAlign w:val="superscript"/>
          <w:lang w:val="de-DE"/>
        </w:rPr>
        <w:t>®</w:t>
      </w:r>
      <w:r w:rsidRPr="00360586">
        <w:rPr>
          <w:rFonts w:cs="Tahoma"/>
          <w:lang w:val="de-DE"/>
        </w:rPr>
        <w:t xml:space="preserve"> Server 2013 Enterprise Edition</w:t>
      </w:r>
      <w:r w:rsidRPr="00360586">
        <w:rPr>
          <w:lang w:val="de-DE"/>
        </w:rPr>
        <w:tab/>
      </w:r>
      <w:r>
        <w:fldChar w:fldCharType="begin"/>
      </w:r>
      <w:r w:rsidRPr="00360586">
        <w:rPr>
          <w:lang w:val="de-DE"/>
        </w:rPr>
        <w:instrText xml:space="preserve"> PAGEREF _Toc354054637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BizTalk</w:t>
      </w:r>
      <w:r w:rsidRPr="00360586">
        <w:rPr>
          <w:rFonts w:cs="Tahoma"/>
          <w:vertAlign w:val="superscript"/>
          <w:lang w:val="de-DE"/>
        </w:rPr>
        <w:t>®</w:t>
      </w:r>
      <w:r w:rsidRPr="00360586">
        <w:rPr>
          <w:rFonts w:cs="Tahoma"/>
          <w:lang w:val="de-DE"/>
        </w:rPr>
        <w:t xml:space="preserve"> Server 2013 Branch IDC</w:t>
      </w:r>
      <w:r w:rsidRPr="00360586">
        <w:rPr>
          <w:lang w:val="de-DE"/>
        </w:rPr>
        <w:tab/>
      </w:r>
      <w:r>
        <w:fldChar w:fldCharType="begin"/>
      </w:r>
      <w:r w:rsidRPr="00360586">
        <w:rPr>
          <w:lang w:val="de-DE"/>
        </w:rPr>
        <w:instrText xml:space="preserve"> PAGEREF _Toc354054638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BizTalk</w:t>
      </w:r>
      <w:r w:rsidRPr="00360586">
        <w:rPr>
          <w:rFonts w:cs="Tahoma"/>
          <w:vertAlign w:val="superscript"/>
          <w:lang w:val="de-DE"/>
        </w:rPr>
        <w:t>®</w:t>
      </w:r>
      <w:r w:rsidRPr="00360586">
        <w:rPr>
          <w:rFonts w:cs="Tahoma"/>
          <w:lang w:val="de-DE"/>
        </w:rPr>
        <w:t xml:space="preserve"> Server 2013 Standard Edition</w:t>
      </w:r>
      <w:r w:rsidRPr="00360586">
        <w:rPr>
          <w:lang w:val="de-DE"/>
        </w:rPr>
        <w:tab/>
      </w:r>
      <w:r>
        <w:fldChar w:fldCharType="begin"/>
      </w:r>
      <w:r w:rsidRPr="00360586">
        <w:rPr>
          <w:lang w:val="de-DE"/>
        </w:rPr>
        <w:instrText xml:space="preserve"> PAGEREF _Toc354054639 \h </w:instrText>
      </w:r>
      <w:r>
        <w:fldChar w:fldCharType="separate"/>
      </w:r>
      <w:r w:rsidR="000B627C">
        <w:rPr>
          <w:lang w:val="de-DE"/>
        </w:rPr>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BizTalk</w:t>
      </w:r>
      <w:r w:rsidRPr="00E1012C">
        <w:rPr>
          <w:rFonts w:cs="Tahoma"/>
          <w:vertAlign w:val="superscript"/>
        </w:rPr>
        <w:t>®</w:t>
      </w:r>
      <w:r w:rsidRPr="00E1012C">
        <w:rPr>
          <w:rFonts w:cs="Tahoma"/>
        </w:rPr>
        <w:t xml:space="preserve"> Server 2013 Standard Edition IDC</w:t>
      </w:r>
      <w:r>
        <w:tab/>
      </w:r>
      <w:r>
        <w:fldChar w:fldCharType="begin"/>
      </w:r>
      <w:r>
        <w:instrText xml:space="preserve"> PAGEREF _Toc354054640 \h </w:instrText>
      </w:r>
      <w:r>
        <w:fldChar w:fldCharType="separate"/>
      </w:r>
      <w:r w:rsidR="000B627C">
        <w:t>20</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Business Intelligence Appliance 2012</w:t>
      </w:r>
      <w:r>
        <w:tab/>
      </w:r>
      <w:r>
        <w:fldChar w:fldCharType="begin"/>
      </w:r>
      <w:r>
        <w:instrText xml:space="preserve"> PAGEREF _Toc354054641 \h </w:instrText>
      </w:r>
      <w:r>
        <w:fldChar w:fldCharType="separate"/>
      </w:r>
      <w:r w:rsidR="000B627C">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Core CAL Suite Bridge für Office 365 (Nutzer &amp; Gerät)</w:t>
      </w:r>
      <w:r w:rsidRPr="00360586">
        <w:rPr>
          <w:lang w:val="de-DE"/>
        </w:rPr>
        <w:tab/>
      </w:r>
      <w:r>
        <w:fldChar w:fldCharType="begin"/>
      </w:r>
      <w:r w:rsidRPr="00360586">
        <w:rPr>
          <w:lang w:val="de-DE"/>
        </w:rPr>
        <w:instrText xml:space="preserve"> PAGEREF _Toc354054642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Core CAL Suite Bridge für Office 365 und Windows</w:t>
      </w:r>
      <w:r w:rsidRPr="00E1012C">
        <w:rPr>
          <w:rFonts w:cs="Tahoma"/>
          <w:vertAlign w:val="superscript"/>
          <w:lang w:val="de-DE"/>
        </w:rPr>
        <w:t>®</w:t>
      </w:r>
      <w:r w:rsidRPr="00E1012C">
        <w:rPr>
          <w:rFonts w:cs="Tahoma"/>
          <w:lang w:val="de-DE"/>
        </w:rPr>
        <w:t xml:space="preserve"> Intune (Nutzer &amp; Gerät)</w:t>
      </w:r>
      <w:r w:rsidRPr="00360586">
        <w:rPr>
          <w:lang w:val="de-DE"/>
        </w:rPr>
        <w:tab/>
      </w:r>
      <w:r>
        <w:fldChar w:fldCharType="begin"/>
      </w:r>
      <w:r w:rsidRPr="00360586">
        <w:rPr>
          <w:lang w:val="de-DE"/>
        </w:rPr>
        <w:instrText xml:space="preserve"> PAGEREF _Toc354054643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Core CAL Suite Bridge für Windows</w:t>
      </w:r>
      <w:r w:rsidRPr="00E1012C">
        <w:rPr>
          <w:rFonts w:cs="Tahoma"/>
          <w:vertAlign w:val="superscript"/>
          <w:lang w:val="de-DE"/>
        </w:rPr>
        <w:t>®</w:t>
      </w:r>
      <w:r w:rsidRPr="00E1012C">
        <w:rPr>
          <w:rFonts w:cs="Tahoma"/>
          <w:lang w:val="de-DE"/>
        </w:rPr>
        <w:t xml:space="preserve"> Intune (Nutzer &amp; Gerät)</w:t>
      </w:r>
      <w:r w:rsidRPr="00360586">
        <w:rPr>
          <w:lang w:val="de-DE"/>
        </w:rPr>
        <w:tab/>
      </w:r>
      <w:r>
        <w:fldChar w:fldCharType="begin"/>
      </w:r>
      <w:r w:rsidRPr="00360586">
        <w:rPr>
          <w:lang w:val="de-DE"/>
        </w:rPr>
        <w:instrText xml:space="preserve"> PAGEREF _Toc354054644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Core CAL Suite (Nutzer &amp; Gerät)</w:t>
      </w:r>
      <w:r w:rsidRPr="00360586">
        <w:rPr>
          <w:lang w:val="de-DE"/>
        </w:rPr>
        <w:tab/>
      </w:r>
      <w:r>
        <w:fldChar w:fldCharType="begin"/>
      </w:r>
      <w:r w:rsidRPr="00360586">
        <w:rPr>
          <w:lang w:val="de-DE"/>
        </w:rPr>
        <w:instrText xml:space="preserve"> PAGEREF _Toc354054645 \h </w:instrText>
      </w:r>
      <w:r>
        <w:fldChar w:fldCharType="separate"/>
      </w:r>
      <w:r w:rsidR="000B627C">
        <w:rPr>
          <w:lang w:val="de-DE"/>
        </w:rPr>
        <w:t>20</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E1012C">
        <w:rPr>
          <w:rFonts w:cs="Tahoma"/>
          <w:lang w:val="fr-FR"/>
        </w:rPr>
        <w:t>Core Infrastructure Server Suite Standard</w:t>
      </w:r>
      <w:r w:rsidRPr="00360586">
        <w:rPr>
          <w:lang w:val="fr-FR"/>
        </w:rPr>
        <w:tab/>
      </w:r>
      <w:r>
        <w:fldChar w:fldCharType="begin"/>
      </w:r>
      <w:r w:rsidRPr="00360586">
        <w:rPr>
          <w:lang w:val="fr-FR"/>
        </w:rPr>
        <w:instrText xml:space="preserve"> PAGEREF _Toc354054646 \h </w:instrText>
      </w:r>
      <w:r>
        <w:fldChar w:fldCharType="separate"/>
      </w:r>
      <w:r w:rsidR="000B627C">
        <w:rPr>
          <w:lang w:val="fr-FR"/>
        </w:rPr>
        <w:t>20</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E1012C">
        <w:rPr>
          <w:rFonts w:cs="Tahoma"/>
          <w:lang w:val="fr-FR"/>
        </w:rPr>
        <w:t>Core Infrastructure Server Suite Enterprise</w:t>
      </w:r>
      <w:r w:rsidRPr="00360586">
        <w:rPr>
          <w:lang w:val="fr-FR"/>
        </w:rPr>
        <w:tab/>
      </w:r>
      <w:r>
        <w:fldChar w:fldCharType="begin"/>
      </w:r>
      <w:r w:rsidRPr="00360586">
        <w:rPr>
          <w:lang w:val="fr-FR"/>
        </w:rPr>
        <w:instrText xml:space="preserve"> PAGEREF _Toc354054647 \h </w:instrText>
      </w:r>
      <w:r>
        <w:fldChar w:fldCharType="separate"/>
      </w:r>
      <w:r w:rsidR="000B627C">
        <w:rPr>
          <w:lang w:val="fr-FR"/>
        </w:rPr>
        <w:t>20</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E1012C">
        <w:rPr>
          <w:rFonts w:cs="Tahoma"/>
          <w:lang w:val="fr-FR"/>
        </w:rPr>
        <w:lastRenderedPageBreak/>
        <w:t>Core Infrastructure Server Suite Datacenter</w:t>
      </w:r>
      <w:r w:rsidRPr="00360586">
        <w:rPr>
          <w:lang w:val="fr-FR"/>
        </w:rPr>
        <w:tab/>
      </w:r>
      <w:r>
        <w:fldChar w:fldCharType="begin"/>
      </w:r>
      <w:r w:rsidRPr="00360586">
        <w:rPr>
          <w:lang w:val="fr-FR"/>
        </w:rPr>
        <w:instrText xml:space="preserve"> PAGEREF _Toc354054648 \h </w:instrText>
      </w:r>
      <w:r>
        <w:fldChar w:fldCharType="separate"/>
      </w:r>
      <w:r w:rsidR="000B627C">
        <w:rPr>
          <w:lang w:val="fr-FR"/>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color w:val="000000"/>
          <w:lang w:val="de-DE"/>
        </w:rPr>
        <w:t>Duet Enterprise 2.0</w:t>
      </w:r>
      <w:r w:rsidRPr="00360586">
        <w:rPr>
          <w:lang w:val="de-DE"/>
        </w:rPr>
        <w:tab/>
      </w:r>
      <w:r>
        <w:fldChar w:fldCharType="begin"/>
      </w:r>
      <w:r w:rsidRPr="00360586">
        <w:rPr>
          <w:lang w:val="de-DE"/>
        </w:rPr>
        <w:instrText xml:space="preserve"> PAGEREF _Toc354054649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color w:val="000000"/>
          <w:lang w:val="de-DE"/>
        </w:rPr>
        <w:t>Zusatzspeicher für Dynamics CRM Online</w:t>
      </w:r>
      <w:r w:rsidRPr="00360586">
        <w:rPr>
          <w:lang w:val="de-DE"/>
        </w:rPr>
        <w:tab/>
      </w:r>
      <w:r>
        <w:fldChar w:fldCharType="begin"/>
      </w:r>
      <w:r w:rsidRPr="00360586">
        <w:rPr>
          <w:lang w:val="de-DE"/>
        </w:rPr>
        <w:instrText xml:space="preserve"> PAGEREF _Toc354054650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color w:val="000000"/>
          <w:lang w:val="de-DE"/>
        </w:rPr>
        <w:t>Dynamics CRM Online pro Nutzer</w:t>
      </w:r>
      <w:r w:rsidRPr="00360586">
        <w:rPr>
          <w:lang w:val="de-DE"/>
        </w:rPr>
        <w:tab/>
      </w:r>
      <w:r>
        <w:fldChar w:fldCharType="begin"/>
      </w:r>
      <w:r w:rsidRPr="00360586">
        <w:rPr>
          <w:lang w:val="de-DE"/>
        </w:rPr>
        <w:instrText xml:space="preserve"> PAGEREF _Toc354054651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color w:val="000000"/>
          <w:lang w:val="de-DE"/>
        </w:rPr>
        <w:t>Dynamics CRM Online für SA</w:t>
      </w:r>
      <w:r w:rsidRPr="00360586">
        <w:rPr>
          <w:lang w:val="de-DE"/>
        </w:rPr>
        <w:tab/>
      </w:r>
      <w:r>
        <w:fldChar w:fldCharType="begin"/>
      </w:r>
      <w:r w:rsidRPr="00360586">
        <w:rPr>
          <w:lang w:val="de-DE"/>
        </w:rPr>
        <w:instrText xml:space="preserve"> PAGEREF _Toc354054652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Enterprise CAL Suite Bridge für Office 365 (Nutzer &amp; Gerät)</w:t>
      </w:r>
      <w:r w:rsidRPr="00360586">
        <w:rPr>
          <w:lang w:val="de-DE"/>
        </w:rPr>
        <w:tab/>
      </w:r>
      <w:r>
        <w:fldChar w:fldCharType="begin"/>
      </w:r>
      <w:r w:rsidRPr="00360586">
        <w:rPr>
          <w:lang w:val="de-DE"/>
        </w:rPr>
        <w:instrText xml:space="preserve"> PAGEREF _Toc354054653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Enterprise CAL Suite Bridge für Office 365 und Windows</w:t>
      </w:r>
      <w:r w:rsidRPr="00E1012C">
        <w:rPr>
          <w:rFonts w:cs="Tahoma"/>
          <w:vertAlign w:val="superscript"/>
          <w:lang w:val="de-DE"/>
        </w:rPr>
        <w:t>®</w:t>
      </w:r>
      <w:r w:rsidRPr="00E1012C">
        <w:rPr>
          <w:rFonts w:cs="Tahoma"/>
          <w:lang w:val="de-DE"/>
        </w:rPr>
        <w:t xml:space="preserve"> Intune (Nutzer &amp; Gerät)</w:t>
      </w:r>
      <w:r w:rsidRPr="00360586">
        <w:rPr>
          <w:lang w:val="de-DE"/>
        </w:rPr>
        <w:tab/>
      </w:r>
      <w:r>
        <w:fldChar w:fldCharType="begin"/>
      </w:r>
      <w:r w:rsidRPr="00360586">
        <w:rPr>
          <w:lang w:val="de-DE"/>
        </w:rPr>
        <w:instrText xml:space="preserve"> PAGEREF _Toc354054654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Enterprise CAL Suite Bridge für Windows</w:t>
      </w:r>
      <w:r w:rsidRPr="00E1012C">
        <w:rPr>
          <w:rFonts w:cs="Tahoma"/>
          <w:vertAlign w:val="superscript"/>
          <w:lang w:val="de-DE"/>
        </w:rPr>
        <w:t>®</w:t>
      </w:r>
      <w:r w:rsidRPr="00E1012C">
        <w:rPr>
          <w:rFonts w:cs="Tahoma"/>
          <w:lang w:val="de-DE"/>
        </w:rPr>
        <w:t xml:space="preserve"> Intune (Nutzer &amp; Gerät)</w:t>
      </w:r>
      <w:r w:rsidRPr="00360586">
        <w:rPr>
          <w:lang w:val="de-DE"/>
        </w:rPr>
        <w:tab/>
      </w:r>
      <w:r>
        <w:fldChar w:fldCharType="begin"/>
      </w:r>
      <w:r w:rsidRPr="00360586">
        <w:rPr>
          <w:lang w:val="de-DE"/>
        </w:rPr>
        <w:instrText xml:space="preserve"> PAGEREF _Toc354054655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Enterprise CAL Suite (Nutzer &amp; Gerät)</w:t>
      </w:r>
      <w:r w:rsidRPr="00360586">
        <w:rPr>
          <w:lang w:val="de-DE"/>
        </w:rPr>
        <w:tab/>
      </w:r>
      <w:r>
        <w:fldChar w:fldCharType="begin"/>
      </w:r>
      <w:r w:rsidRPr="00360586">
        <w:rPr>
          <w:lang w:val="de-DE"/>
        </w:rPr>
        <w:instrText xml:space="preserve"> PAGEREF _Toc354054656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Enterprise CAL mit Diensten 2013</w:t>
      </w:r>
      <w:r w:rsidRPr="00360586">
        <w:rPr>
          <w:lang w:val="de-DE"/>
        </w:rPr>
        <w:tab/>
      </w:r>
      <w:r>
        <w:fldChar w:fldCharType="begin"/>
      </w:r>
      <w:r w:rsidRPr="00360586">
        <w:rPr>
          <w:lang w:val="de-DE"/>
        </w:rPr>
        <w:instrText xml:space="preserve"> PAGEREF _Toc354054657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Exchange Enterprise CAL ohne Dienste 2013</w:t>
      </w:r>
      <w:r w:rsidRPr="00360586">
        <w:rPr>
          <w:lang w:val="de-DE"/>
        </w:rPr>
        <w:tab/>
      </w:r>
      <w:r>
        <w:fldChar w:fldCharType="begin"/>
      </w:r>
      <w:r w:rsidRPr="00360586">
        <w:rPr>
          <w:lang w:val="de-DE"/>
        </w:rPr>
        <w:instrText xml:space="preserve"> PAGEREF _Toc354054658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Online-Archivierung für Exchange Server (Nutzer-AL)</w:t>
      </w:r>
      <w:r w:rsidRPr="00360586">
        <w:rPr>
          <w:lang w:val="de-DE"/>
        </w:rPr>
        <w:tab/>
      </w:r>
      <w:r>
        <w:fldChar w:fldCharType="begin"/>
      </w:r>
      <w:r w:rsidRPr="00360586">
        <w:rPr>
          <w:lang w:val="de-DE"/>
        </w:rPr>
        <w:instrText xml:space="preserve"> PAGEREF _Toc354054659 \h </w:instrText>
      </w:r>
      <w:r>
        <w:fldChar w:fldCharType="separate"/>
      </w:r>
      <w:r w:rsidR="000B627C">
        <w:rPr>
          <w:lang w:val="de-DE"/>
        </w:rPr>
        <w:t>21</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E1012C">
        <w:rPr>
          <w:lang w:val="de-DE"/>
        </w:rPr>
        <w:t>Exchange Online-Archivierung für Exchange Server A (Nutzer-AL)</w:t>
      </w:r>
      <w:r w:rsidRPr="00360586">
        <w:rPr>
          <w:lang w:val="de-DE"/>
        </w:rPr>
        <w:tab/>
      </w:r>
      <w:r>
        <w:fldChar w:fldCharType="begin"/>
      </w:r>
      <w:r w:rsidRPr="00360586">
        <w:rPr>
          <w:lang w:val="de-DE"/>
        </w:rPr>
        <w:instrText xml:space="preserve"> PAGEREF _Toc354054660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Hosted Archive (Nutzer-AL)</w:t>
      </w:r>
      <w:r w:rsidRPr="00360586">
        <w:rPr>
          <w:lang w:val="de-DE"/>
        </w:rPr>
        <w:tab/>
      </w:r>
      <w:r>
        <w:fldChar w:fldCharType="begin"/>
      </w:r>
      <w:r w:rsidRPr="00360586">
        <w:rPr>
          <w:lang w:val="de-DE"/>
        </w:rPr>
        <w:instrText xml:space="preserve"> PAGEREF _Toc354054661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Hosted Archive Extra Storage (Nutzer-AL)</w:t>
      </w:r>
      <w:r w:rsidRPr="00360586">
        <w:rPr>
          <w:lang w:val="de-DE"/>
        </w:rPr>
        <w:tab/>
      </w:r>
      <w:r>
        <w:fldChar w:fldCharType="begin"/>
      </w:r>
      <w:r w:rsidRPr="00360586">
        <w:rPr>
          <w:lang w:val="de-DE"/>
        </w:rPr>
        <w:instrText xml:space="preserve"> PAGEREF _Toc354054662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Hosted Encryption (Nutzer-AL)</w:t>
      </w:r>
      <w:r w:rsidRPr="00360586">
        <w:rPr>
          <w:lang w:val="de-DE"/>
        </w:rPr>
        <w:tab/>
      </w:r>
      <w:r>
        <w:fldChar w:fldCharType="begin"/>
      </w:r>
      <w:r w:rsidRPr="00360586">
        <w:rPr>
          <w:lang w:val="de-DE"/>
        </w:rPr>
        <w:instrText xml:space="preserve"> PAGEREF _Toc354054663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Online-Archivierung für Exchange Online A</w:t>
      </w:r>
      <w:r w:rsidRPr="00360586">
        <w:rPr>
          <w:lang w:val="de-DE"/>
        </w:rPr>
        <w:tab/>
      </w:r>
      <w:r>
        <w:fldChar w:fldCharType="begin"/>
      </w:r>
      <w:r w:rsidRPr="00360586">
        <w:rPr>
          <w:lang w:val="de-DE"/>
        </w:rPr>
        <w:instrText xml:space="preserve"> PAGEREF _Toc354054664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Online-Archivierung für Exchange Online</w:t>
      </w:r>
      <w:r w:rsidRPr="00360586">
        <w:rPr>
          <w:lang w:val="de-DE"/>
        </w:rPr>
        <w:tab/>
      </w:r>
      <w:r>
        <w:fldChar w:fldCharType="begin"/>
      </w:r>
      <w:r w:rsidRPr="00360586">
        <w:rPr>
          <w:lang w:val="de-DE"/>
        </w:rPr>
        <w:instrText xml:space="preserve"> PAGEREF _Toc354054665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Online Kiosk (Nutzer-AL)</w:t>
      </w:r>
      <w:r w:rsidRPr="00360586">
        <w:rPr>
          <w:lang w:val="de-DE"/>
        </w:rPr>
        <w:tab/>
      </w:r>
      <w:r>
        <w:fldChar w:fldCharType="begin"/>
      </w:r>
      <w:r w:rsidRPr="00360586">
        <w:rPr>
          <w:lang w:val="de-DE"/>
        </w:rPr>
        <w:instrText xml:space="preserve"> PAGEREF _Toc354054666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Online Plan 1 (Nutzer-AL)</w:t>
      </w:r>
      <w:r w:rsidRPr="00360586">
        <w:rPr>
          <w:lang w:val="de-DE"/>
        </w:rPr>
        <w:tab/>
      </w:r>
      <w:r>
        <w:fldChar w:fldCharType="begin"/>
      </w:r>
      <w:r w:rsidRPr="00360586">
        <w:rPr>
          <w:lang w:val="de-DE"/>
        </w:rPr>
        <w:instrText xml:space="preserve"> PAGEREF _Toc354054667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Online Plan 2 (Nutzer-AL)</w:t>
      </w:r>
      <w:r w:rsidRPr="00360586">
        <w:rPr>
          <w:lang w:val="de-DE"/>
        </w:rPr>
        <w:tab/>
      </w:r>
      <w:r>
        <w:fldChar w:fldCharType="begin"/>
      </w:r>
      <w:r w:rsidRPr="00360586">
        <w:rPr>
          <w:lang w:val="de-DE"/>
        </w:rPr>
        <w:instrText xml:space="preserve"> PAGEREF _Toc354054668 \h </w:instrText>
      </w:r>
      <w:r>
        <w:fldChar w:fldCharType="separate"/>
      </w:r>
      <w:r w:rsidR="000B627C">
        <w:rPr>
          <w:lang w:val="de-DE"/>
        </w:rPr>
        <w:t>21</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E1012C">
        <w:rPr>
          <w:lang w:val="de-DE"/>
        </w:rPr>
        <w:t>Exchange Online Plan 1A für Alumni (Nutzer-AL)</w:t>
      </w:r>
      <w:r w:rsidRPr="00360586">
        <w:rPr>
          <w:lang w:val="de-DE"/>
        </w:rPr>
        <w:tab/>
      </w:r>
      <w:r>
        <w:fldChar w:fldCharType="begin"/>
      </w:r>
      <w:r w:rsidRPr="00360586">
        <w:rPr>
          <w:lang w:val="de-DE"/>
        </w:rPr>
        <w:instrText xml:space="preserve"> PAGEREF _Toc354054669 \h </w:instrText>
      </w:r>
      <w:r>
        <w:fldChar w:fldCharType="separate"/>
      </w:r>
      <w:r w:rsidR="000B627C">
        <w:rPr>
          <w:lang w:val="de-DE"/>
        </w:rPr>
        <w:t>21</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E1012C">
        <w:rPr>
          <w:lang w:val="de-DE"/>
        </w:rPr>
        <w:t>Exchange Online Plan 2A (Nutzer-AL)</w:t>
      </w:r>
      <w:r w:rsidRPr="00360586">
        <w:rPr>
          <w:lang w:val="de-DE"/>
        </w:rPr>
        <w:tab/>
      </w:r>
      <w:r>
        <w:fldChar w:fldCharType="begin"/>
      </w:r>
      <w:r w:rsidRPr="00360586">
        <w:rPr>
          <w:lang w:val="de-DE"/>
        </w:rPr>
        <w:instrText xml:space="preserve"> PAGEREF _Toc354054670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Exchange Online Protection (Nutzer-AL)</w:t>
      </w:r>
      <w:r w:rsidRPr="00360586">
        <w:rPr>
          <w:lang w:val="de-DE"/>
        </w:rPr>
        <w:tab/>
      </w:r>
      <w:r>
        <w:fldChar w:fldCharType="begin"/>
      </w:r>
      <w:r w:rsidRPr="00360586">
        <w:rPr>
          <w:lang w:val="de-DE"/>
        </w:rPr>
        <w:instrText xml:space="preserve"> PAGEREF _Toc354054671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Exchange Server Enterprise 2013</w:t>
      </w:r>
      <w:r w:rsidRPr="00360586">
        <w:rPr>
          <w:lang w:val="de-DE"/>
        </w:rPr>
        <w:tab/>
      </w:r>
      <w:r>
        <w:fldChar w:fldCharType="begin"/>
      </w:r>
      <w:r w:rsidRPr="00360586">
        <w:rPr>
          <w:lang w:val="de-DE"/>
        </w:rPr>
        <w:instrText xml:space="preserve"> PAGEREF _Toc354054672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Exchange Server Standard 2013</w:t>
      </w:r>
      <w:r w:rsidRPr="00360586">
        <w:rPr>
          <w:lang w:val="de-DE"/>
        </w:rPr>
        <w:tab/>
      </w:r>
      <w:r>
        <w:fldChar w:fldCharType="begin"/>
      </w:r>
      <w:r w:rsidRPr="00360586">
        <w:rPr>
          <w:lang w:val="de-DE"/>
        </w:rPr>
        <w:instrText xml:space="preserve"> PAGEREF _Toc354054673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Exchange Server 2007 Standard für Small Business</w:t>
      </w:r>
      <w:r w:rsidRPr="00360586">
        <w:rPr>
          <w:lang w:val="de-DE"/>
        </w:rPr>
        <w:tab/>
      </w:r>
      <w:r>
        <w:fldChar w:fldCharType="begin"/>
      </w:r>
      <w:r w:rsidRPr="00360586">
        <w:rPr>
          <w:lang w:val="de-DE"/>
        </w:rPr>
        <w:instrText xml:space="preserve"> PAGEREF _Toc354054674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CAL für Exchange Server 2007 Standard für Small Business</w:t>
      </w:r>
      <w:r w:rsidRPr="00360586">
        <w:rPr>
          <w:lang w:val="de-DE"/>
        </w:rPr>
        <w:tab/>
      </w:r>
      <w:r>
        <w:fldChar w:fldCharType="begin"/>
      </w:r>
      <w:r w:rsidRPr="00360586">
        <w:rPr>
          <w:lang w:val="de-DE"/>
        </w:rPr>
        <w:instrText xml:space="preserve"> PAGEREF _Toc354054675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Standard-CAL für Exchange Server 2010 (Gerät &amp; Nutzer)</w:t>
      </w:r>
      <w:r w:rsidRPr="00360586">
        <w:rPr>
          <w:lang w:val="de-DE"/>
        </w:rPr>
        <w:tab/>
      </w:r>
      <w:r>
        <w:fldChar w:fldCharType="begin"/>
      </w:r>
      <w:r w:rsidRPr="00360586">
        <w:rPr>
          <w:lang w:val="de-DE"/>
        </w:rPr>
        <w:instrText xml:space="preserve"> PAGEREF _Toc354054676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Forefront Endpoint Protection</w:t>
      </w:r>
      <w:r w:rsidRPr="00360586">
        <w:rPr>
          <w:lang w:val="de-DE"/>
        </w:rPr>
        <w:tab/>
      </w:r>
      <w:r>
        <w:fldChar w:fldCharType="begin"/>
      </w:r>
      <w:r w:rsidRPr="00360586">
        <w:rPr>
          <w:lang w:val="de-DE"/>
        </w:rPr>
        <w:instrText xml:space="preserve"> PAGEREF _Toc354054677 \h </w:instrText>
      </w:r>
      <w:r>
        <w:fldChar w:fldCharType="separate"/>
      </w:r>
      <w:r w:rsidR="000B627C">
        <w:rPr>
          <w:lang w:val="de-DE"/>
        </w:rPr>
        <w:t>21</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CAL für Forefront Identity Manager 2010 R2 (nur Nutzer)</w:t>
      </w:r>
      <w:r w:rsidRPr="00360586">
        <w:rPr>
          <w:lang w:val="de-DE"/>
        </w:rPr>
        <w:tab/>
      </w:r>
      <w:r>
        <w:fldChar w:fldCharType="begin"/>
      </w:r>
      <w:r w:rsidRPr="00360586">
        <w:rPr>
          <w:lang w:val="de-DE"/>
        </w:rPr>
        <w:instrText xml:space="preserve"> PAGEREF _Toc354054678 \h </w:instrText>
      </w:r>
      <w:r>
        <w:fldChar w:fldCharType="separate"/>
      </w:r>
      <w:r w:rsidR="000B627C">
        <w:rPr>
          <w:lang w:val="de-DE"/>
        </w:rPr>
        <w:t>21</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Externer Connector für Forefront Identity Manager 2010 R2</w:t>
      </w:r>
      <w:r>
        <w:tab/>
      </w:r>
      <w:r>
        <w:fldChar w:fldCharType="begin"/>
      </w:r>
      <w:r>
        <w:instrText xml:space="preserve"> PAGEREF _Toc354054679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Forefront Identity Manager 2010 R2 Server</w:t>
      </w:r>
      <w:r>
        <w:tab/>
      </w:r>
      <w:r>
        <w:fldChar w:fldCharType="begin"/>
      </w:r>
      <w:r>
        <w:instrText xml:space="preserve"> PAGEREF _Toc354054680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Forefront Identity Manager 2010 R2 – Windows Live Edition</w:t>
      </w:r>
      <w:r>
        <w:tab/>
      </w:r>
      <w:r>
        <w:fldChar w:fldCharType="begin"/>
      </w:r>
      <w:r>
        <w:instrText xml:space="preserve"> PAGEREF _Toc354054681 \h </w:instrText>
      </w:r>
      <w:r>
        <w:fldChar w:fldCharType="separate"/>
      </w:r>
      <w:r w:rsidR="000B627C">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Forefront Protection 2010 für Exchange Server (Geräte - und Nutzer-AL)</w:t>
      </w:r>
      <w:r w:rsidRPr="00360586">
        <w:rPr>
          <w:lang w:val="de-DE"/>
        </w:rPr>
        <w:tab/>
      </w:r>
      <w:r>
        <w:fldChar w:fldCharType="begin"/>
      </w:r>
      <w:r w:rsidRPr="00360586">
        <w:rPr>
          <w:lang w:val="de-DE"/>
        </w:rPr>
        <w:instrText xml:space="preserve"> PAGEREF _Toc354054682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Forefront Protection Suite (Geräte- und Nutzer-AL)</w:t>
      </w:r>
      <w:r w:rsidRPr="00360586">
        <w:rPr>
          <w:lang w:val="de-DE"/>
        </w:rPr>
        <w:tab/>
      </w:r>
      <w:r>
        <w:fldChar w:fldCharType="begin"/>
      </w:r>
      <w:r w:rsidRPr="00360586">
        <w:rPr>
          <w:lang w:val="de-DE"/>
        </w:rPr>
        <w:instrText xml:space="preserve"> PAGEREF _Toc354054683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Forefront Security für Office Communications Server (Nutzer- und Geräte -AL)</w:t>
      </w:r>
      <w:r w:rsidRPr="00360586">
        <w:rPr>
          <w:lang w:val="de-DE"/>
        </w:rPr>
        <w:tab/>
      </w:r>
      <w:r>
        <w:fldChar w:fldCharType="begin"/>
      </w:r>
      <w:r w:rsidRPr="00360586">
        <w:rPr>
          <w:lang w:val="de-DE"/>
        </w:rPr>
        <w:instrText xml:space="preserve"> PAGEREF _Toc354054684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Forefront Protection 2010 for SharePoint (Geräte- und Nutzer-AL)</w:t>
      </w:r>
      <w:r w:rsidRPr="00360586">
        <w:rPr>
          <w:lang w:val="de-DE"/>
        </w:rPr>
        <w:tab/>
      </w:r>
      <w:r>
        <w:fldChar w:fldCharType="begin"/>
      </w:r>
      <w:r w:rsidRPr="00360586">
        <w:rPr>
          <w:lang w:val="de-DE"/>
        </w:rPr>
        <w:instrText xml:space="preserve"> PAGEREF _Toc354054685 \h </w:instrText>
      </w:r>
      <w:r>
        <w:fldChar w:fldCharType="separate"/>
      </w:r>
      <w:r w:rsidR="000B627C">
        <w:rPr>
          <w:lang w:val="de-DE"/>
        </w:rPr>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Forefront Protection 2010 for SharePoint for Internet Sites  (Add-On-AL)</w:t>
      </w:r>
      <w:r>
        <w:tab/>
      </w:r>
      <w:r>
        <w:fldChar w:fldCharType="begin"/>
      </w:r>
      <w:r>
        <w:instrText xml:space="preserve"> PAGEREF _Toc354054686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Forefront Threat Management Gateway Web Protection Services</w:t>
      </w:r>
      <w:r>
        <w:tab/>
      </w:r>
      <w:r>
        <w:fldChar w:fldCharType="begin"/>
      </w:r>
      <w:r>
        <w:instrText xml:space="preserve"> PAGEREF _Toc354054687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Forefront Unified Access Gateway Server 2010</w:t>
      </w:r>
      <w:r>
        <w:tab/>
      </w:r>
      <w:r>
        <w:fldChar w:fldCharType="begin"/>
      </w:r>
      <w:r>
        <w:instrText xml:space="preserve"> PAGEREF _Toc354054688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Externer Connector für Forefront Unified Access Gateway 2010</w:t>
      </w:r>
      <w:r>
        <w:tab/>
      </w:r>
      <w:r>
        <w:fldChar w:fldCharType="begin"/>
      </w:r>
      <w:r>
        <w:instrText xml:space="preserve"> PAGEREF _Toc354054689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 für Forefront Unified Access Gateway 2010</w:t>
      </w:r>
      <w:r>
        <w:tab/>
      </w:r>
      <w:r>
        <w:fldChar w:fldCharType="begin"/>
      </w:r>
      <w:r>
        <w:instrText xml:space="preserve"> PAGEREF _Toc354054690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10K CAL Pack für Forefront Unified Access Gateway 2010</w:t>
      </w:r>
      <w:r>
        <w:tab/>
      </w:r>
      <w:r>
        <w:fldChar w:fldCharType="begin"/>
      </w:r>
      <w:r>
        <w:instrText xml:space="preserve"> PAGEREF _Toc354054691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GeoSynth Server</w:t>
      </w:r>
      <w:r>
        <w:tab/>
      </w:r>
      <w:r>
        <w:fldChar w:fldCharType="begin"/>
      </w:r>
      <w:r>
        <w:instrText xml:space="preserve"> PAGEREF _Toc354054692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HPC Pack 2008 R2 Enterprise</w:t>
      </w:r>
      <w:r>
        <w:tab/>
      </w:r>
      <w:r>
        <w:fldChar w:fldCharType="begin"/>
      </w:r>
      <w:r>
        <w:instrText xml:space="preserve"> PAGEREF _Toc354054693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360586">
        <w:rPr>
          <w:rFonts w:cs="Tahoma"/>
        </w:rPr>
        <w:t>HPC Pack 2008 R2 für Workstation</w:t>
      </w:r>
      <w:r>
        <w:tab/>
      </w:r>
      <w:r>
        <w:fldChar w:fldCharType="begin"/>
      </w:r>
      <w:r>
        <w:instrText xml:space="preserve"> PAGEREF _Toc354054694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Learning Solutions Combination E-Reference Library (Nutzer-AL)</w:t>
      </w:r>
      <w:r>
        <w:tab/>
      </w:r>
      <w:r>
        <w:fldChar w:fldCharType="begin"/>
      </w:r>
      <w:r>
        <w:instrText xml:space="preserve"> PAGEREF _Toc354054695 \h </w:instrText>
      </w:r>
      <w:r>
        <w:fldChar w:fldCharType="separate"/>
      </w:r>
      <w:r w:rsidR="000B627C">
        <w:t>22</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Learning Solutions IT Academy (Dienste-AL)</w:t>
      </w:r>
      <w:r>
        <w:tab/>
      </w:r>
      <w:r>
        <w:fldChar w:fldCharType="begin"/>
      </w:r>
      <w:r>
        <w:instrText xml:space="preserve"> PAGEREF _Toc354054696 \h </w:instrText>
      </w:r>
      <w:r>
        <w:fldChar w:fldCharType="separate"/>
      </w:r>
      <w:r w:rsidR="000B627C">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Learning Solutions MCP 1 Prüfungsgutschein (Dienste-AL)</w:t>
      </w:r>
      <w:r w:rsidRPr="00360586">
        <w:rPr>
          <w:lang w:val="de-DE"/>
        </w:rPr>
        <w:tab/>
      </w:r>
      <w:r>
        <w:fldChar w:fldCharType="begin"/>
      </w:r>
      <w:r w:rsidRPr="00360586">
        <w:rPr>
          <w:lang w:val="de-DE"/>
        </w:rPr>
        <w:instrText xml:space="preserve"> PAGEREF _Toc354054697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Learning Solutions MCP 30 Prüfungsgutscheine (Nutzer-AL)</w:t>
      </w:r>
      <w:r w:rsidRPr="00360586">
        <w:rPr>
          <w:lang w:val="de-DE"/>
        </w:rPr>
        <w:tab/>
      </w:r>
      <w:r>
        <w:fldChar w:fldCharType="begin"/>
      </w:r>
      <w:r w:rsidRPr="00360586">
        <w:rPr>
          <w:lang w:val="de-DE"/>
        </w:rPr>
        <w:instrText xml:space="preserve"> PAGEREF _Toc354054698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Learning Solutions MOS 500 Zertifizierungsprüfungs-Website  (Dienste-AL)</w:t>
      </w:r>
      <w:r w:rsidRPr="00360586">
        <w:rPr>
          <w:lang w:val="de-DE"/>
        </w:rPr>
        <w:tab/>
      </w:r>
      <w:r>
        <w:fldChar w:fldCharType="begin"/>
      </w:r>
      <w:r w:rsidRPr="00360586">
        <w:rPr>
          <w:lang w:val="de-DE"/>
        </w:rPr>
        <w:instrText xml:space="preserve"> PAGEREF _Toc354054699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Learning Solutions MTA 250 Zertifizierungsprüfungs-Website  (Dienste-AL)</w:t>
      </w:r>
      <w:r w:rsidRPr="00360586">
        <w:rPr>
          <w:lang w:val="de-DE"/>
        </w:rPr>
        <w:tab/>
      </w:r>
      <w:r>
        <w:fldChar w:fldCharType="begin"/>
      </w:r>
      <w:r w:rsidRPr="00360586">
        <w:rPr>
          <w:lang w:val="de-DE"/>
        </w:rPr>
        <w:instrText xml:space="preserve"> PAGEREF _Toc354054700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Lync Online Plan 1 (Nutzer-AL)</w:t>
      </w:r>
      <w:r w:rsidRPr="00360586">
        <w:rPr>
          <w:lang w:val="de-DE"/>
        </w:rPr>
        <w:tab/>
      </w:r>
      <w:r>
        <w:fldChar w:fldCharType="begin"/>
      </w:r>
      <w:r w:rsidRPr="00360586">
        <w:rPr>
          <w:lang w:val="de-DE"/>
        </w:rPr>
        <w:instrText xml:space="preserve"> PAGEREF _Toc354054701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Lync Online Plan 2 (Nutzer-AL)</w:t>
      </w:r>
      <w:r w:rsidRPr="00360586">
        <w:rPr>
          <w:lang w:val="de-DE"/>
        </w:rPr>
        <w:tab/>
      </w:r>
      <w:r>
        <w:fldChar w:fldCharType="begin"/>
      </w:r>
      <w:r w:rsidRPr="00360586">
        <w:rPr>
          <w:lang w:val="de-DE"/>
        </w:rPr>
        <w:instrText xml:space="preserve"> PAGEREF _Toc354054702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Lync Online Plan 3 (Nutzer-AL)</w:t>
      </w:r>
      <w:r w:rsidRPr="00360586">
        <w:rPr>
          <w:lang w:val="de-DE"/>
        </w:rPr>
        <w:tab/>
      </w:r>
      <w:r>
        <w:fldChar w:fldCharType="begin"/>
      </w:r>
      <w:r w:rsidRPr="00360586">
        <w:rPr>
          <w:lang w:val="de-DE"/>
        </w:rPr>
        <w:instrText xml:space="preserve"> PAGEREF _Toc354054703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Lync Online Plan 3A (Nutzer-AL)</w:t>
      </w:r>
      <w:r w:rsidRPr="00360586">
        <w:rPr>
          <w:lang w:val="de-DE"/>
        </w:rPr>
        <w:tab/>
      </w:r>
      <w:r>
        <w:fldChar w:fldCharType="begin"/>
      </w:r>
      <w:r w:rsidRPr="00360586">
        <w:rPr>
          <w:lang w:val="de-DE"/>
        </w:rPr>
        <w:instrText xml:space="preserve"> PAGEREF _Toc354054704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360586">
        <w:rPr>
          <w:rFonts w:cs="Tahoma"/>
          <w:lang w:val="fr-FR"/>
        </w:rPr>
        <w:t>Lync Server 2013</w:t>
      </w:r>
      <w:r w:rsidRPr="00360586">
        <w:rPr>
          <w:lang w:val="fr-FR"/>
        </w:rPr>
        <w:tab/>
      </w:r>
      <w:r>
        <w:fldChar w:fldCharType="begin"/>
      </w:r>
      <w:r w:rsidRPr="00360586">
        <w:rPr>
          <w:lang w:val="fr-FR"/>
        </w:rPr>
        <w:instrText xml:space="preserve"> PAGEREF _Toc354054705 \h </w:instrText>
      </w:r>
      <w:r>
        <w:fldChar w:fldCharType="separate"/>
      </w:r>
      <w:r w:rsidR="000B627C">
        <w:rPr>
          <w:lang w:val="fr-FR"/>
        </w:rPr>
        <w:t>22</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360586">
        <w:rPr>
          <w:rFonts w:cs="Tahoma"/>
          <w:lang w:val="fr-FR"/>
        </w:rPr>
        <w:t>Enterprise-CAL für Lync Server 2013</w:t>
      </w:r>
      <w:r w:rsidRPr="00360586">
        <w:rPr>
          <w:lang w:val="fr-FR"/>
        </w:rPr>
        <w:tab/>
      </w:r>
      <w:r>
        <w:fldChar w:fldCharType="begin"/>
      </w:r>
      <w:r w:rsidRPr="00360586">
        <w:rPr>
          <w:lang w:val="fr-FR"/>
        </w:rPr>
        <w:instrText xml:space="preserve"> PAGEREF _Toc354054706 \h </w:instrText>
      </w:r>
      <w:r>
        <w:fldChar w:fldCharType="separate"/>
      </w:r>
      <w:r w:rsidR="000B627C">
        <w:rPr>
          <w:lang w:val="fr-FR"/>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lastRenderedPageBreak/>
        <w:t>CAL für Lync Server Plus 2013</w:t>
      </w:r>
      <w:r w:rsidRPr="00360586">
        <w:rPr>
          <w:lang w:val="de-DE"/>
        </w:rPr>
        <w:tab/>
      </w:r>
      <w:r>
        <w:fldChar w:fldCharType="begin"/>
      </w:r>
      <w:r w:rsidRPr="00360586">
        <w:rPr>
          <w:lang w:val="de-DE"/>
        </w:rPr>
        <w:instrText xml:space="preserve"> PAGEREF _Toc354054707 \h </w:instrText>
      </w:r>
      <w:r>
        <w:fldChar w:fldCharType="separate"/>
      </w:r>
      <w:r w:rsidR="000B627C">
        <w:rPr>
          <w:lang w:val="de-DE"/>
        </w:rPr>
        <w:t>22</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Standard-CAL für Lync Server 2013</w:t>
      </w:r>
      <w:r w:rsidRPr="00360586">
        <w:rPr>
          <w:lang w:val="de-DE"/>
        </w:rPr>
        <w:tab/>
      </w:r>
      <w:r>
        <w:fldChar w:fldCharType="begin"/>
      </w:r>
      <w:r w:rsidRPr="00360586">
        <w:rPr>
          <w:lang w:val="de-DE"/>
        </w:rPr>
        <w:instrText xml:space="preserve"> PAGEREF _Toc354054708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Zusätzliche CAL für Microsoft Dynamics AX 2012 R2 Enterprise (Nutzer &amp; Gerät)</w:t>
      </w:r>
      <w:r w:rsidRPr="00360586">
        <w:rPr>
          <w:lang w:val="de-DE"/>
        </w:rPr>
        <w:tab/>
      </w:r>
      <w:r>
        <w:fldChar w:fldCharType="begin"/>
      </w:r>
      <w:r w:rsidRPr="00360586">
        <w:rPr>
          <w:lang w:val="de-DE"/>
        </w:rPr>
        <w:instrText xml:space="preserve"> PAGEREF _Toc354054709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CAL für Microsoft Dynamics AX 2012 R2 Enterprise (Nutzer &amp; Gerät)</w:t>
      </w:r>
      <w:r w:rsidRPr="00360586">
        <w:rPr>
          <w:lang w:val="de-DE"/>
        </w:rPr>
        <w:tab/>
      </w:r>
      <w:r>
        <w:fldChar w:fldCharType="begin"/>
      </w:r>
      <w:r w:rsidRPr="00360586">
        <w:rPr>
          <w:lang w:val="de-DE"/>
        </w:rPr>
        <w:instrText xml:space="preserve"> PAGEREF _Toc354054710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Zusätzliche Funktions-CAL für Microsoft Dynamics AX 2012 R2 (Nutzer &amp; Gerät)</w:t>
      </w:r>
      <w:r w:rsidRPr="00360586">
        <w:rPr>
          <w:lang w:val="de-DE"/>
        </w:rPr>
        <w:tab/>
      </w:r>
      <w:r>
        <w:fldChar w:fldCharType="begin"/>
      </w:r>
      <w:r w:rsidRPr="00360586">
        <w:rPr>
          <w:lang w:val="de-DE"/>
        </w:rPr>
        <w:instrText xml:space="preserve"> PAGEREF _Toc354054711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Funktions-CAL für Microsoft Dynamics AX 2012 R2 (Nutzer &amp; Gerät)</w:t>
      </w:r>
      <w:r w:rsidRPr="00360586">
        <w:rPr>
          <w:lang w:val="de-DE"/>
        </w:rPr>
        <w:tab/>
      </w:r>
      <w:r>
        <w:fldChar w:fldCharType="begin"/>
      </w:r>
      <w:r w:rsidRPr="00360586">
        <w:rPr>
          <w:lang w:val="de-DE"/>
        </w:rPr>
        <w:instrText xml:space="preserve"> PAGEREF _Toc354054712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CAL für Microsoft Dynamics AX 2012 R2 Self-Service (Nutzer &amp; Gerät)</w:t>
      </w:r>
      <w:r w:rsidRPr="00360586">
        <w:rPr>
          <w:lang w:val="de-DE"/>
        </w:rPr>
        <w:tab/>
      </w:r>
      <w:r>
        <w:fldChar w:fldCharType="begin"/>
      </w:r>
      <w:r w:rsidRPr="00360586">
        <w:rPr>
          <w:lang w:val="de-DE"/>
        </w:rPr>
        <w:instrText xml:space="preserve"> PAGEREF _Toc354054713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pt-BR" w:eastAsia="ko-KR"/>
        </w:rPr>
      </w:pPr>
      <w:r w:rsidRPr="00E1012C">
        <w:rPr>
          <w:rFonts w:cs="Tahoma"/>
          <w:lang w:val="pt-BR"/>
        </w:rPr>
        <w:t>Microsoft Dynamics AX 2012 R2 Server</w:t>
      </w:r>
      <w:r w:rsidRPr="00360586">
        <w:rPr>
          <w:lang w:val="pt-BR"/>
        </w:rPr>
        <w:tab/>
      </w:r>
      <w:r>
        <w:fldChar w:fldCharType="begin"/>
      </w:r>
      <w:r w:rsidRPr="00360586">
        <w:rPr>
          <w:lang w:val="pt-BR"/>
        </w:rPr>
        <w:instrText xml:space="preserve"> PAGEREF _Toc354054714 \h </w:instrText>
      </w:r>
      <w:r>
        <w:fldChar w:fldCharType="separate"/>
      </w:r>
      <w:r w:rsidR="000B627C">
        <w:rPr>
          <w:lang w:val="pt-BR"/>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Zusätzliche Aufgaben-CAL für Microsoft Dynamics AX 2012 R2 (Nutzer &amp; Gerät)</w:t>
      </w:r>
      <w:r w:rsidRPr="00360586">
        <w:rPr>
          <w:lang w:val="de-DE"/>
        </w:rPr>
        <w:tab/>
      </w:r>
      <w:r>
        <w:fldChar w:fldCharType="begin"/>
      </w:r>
      <w:r w:rsidRPr="00360586">
        <w:rPr>
          <w:lang w:val="de-DE"/>
        </w:rPr>
        <w:instrText xml:space="preserve"> PAGEREF _Toc354054715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Aufgaben-CAL für Microsoft Dynamics AX 2012 R2 (Nutzer &amp; Gerät)</w:t>
      </w:r>
      <w:r w:rsidRPr="00360586">
        <w:rPr>
          <w:lang w:val="de-DE"/>
        </w:rPr>
        <w:tab/>
      </w:r>
      <w:r>
        <w:fldChar w:fldCharType="begin"/>
      </w:r>
      <w:r w:rsidRPr="00360586">
        <w:rPr>
          <w:lang w:val="de-DE"/>
        </w:rPr>
        <w:instrText xml:space="preserve"> PAGEREF _Toc354054716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CAL für Microsoft Dynamics CRM 2011 (Nutzer &amp; Gerät)</w:t>
      </w:r>
      <w:r w:rsidRPr="00360586">
        <w:rPr>
          <w:lang w:val="de-DE"/>
        </w:rPr>
        <w:tab/>
      </w:r>
      <w:r>
        <w:fldChar w:fldCharType="begin"/>
      </w:r>
      <w:r w:rsidRPr="00360586">
        <w:rPr>
          <w:lang w:val="de-DE"/>
        </w:rPr>
        <w:instrText xml:space="preserve"> PAGEREF _Toc354054717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CAL für Microsoft Dynamics CRM 2011 Employee Self Service (Nutzer &amp; Gerät)</w:t>
      </w:r>
      <w:r w:rsidRPr="00360586">
        <w:rPr>
          <w:lang w:val="de-DE"/>
        </w:rPr>
        <w:tab/>
      </w:r>
      <w:r>
        <w:fldChar w:fldCharType="begin"/>
      </w:r>
      <w:r w:rsidRPr="00360586">
        <w:rPr>
          <w:lang w:val="de-DE"/>
        </w:rPr>
        <w:instrText xml:space="preserve"> PAGEREF _Toc354054718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Externer Connector für Microsoft Dynamics CRM 2011</w:t>
      </w:r>
      <w:r w:rsidRPr="00360586">
        <w:rPr>
          <w:lang w:val="de-DE"/>
        </w:rPr>
        <w:tab/>
      </w:r>
      <w:r>
        <w:fldChar w:fldCharType="begin"/>
      </w:r>
      <w:r w:rsidRPr="00360586">
        <w:rPr>
          <w:lang w:val="de-DE"/>
        </w:rPr>
        <w:instrText xml:space="preserve"> PAGEREF _Toc354054719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Zusätzliche CAL zur vollständigen Verwendung von Microsoft Dynamics CRM 2011 (Nutzer &amp; Gerät)</w:t>
      </w:r>
      <w:r w:rsidRPr="00360586">
        <w:rPr>
          <w:lang w:val="de-DE"/>
        </w:rPr>
        <w:tab/>
      </w:r>
      <w:r>
        <w:fldChar w:fldCharType="begin"/>
      </w:r>
      <w:r w:rsidRPr="00360586">
        <w:rPr>
          <w:lang w:val="de-DE"/>
        </w:rPr>
        <w:instrText xml:space="preserve"> PAGEREF _Toc354054720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CAL zur Eingeschränkten Verwendung von Microsoft Dynamics CRM 2011 (Nutzer &amp; Gerät)</w:t>
      </w:r>
      <w:r w:rsidRPr="00360586">
        <w:rPr>
          <w:lang w:val="de-DE"/>
        </w:rPr>
        <w:tab/>
      </w:r>
      <w:r>
        <w:fldChar w:fldCharType="begin"/>
      </w:r>
      <w:r w:rsidRPr="00360586">
        <w:rPr>
          <w:lang w:val="de-DE"/>
        </w:rPr>
        <w:instrText xml:space="preserve"> PAGEREF _Toc354054721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Zusätzliche CAL zur Eingeschränkten Verwendung von Microsoft Dynamics CRM 2011 (Nutzer &amp; Gerät)</w:t>
      </w:r>
      <w:r w:rsidRPr="00360586">
        <w:rPr>
          <w:lang w:val="de-DE"/>
        </w:rPr>
        <w:tab/>
      </w:r>
      <w:r>
        <w:fldChar w:fldCharType="begin"/>
      </w:r>
      <w:r w:rsidRPr="00360586">
        <w:rPr>
          <w:lang w:val="de-DE"/>
        </w:rPr>
        <w:instrText xml:space="preserve"> PAGEREF _Toc354054722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Microsoft Dynamics CRM Server 2011</w:t>
      </w:r>
      <w:r w:rsidRPr="00360586">
        <w:rPr>
          <w:lang w:val="de-DE"/>
        </w:rPr>
        <w:tab/>
      </w:r>
      <w:r>
        <w:fldChar w:fldCharType="begin"/>
      </w:r>
      <w:r w:rsidRPr="00360586">
        <w:rPr>
          <w:lang w:val="de-DE"/>
        </w:rPr>
        <w:instrText xml:space="preserve"> PAGEREF _Toc354054723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Microsoft Dynamics CRM Workgroup Server 2011</w:t>
      </w:r>
      <w:r w:rsidRPr="00360586">
        <w:rPr>
          <w:lang w:val="de-DE"/>
        </w:rPr>
        <w:tab/>
      </w:r>
      <w:r>
        <w:fldChar w:fldCharType="begin"/>
      </w:r>
      <w:r w:rsidRPr="00360586">
        <w:rPr>
          <w:lang w:val="de-DE"/>
        </w:rPr>
        <w:instrText xml:space="preserve"> PAGEREF _Toc354054724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Microsoft Translator API</w:t>
      </w:r>
      <w:r w:rsidRPr="00360586">
        <w:rPr>
          <w:lang w:val="de-DE"/>
        </w:rPr>
        <w:tab/>
      </w:r>
      <w:r>
        <w:fldChar w:fldCharType="begin"/>
      </w:r>
      <w:r w:rsidRPr="00360586">
        <w:rPr>
          <w:lang w:val="de-DE"/>
        </w:rPr>
        <w:instrText xml:space="preserve"> PAGEREF _Toc354054725 \h </w:instrText>
      </w:r>
      <w:r>
        <w:fldChar w:fldCharType="separate"/>
      </w:r>
      <w:r w:rsidR="000B627C">
        <w:rPr>
          <w:lang w:val="de-DE"/>
        </w:rPr>
        <w:t>23</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Office 365 Midsize Business (Nutzer-AL)</w:t>
      </w:r>
      <w:r>
        <w:tab/>
      </w:r>
      <w:r>
        <w:fldChar w:fldCharType="begin"/>
      </w:r>
      <w:r>
        <w:instrText xml:space="preserve"> PAGEREF _Toc354054726 \h </w:instrText>
      </w:r>
      <w:r>
        <w:fldChar w:fldCharType="separate"/>
      </w:r>
      <w:r w:rsidR="000B627C">
        <w:t>23</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Office 365 Education A2 (Nutzer-AL)</w:t>
      </w:r>
      <w:r>
        <w:tab/>
      </w:r>
      <w:r>
        <w:fldChar w:fldCharType="begin"/>
      </w:r>
      <w:r>
        <w:instrText xml:space="preserve"> PAGEREF _Toc354054727 \h </w:instrText>
      </w:r>
      <w:r>
        <w:fldChar w:fldCharType="separate"/>
      </w:r>
      <w:r w:rsidR="000B627C">
        <w:t>23</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Office 365 Education A3 (Nutzer-AL)</w:t>
      </w:r>
      <w:r>
        <w:tab/>
      </w:r>
      <w:r>
        <w:fldChar w:fldCharType="begin"/>
      </w:r>
      <w:r>
        <w:instrText xml:space="preserve"> PAGEREF _Toc354054728 \h </w:instrText>
      </w:r>
      <w:r>
        <w:fldChar w:fldCharType="separate"/>
      </w:r>
      <w:r w:rsidR="000B627C">
        <w:t>23</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Office 365 Education A4 (Nutzer-AL)</w:t>
      </w:r>
      <w:r>
        <w:tab/>
      </w:r>
      <w:r>
        <w:fldChar w:fldCharType="begin"/>
      </w:r>
      <w:r>
        <w:instrText xml:space="preserve"> PAGEREF _Toc354054729 \h </w:instrText>
      </w:r>
      <w:r>
        <w:fldChar w:fldCharType="separate"/>
      </w:r>
      <w:r w:rsidR="000B627C">
        <w:t>23</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360586">
        <w:rPr>
          <w:rFonts w:cs="Tahoma"/>
          <w:lang w:val="it-IT"/>
        </w:rPr>
        <w:t>Office 365 Enterprise E1 (Nutzer-AL)</w:t>
      </w:r>
      <w:r w:rsidRPr="00360586">
        <w:rPr>
          <w:lang w:val="it-IT"/>
        </w:rPr>
        <w:tab/>
      </w:r>
      <w:r>
        <w:fldChar w:fldCharType="begin"/>
      </w:r>
      <w:r w:rsidRPr="00360586">
        <w:rPr>
          <w:lang w:val="it-IT"/>
        </w:rPr>
        <w:instrText xml:space="preserve"> PAGEREF _Toc354054730 \h </w:instrText>
      </w:r>
      <w:r>
        <w:fldChar w:fldCharType="separate"/>
      </w:r>
      <w:r w:rsidR="000B627C">
        <w:rPr>
          <w:lang w:val="it-IT"/>
        </w:rPr>
        <w:t>23</w:t>
      </w:r>
      <w:r>
        <w:fldChar w:fldCharType="end"/>
      </w:r>
    </w:p>
    <w:p w:rsidR="00B7356C" w:rsidRPr="00360586" w:rsidRDefault="00B7356C">
      <w:pPr>
        <w:pStyle w:val="TOC2"/>
        <w:rPr>
          <w:rFonts w:asciiTheme="minorHAnsi" w:eastAsia="Batang" w:hAnsiTheme="minorHAnsi" w:cstheme="minorBidi"/>
          <w:sz w:val="22"/>
          <w:szCs w:val="22"/>
          <w:lang w:val="it-IT" w:eastAsia="ko-KR"/>
        </w:rPr>
      </w:pPr>
      <w:r w:rsidRPr="00E1012C">
        <w:rPr>
          <w:rFonts w:cs="Tahoma"/>
          <w:lang w:val="it-IT"/>
        </w:rPr>
        <w:t>Office 365 Enterprise E2 – E4 (Nutzer-AL)</w:t>
      </w:r>
      <w:r w:rsidRPr="00360586">
        <w:rPr>
          <w:lang w:val="it-IT"/>
        </w:rPr>
        <w:tab/>
      </w:r>
      <w:r>
        <w:fldChar w:fldCharType="begin"/>
      </w:r>
      <w:r w:rsidRPr="00360586">
        <w:rPr>
          <w:lang w:val="it-IT"/>
        </w:rPr>
        <w:instrText xml:space="preserve"> PAGEREF _Toc354054731 \h </w:instrText>
      </w:r>
      <w:r>
        <w:fldChar w:fldCharType="separate"/>
      </w:r>
      <w:r w:rsidR="000B627C">
        <w:rPr>
          <w:lang w:val="it-IT"/>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Office 365 Enterprise K1 (Nutzer-AL)</w:t>
      </w:r>
      <w:r w:rsidRPr="00360586">
        <w:rPr>
          <w:lang w:val="de-DE"/>
        </w:rPr>
        <w:tab/>
      </w:r>
      <w:r>
        <w:fldChar w:fldCharType="begin"/>
      </w:r>
      <w:r w:rsidRPr="00360586">
        <w:rPr>
          <w:lang w:val="de-DE"/>
        </w:rPr>
        <w:instrText xml:space="preserve"> PAGEREF _Toc354054732 \h </w:instrText>
      </w:r>
      <w:r>
        <w:fldChar w:fldCharType="separate"/>
      </w:r>
      <w:r w:rsidR="000B627C">
        <w:rPr>
          <w:lang w:val="de-DE"/>
        </w:rPr>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Office 365 Enterprise K2 (Nutzer-AL)</w:t>
      </w:r>
      <w:r w:rsidRPr="00360586">
        <w:rPr>
          <w:lang w:val="de-DE"/>
        </w:rPr>
        <w:tab/>
      </w:r>
      <w:r>
        <w:fldChar w:fldCharType="begin"/>
      </w:r>
      <w:r w:rsidRPr="00360586">
        <w:rPr>
          <w:lang w:val="de-DE"/>
        </w:rPr>
        <w:instrText xml:space="preserve"> PAGEREF _Toc354054733 \h </w:instrText>
      </w:r>
      <w:r>
        <w:fldChar w:fldCharType="separate"/>
      </w:r>
      <w:r w:rsidR="000B627C">
        <w:rPr>
          <w:lang w:val="de-DE"/>
        </w:rPr>
        <w:t>23</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Office 365 Government G1 – G4  (Nutzer-AL)</w:t>
      </w:r>
      <w:r>
        <w:tab/>
      </w:r>
      <w:r>
        <w:fldChar w:fldCharType="begin"/>
      </w:r>
      <w:r>
        <w:instrText xml:space="preserve"> PAGEREF _Toc354054734 \h </w:instrText>
      </w:r>
      <w:r>
        <w:fldChar w:fldCharType="separate"/>
      </w:r>
      <w:r w:rsidR="000B627C">
        <w:t>23</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Office Web-Anwendungen mit SharePoint Plan 2A (Nutzer-AL)</w:t>
      </w:r>
      <w:r w:rsidRPr="00360586">
        <w:rPr>
          <w:lang w:val="de-DE"/>
        </w:rPr>
        <w:tab/>
      </w:r>
      <w:r>
        <w:fldChar w:fldCharType="begin"/>
      </w:r>
      <w:r w:rsidRPr="00360586">
        <w:rPr>
          <w:lang w:val="de-DE"/>
        </w:rPr>
        <w:instrText xml:space="preserve"> PAGEREF _Toc354054735 \h </w:instrText>
      </w:r>
      <w:r>
        <w:fldChar w:fldCharType="separate"/>
      </w:r>
      <w:r w:rsidR="000B627C">
        <w:rPr>
          <w:lang w:val="de-DE"/>
        </w:rPr>
        <w:t>23</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Project Online</w:t>
      </w:r>
      <w:r>
        <w:tab/>
      </w:r>
      <w:r>
        <w:fldChar w:fldCharType="begin"/>
      </w:r>
      <w:r>
        <w:instrText xml:space="preserve"> PAGEREF _Toc354054736 \h </w:instrText>
      </w:r>
      <w:r>
        <w:fldChar w:fldCharType="separate"/>
      </w:r>
      <w:r w:rsidR="000B627C">
        <w:t>23</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Project Online A</w:t>
      </w:r>
      <w:r>
        <w:tab/>
      </w:r>
      <w:r>
        <w:fldChar w:fldCharType="begin"/>
      </w:r>
      <w:r>
        <w:instrText xml:space="preserve"> PAGEREF _Toc354054737 \h </w:instrText>
      </w:r>
      <w:r>
        <w:fldChar w:fldCharType="separate"/>
      </w:r>
      <w:r w:rsidR="000B627C">
        <w:t>23</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Project Server 2013</w:t>
      </w:r>
      <w:r>
        <w:tab/>
      </w:r>
      <w:r>
        <w:fldChar w:fldCharType="begin"/>
      </w:r>
      <w:r>
        <w:instrText xml:space="preserve"> PAGEREF _Toc354054738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 für Project Server 2013</w:t>
      </w:r>
      <w:r>
        <w:tab/>
      </w:r>
      <w:r>
        <w:fldChar w:fldCharType="begin"/>
      </w:r>
      <w:r>
        <w:instrText xml:space="preserve"> PAGEREF _Toc354054739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SharePoint™ Online Extra Storage 1 GB (Add-On-AL)</w:t>
      </w:r>
      <w:r>
        <w:tab/>
      </w:r>
      <w:r>
        <w:fldChar w:fldCharType="begin"/>
      </w:r>
      <w:r>
        <w:instrText xml:space="preserve"> PAGEREF _Toc354054740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SharePoint™ Online Extra Storage 1 GB A (Add-On-AL)</w:t>
      </w:r>
      <w:r>
        <w:tab/>
      </w:r>
      <w:r>
        <w:fldChar w:fldCharType="begin"/>
      </w:r>
      <w:r>
        <w:instrText xml:space="preserve"> PAGEREF _Toc354054741 \h </w:instrText>
      </w:r>
      <w:r>
        <w:fldChar w:fldCharType="separate"/>
      </w:r>
      <w:r w:rsidR="000B627C">
        <w:t>24</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SharePoint™ Online Plan 1 (Nutzer-AL)</w:t>
      </w:r>
      <w:r w:rsidRPr="00360586">
        <w:rPr>
          <w:lang w:val="de-DE"/>
        </w:rPr>
        <w:tab/>
      </w:r>
      <w:r>
        <w:fldChar w:fldCharType="begin"/>
      </w:r>
      <w:r w:rsidRPr="00360586">
        <w:rPr>
          <w:lang w:val="de-DE"/>
        </w:rPr>
        <w:instrText xml:space="preserve"> PAGEREF _Toc354054742 \h </w:instrText>
      </w:r>
      <w:r>
        <w:fldChar w:fldCharType="separate"/>
      </w:r>
      <w:r w:rsidR="000B627C">
        <w:rPr>
          <w:lang w:val="de-DE"/>
        </w:rPr>
        <w:t>24</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SharePoint™ Online Plan 2 (Nutzer-AL)</w:t>
      </w:r>
      <w:r w:rsidRPr="00360586">
        <w:rPr>
          <w:lang w:val="de-DE"/>
        </w:rPr>
        <w:tab/>
      </w:r>
      <w:r>
        <w:fldChar w:fldCharType="begin"/>
      </w:r>
      <w:r w:rsidRPr="00360586">
        <w:rPr>
          <w:lang w:val="de-DE"/>
        </w:rPr>
        <w:instrText xml:space="preserve"> PAGEREF _Toc354054743 \h </w:instrText>
      </w:r>
      <w:r>
        <w:fldChar w:fldCharType="separate"/>
      </w:r>
      <w:r w:rsidR="000B627C">
        <w:rPr>
          <w:lang w:val="de-DE"/>
        </w:rPr>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SharePoint™ Server 2013</w:t>
      </w:r>
      <w:r>
        <w:tab/>
      </w:r>
      <w:r>
        <w:fldChar w:fldCharType="begin"/>
      </w:r>
      <w:r>
        <w:instrText xml:space="preserve"> PAGEREF _Toc354054744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Enterprise CAL für  SharePoint™ Server 2013</w:t>
      </w:r>
      <w:r>
        <w:tab/>
      </w:r>
      <w:r>
        <w:fldChar w:fldCharType="begin"/>
      </w:r>
      <w:r>
        <w:instrText xml:space="preserve"> PAGEREF _Toc354054745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Standard-CAL für SharePoint™  Server 2013</w:t>
      </w:r>
      <w:r>
        <w:tab/>
      </w:r>
      <w:r>
        <w:fldChar w:fldCharType="begin"/>
      </w:r>
      <w:r>
        <w:instrText xml:space="preserve"> PAGEREF _Toc354054746 \h </w:instrText>
      </w:r>
      <w:r>
        <w:fldChar w:fldCharType="separate"/>
      </w:r>
      <w:r w:rsidR="000B627C">
        <w:t>24</w:t>
      </w:r>
      <w:r>
        <w:fldChar w:fldCharType="end"/>
      </w:r>
    </w:p>
    <w:p w:rsidR="00B7356C" w:rsidRPr="00360586" w:rsidRDefault="00B7356C">
      <w:pPr>
        <w:pStyle w:val="TOC2"/>
        <w:rPr>
          <w:rFonts w:asciiTheme="minorHAnsi" w:eastAsia="Batang" w:hAnsiTheme="minorHAnsi" w:cstheme="minorBidi"/>
          <w:sz w:val="22"/>
          <w:szCs w:val="22"/>
          <w:lang w:val="pt-BR" w:eastAsia="ko-KR"/>
        </w:rPr>
      </w:pPr>
      <w:r w:rsidRPr="00E1012C">
        <w:rPr>
          <w:rFonts w:cs="Tahoma"/>
          <w:lang w:val="pt-BR"/>
        </w:rPr>
        <w:t>SQL Server</w:t>
      </w:r>
      <w:r w:rsidRPr="00E1012C">
        <w:rPr>
          <w:rFonts w:eastAsia="Times New Roman" w:cs="Tahoma"/>
          <w:color w:val="000000"/>
          <w:vertAlign w:val="superscript"/>
          <w:lang w:val="pt-BR"/>
        </w:rPr>
        <w:t>®</w:t>
      </w:r>
      <w:r w:rsidRPr="00E1012C">
        <w:rPr>
          <w:rFonts w:cs="Tahoma"/>
          <w:lang w:val="pt-BR"/>
        </w:rPr>
        <w:t xml:space="preserve"> 2008 R2 Datacenter, 1 Prozessorlizenz</w:t>
      </w:r>
      <w:r w:rsidRPr="00360586">
        <w:rPr>
          <w:lang w:val="pt-BR"/>
        </w:rPr>
        <w:tab/>
      </w:r>
      <w:r>
        <w:fldChar w:fldCharType="begin"/>
      </w:r>
      <w:r w:rsidRPr="00360586">
        <w:rPr>
          <w:lang w:val="pt-BR"/>
        </w:rPr>
        <w:instrText xml:space="preserve"> PAGEREF _Toc354054747 \h </w:instrText>
      </w:r>
      <w:r>
        <w:fldChar w:fldCharType="separate"/>
      </w:r>
      <w:r w:rsidR="000B627C">
        <w:rPr>
          <w:lang w:val="pt-BR"/>
        </w:rPr>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SQL Server</w:t>
      </w:r>
      <w:r w:rsidRPr="00E1012C">
        <w:rPr>
          <w:rFonts w:eastAsia="Times New Roman" w:cs="Tahoma"/>
          <w:color w:val="000000"/>
          <w:vertAlign w:val="superscript"/>
        </w:rPr>
        <w:t>®</w:t>
      </w:r>
      <w:r w:rsidRPr="00E1012C">
        <w:rPr>
          <w:rFonts w:cs="Tahoma"/>
        </w:rPr>
        <w:t xml:space="preserve"> 2008 R2 Small Business</w:t>
      </w:r>
      <w:r>
        <w:tab/>
      </w:r>
      <w:r>
        <w:fldChar w:fldCharType="begin"/>
      </w:r>
      <w:r>
        <w:instrText xml:space="preserve"> PAGEREF _Toc354054748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 für SQL Server</w:t>
      </w:r>
      <w:r w:rsidRPr="00E1012C">
        <w:rPr>
          <w:rFonts w:eastAsia="Times New Roman" w:cs="Tahoma"/>
          <w:color w:val="000000"/>
          <w:vertAlign w:val="superscript"/>
        </w:rPr>
        <w:t>®</w:t>
      </w:r>
      <w:r w:rsidRPr="00E1012C">
        <w:rPr>
          <w:rFonts w:cs="Tahoma"/>
        </w:rPr>
        <w:t xml:space="preserve"> 2008 R2 Small Business</w:t>
      </w:r>
      <w:r>
        <w:tab/>
      </w:r>
      <w:r>
        <w:fldChar w:fldCharType="begin"/>
      </w:r>
      <w:r>
        <w:instrText xml:space="preserve"> PAGEREF _Toc354054749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SQL Server</w:t>
      </w:r>
      <w:r w:rsidRPr="00E1012C">
        <w:rPr>
          <w:rFonts w:eastAsia="Times New Roman" w:cs="Tahoma"/>
          <w:color w:val="000000"/>
          <w:vertAlign w:val="superscript"/>
        </w:rPr>
        <w:t>®</w:t>
      </w:r>
      <w:r w:rsidRPr="00E1012C">
        <w:rPr>
          <w:rFonts w:cs="Tahoma"/>
        </w:rPr>
        <w:t xml:space="preserve"> 2008 R2 Web pro Prozessor</w:t>
      </w:r>
      <w:r>
        <w:tab/>
      </w:r>
      <w:r>
        <w:fldChar w:fldCharType="begin"/>
      </w:r>
      <w:r>
        <w:instrText xml:space="preserve"> PAGEREF _Toc354054750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 für SQL Server</w:t>
      </w:r>
      <w:r w:rsidRPr="00E1012C">
        <w:rPr>
          <w:rFonts w:eastAsia="Times New Roman" w:cs="Tahoma"/>
          <w:color w:val="000000"/>
          <w:vertAlign w:val="superscript"/>
        </w:rPr>
        <w:t>®</w:t>
      </w:r>
      <w:r w:rsidRPr="00E1012C">
        <w:rPr>
          <w:rFonts w:cs="Tahoma"/>
        </w:rPr>
        <w:t xml:space="preserve"> 2008 R2 Workgroup</w:t>
      </w:r>
      <w:r>
        <w:tab/>
      </w:r>
      <w:r>
        <w:fldChar w:fldCharType="begin"/>
      </w:r>
      <w:r>
        <w:instrText xml:space="preserve"> PAGEREF _Toc354054751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SQL Server</w:t>
      </w:r>
      <w:r w:rsidRPr="00E1012C">
        <w:rPr>
          <w:rFonts w:eastAsia="Times New Roman" w:cs="Tahoma"/>
          <w:color w:val="000000"/>
          <w:vertAlign w:val="superscript"/>
        </w:rPr>
        <w:t>®</w:t>
      </w:r>
      <w:r w:rsidRPr="00E1012C">
        <w:rPr>
          <w:rFonts w:cs="Tahoma"/>
        </w:rPr>
        <w:t xml:space="preserve"> 2008 R2 Workgroup (Add-On für 5 Clients)</w:t>
      </w:r>
      <w:r>
        <w:tab/>
      </w:r>
      <w:r>
        <w:fldChar w:fldCharType="begin"/>
      </w:r>
      <w:r>
        <w:instrText xml:space="preserve"> PAGEREF _Toc354054752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SQL Server</w:t>
      </w:r>
      <w:r w:rsidRPr="00E1012C">
        <w:rPr>
          <w:rFonts w:eastAsia="Times New Roman" w:cs="Tahoma"/>
          <w:color w:val="000000"/>
          <w:vertAlign w:val="superscript"/>
        </w:rPr>
        <w:t>®</w:t>
      </w:r>
      <w:r w:rsidRPr="00E1012C">
        <w:rPr>
          <w:rFonts w:cs="Tahoma"/>
        </w:rPr>
        <w:t xml:space="preserve"> 2008 R2 Workgroup, 1 Prozessorlizenz</w:t>
      </w:r>
      <w:r>
        <w:tab/>
      </w:r>
      <w:r>
        <w:fldChar w:fldCharType="begin"/>
      </w:r>
      <w:r>
        <w:instrText xml:space="preserve"> PAGEREF _Toc354054753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SQL Server</w:t>
      </w:r>
      <w:r w:rsidRPr="00E1012C">
        <w:rPr>
          <w:rFonts w:eastAsia="Times New Roman" w:cs="Tahoma"/>
          <w:color w:val="000000"/>
          <w:vertAlign w:val="superscript"/>
        </w:rPr>
        <w:t>®</w:t>
      </w:r>
      <w:r w:rsidRPr="00E1012C">
        <w:rPr>
          <w:rFonts w:cs="Tahoma"/>
        </w:rPr>
        <w:t xml:space="preserve"> 2012 Business Intelligence</w:t>
      </w:r>
      <w:r>
        <w:tab/>
      </w:r>
      <w:r>
        <w:fldChar w:fldCharType="begin"/>
      </w:r>
      <w:r>
        <w:instrText xml:space="preserve"> PAGEREF _Toc354054754 \h </w:instrText>
      </w:r>
      <w:r>
        <w:fldChar w:fldCharType="separate"/>
      </w:r>
      <w:r w:rsidR="000B627C">
        <w:t>24</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CAL für SQL Server</w:t>
      </w:r>
      <w:r w:rsidRPr="00E1012C">
        <w:rPr>
          <w:rFonts w:eastAsia="Times New Roman" w:cs="Tahoma"/>
          <w:color w:val="000000"/>
          <w:vertAlign w:val="superscript"/>
          <w:lang w:val="de-DE"/>
        </w:rPr>
        <w:t>®</w:t>
      </w:r>
      <w:r w:rsidRPr="00E1012C">
        <w:rPr>
          <w:rFonts w:cs="Tahoma"/>
          <w:lang w:val="de-DE"/>
        </w:rPr>
        <w:t xml:space="preserve"> 2012 (Geräte- &amp; Nutzer-AL)</w:t>
      </w:r>
      <w:r w:rsidRPr="00360586">
        <w:rPr>
          <w:lang w:val="de-DE"/>
        </w:rPr>
        <w:tab/>
      </w:r>
      <w:r>
        <w:fldChar w:fldCharType="begin"/>
      </w:r>
      <w:r w:rsidRPr="00360586">
        <w:rPr>
          <w:lang w:val="de-DE"/>
        </w:rPr>
        <w:instrText xml:space="preserve"> PAGEREF _Toc354054755 \h </w:instrText>
      </w:r>
      <w:r>
        <w:fldChar w:fldCharType="separate"/>
      </w:r>
      <w:r w:rsidR="000B627C">
        <w:rPr>
          <w:lang w:val="de-DE"/>
        </w:rPr>
        <w:t>24</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SQL Server</w:t>
      </w:r>
      <w:r w:rsidRPr="00360586">
        <w:rPr>
          <w:rFonts w:eastAsia="Times New Roman" w:cs="Tahoma"/>
          <w:color w:val="000000"/>
          <w:vertAlign w:val="superscript"/>
          <w:lang w:val="de-DE"/>
        </w:rPr>
        <w:t>®</w:t>
      </w:r>
      <w:r w:rsidRPr="00360586">
        <w:rPr>
          <w:rFonts w:cs="Tahoma"/>
          <w:lang w:val="de-DE"/>
        </w:rPr>
        <w:t xml:space="preserve"> 2012 Developer</w:t>
      </w:r>
      <w:r w:rsidRPr="00360586">
        <w:rPr>
          <w:lang w:val="de-DE"/>
        </w:rPr>
        <w:tab/>
      </w:r>
      <w:r>
        <w:fldChar w:fldCharType="begin"/>
      </w:r>
      <w:r w:rsidRPr="00360586">
        <w:rPr>
          <w:lang w:val="de-DE"/>
        </w:rPr>
        <w:instrText xml:space="preserve"> PAGEREF _Toc354054756 \h </w:instrText>
      </w:r>
      <w:r>
        <w:fldChar w:fldCharType="separate"/>
      </w:r>
      <w:r w:rsidR="000B627C">
        <w:rPr>
          <w:lang w:val="de-DE"/>
        </w:rPr>
        <w:t>24</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SQL Server</w:t>
      </w:r>
      <w:r w:rsidRPr="00360586">
        <w:rPr>
          <w:rFonts w:eastAsia="Times New Roman" w:cs="Tahoma"/>
          <w:color w:val="000000"/>
          <w:vertAlign w:val="superscript"/>
          <w:lang w:val="de-DE"/>
        </w:rPr>
        <w:t>®</w:t>
      </w:r>
      <w:r w:rsidRPr="00360586">
        <w:rPr>
          <w:rFonts w:cs="Tahoma"/>
          <w:lang w:val="de-DE"/>
        </w:rPr>
        <w:t xml:space="preserve"> 2012 Enterprise</w:t>
      </w:r>
      <w:r w:rsidRPr="00360586">
        <w:rPr>
          <w:lang w:val="de-DE"/>
        </w:rPr>
        <w:tab/>
      </w:r>
      <w:r>
        <w:fldChar w:fldCharType="begin"/>
      </w:r>
      <w:r w:rsidRPr="00360586">
        <w:rPr>
          <w:lang w:val="de-DE"/>
        </w:rPr>
        <w:instrText xml:space="preserve"> PAGEREF _Toc354054757 \h </w:instrText>
      </w:r>
      <w:r>
        <w:fldChar w:fldCharType="separate"/>
      </w:r>
      <w:r w:rsidR="000B627C">
        <w:rPr>
          <w:lang w:val="de-DE"/>
        </w:rPr>
        <w:t>24</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SQL Server</w:t>
      </w:r>
      <w:r w:rsidRPr="00360586">
        <w:rPr>
          <w:rFonts w:eastAsia="Times New Roman" w:cs="Tahoma"/>
          <w:color w:val="000000"/>
          <w:vertAlign w:val="superscript"/>
          <w:lang w:val="de-DE"/>
        </w:rPr>
        <w:t>®</w:t>
      </w:r>
      <w:r w:rsidRPr="00360586">
        <w:rPr>
          <w:rFonts w:cs="Tahoma"/>
          <w:lang w:val="de-DE"/>
        </w:rPr>
        <w:t xml:space="preserve"> 2012 Enterprise Core (2 Pack Core-Lizenz)</w:t>
      </w:r>
      <w:r w:rsidRPr="00360586">
        <w:rPr>
          <w:lang w:val="de-DE"/>
        </w:rPr>
        <w:tab/>
      </w:r>
      <w:r>
        <w:fldChar w:fldCharType="begin"/>
      </w:r>
      <w:r w:rsidRPr="00360586">
        <w:rPr>
          <w:lang w:val="de-DE"/>
        </w:rPr>
        <w:instrText xml:space="preserve"> PAGEREF _Toc354054758 \h </w:instrText>
      </w:r>
      <w:r>
        <w:fldChar w:fldCharType="separate"/>
      </w:r>
      <w:r w:rsidR="000B627C">
        <w:rPr>
          <w:lang w:val="de-DE"/>
        </w:rPr>
        <w:t>24</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SQL Server</w:t>
      </w:r>
      <w:r w:rsidRPr="00360586">
        <w:rPr>
          <w:rFonts w:eastAsia="Times New Roman" w:cs="Tahoma"/>
          <w:color w:val="000000"/>
          <w:vertAlign w:val="superscript"/>
          <w:lang w:val="de-DE"/>
        </w:rPr>
        <w:t>®</w:t>
      </w:r>
      <w:r w:rsidRPr="00360586">
        <w:rPr>
          <w:rFonts w:cs="Tahoma"/>
          <w:lang w:val="de-DE"/>
        </w:rPr>
        <w:t xml:space="preserve"> 2012 Parallel  Data Warehouse</w:t>
      </w:r>
      <w:r w:rsidRPr="00360586">
        <w:rPr>
          <w:lang w:val="de-DE"/>
        </w:rPr>
        <w:tab/>
      </w:r>
      <w:r>
        <w:fldChar w:fldCharType="begin"/>
      </w:r>
      <w:r w:rsidRPr="00360586">
        <w:rPr>
          <w:lang w:val="de-DE"/>
        </w:rPr>
        <w:instrText xml:space="preserve"> PAGEREF _Toc354054759 \h </w:instrText>
      </w:r>
      <w:r>
        <w:fldChar w:fldCharType="separate"/>
      </w:r>
      <w:r w:rsidR="000B627C">
        <w:rPr>
          <w:lang w:val="de-DE"/>
        </w:rPr>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SQL Server</w:t>
      </w:r>
      <w:r w:rsidRPr="00E1012C">
        <w:rPr>
          <w:rFonts w:eastAsia="Times New Roman" w:cs="Tahoma"/>
          <w:color w:val="000000"/>
          <w:vertAlign w:val="superscript"/>
        </w:rPr>
        <w:t>®</w:t>
      </w:r>
      <w:r w:rsidRPr="00E1012C">
        <w:rPr>
          <w:rFonts w:cs="Tahoma"/>
        </w:rPr>
        <w:t xml:space="preserve"> 2012 Parallel Data Warehouse Developer</w:t>
      </w:r>
      <w:r>
        <w:tab/>
      </w:r>
      <w:r>
        <w:fldChar w:fldCharType="begin"/>
      </w:r>
      <w:r>
        <w:instrText xml:space="preserve"> PAGEREF _Toc354054760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SQL Server</w:t>
      </w:r>
      <w:r w:rsidRPr="00E1012C">
        <w:rPr>
          <w:rFonts w:eastAsia="Times New Roman" w:cs="Tahoma"/>
          <w:color w:val="000000"/>
          <w:vertAlign w:val="superscript"/>
        </w:rPr>
        <w:t>®</w:t>
      </w:r>
      <w:r w:rsidRPr="00E1012C">
        <w:rPr>
          <w:rFonts w:cs="Tahoma"/>
        </w:rPr>
        <w:t xml:space="preserve"> 2012 Standard</w:t>
      </w:r>
      <w:r>
        <w:tab/>
      </w:r>
      <w:r>
        <w:fldChar w:fldCharType="begin"/>
      </w:r>
      <w:r>
        <w:instrText xml:space="preserve"> PAGEREF _Toc354054761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SQL Server</w:t>
      </w:r>
      <w:r w:rsidRPr="00E1012C">
        <w:rPr>
          <w:rFonts w:eastAsia="Times New Roman" w:cs="Tahoma"/>
          <w:color w:val="000000"/>
          <w:vertAlign w:val="superscript"/>
        </w:rPr>
        <w:t>®</w:t>
      </w:r>
      <w:r w:rsidRPr="00E1012C">
        <w:rPr>
          <w:rFonts w:cs="Tahoma"/>
        </w:rPr>
        <w:t xml:space="preserve"> 2012 Standard Core (2 Pack Core-Lizenz)</w:t>
      </w:r>
      <w:r>
        <w:tab/>
      </w:r>
      <w:r>
        <w:fldChar w:fldCharType="begin"/>
      </w:r>
      <w:r>
        <w:instrText xml:space="preserve"> PAGEREF _Toc354054762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Enterprise-Server-Management-Lizenz für System Center Configuration Manager 2007 R3</w:t>
      </w:r>
      <w:r>
        <w:tab/>
      </w:r>
      <w:r>
        <w:fldChar w:fldCharType="begin"/>
      </w:r>
      <w:r>
        <w:instrText xml:space="preserve"> PAGEREF _Toc354054763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360586">
        <w:rPr>
          <w:rFonts w:cs="Tahoma"/>
          <w:spacing w:val="-2"/>
        </w:rPr>
        <w:t>Standard-Server-Management-Lizenz (Standard-Server-ML) für System Center Configuration Manager 2007 R3</w:t>
      </w:r>
      <w:r>
        <w:tab/>
      </w:r>
      <w:r>
        <w:fldChar w:fldCharType="begin"/>
      </w:r>
      <w:r>
        <w:instrText xml:space="preserve"> PAGEREF _Toc354054764 \h </w:instrText>
      </w:r>
      <w:r>
        <w:fldChar w:fldCharType="separate"/>
      </w:r>
      <w:r w:rsidR="000B627C">
        <w:t>24</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Enterprise-Server-Management-Lizenz für System Center Data Protection Manager 2010</w:t>
      </w:r>
      <w:r>
        <w:tab/>
      </w:r>
      <w:r>
        <w:fldChar w:fldCharType="begin"/>
      </w:r>
      <w:r>
        <w:instrText xml:space="preserve"> PAGEREF _Toc354054765 \h </w:instrText>
      </w:r>
      <w:r>
        <w:fldChar w:fldCharType="separate"/>
      </w:r>
      <w:r w:rsidR="000B627C">
        <w:t>25</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lastRenderedPageBreak/>
        <w:t>Standard-Server-Management-Lizenz für System Center Data Protection Manager 2010</w:t>
      </w:r>
      <w:r>
        <w:tab/>
      </w:r>
      <w:r>
        <w:fldChar w:fldCharType="begin"/>
      </w:r>
      <w:r>
        <w:instrText xml:space="preserve"> PAGEREF _Toc354054766 \h </w:instrText>
      </w:r>
      <w:r>
        <w:fldChar w:fldCharType="separate"/>
      </w:r>
      <w:r w:rsidR="000B627C">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System Center Essentials 2010</w:t>
      </w:r>
      <w:r w:rsidRPr="00360586">
        <w:rPr>
          <w:lang w:val="de-DE"/>
        </w:rPr>
        <w:tab/>
      </w:r>
      <w:r>
        <w:fldChar w:fldCharType="begin"/>
      </w:r>
      <w:r w:rsidRPr="00360586">
        <w:rPr>
          <w:lang w:val="de-DE"/>
        </w:rPr>
        <w:instrText xml:space="preserve"> PAGEREF _Toc354054767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Client-ML für System Center Essentials 2010</w:t>
      </w:r>
      <w:r w:rsidRPr="00360586">
        <w:rPr>
          <w:lang w:val="de-DE"/>
        </w:rPr>
        <w:tab/>
      </w:r>
      <w:r>
        <w:fldChar w:fldCharType="begin"/>
      </w:r>
      <w:r w:rsidRPr="00360586">
        <w:rPr>
          <w:lang w:val="de-DE"/>
        </w:rPr>
        <w:instrText xml:space="preserve"> PAGEREF _Toc354054768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Server-ML für System Center Essentials 2010</w:t>
      </w:r>
      <w:r w:rsidRPr="00360586">
        <w:rPr>
          <w:lang w:val="de-DE"/>
        </w:rPr>
        <w:tab/>
      </w:r>
      <w:r>
        <w:fldChar w:fldCharType="begin"/>
      </w:r>
      <w:r w:rsidRPr="00360586">
        <w:rPr>
          <w:lang w:val="de-DE"/>
        </w:rPr>
        <w:instrText xml:space="preserve"> PAGEREF _Toc354054769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System Center Essentials 2010 mit SQL Server 2008-Technologie</w:t>
      </w:r>
      <w:r w:rsidRPr="00360586">
        <w:rPr>
          <w:lang w:val="de-DE"/>
        </w:rPr>
        <w:tab/>
      </w:r>
      <w:r>
        <w:fldChar w:fldCharType="begin"/>
      </w:r>
      <w:r w:rsidRPr="00360586">
        <w:rPr>
          <w:lang w:val="de-DE"/>
        </w:rPr>
        <w:instrText xml:space="preserve"> PAGEREF _Toc354054770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Lizenz-Suite für System Center Essentials Plus 2010 Client-Management</w:t>
      </w:r>
      <w:r w:rsidRPr="00360586">
        <w:rPr>
          <w:lang w:val="de-DE"/>
        </w:rPr>
        <w:tab/>
      </w:r>
      <w:r>
        <w:fldChar w:fldCharType="begin"/>
      </w:r>
      <w:r w:rsidRPr="00360586">
        <w:rPr>
          <w:lang w:val="de-DE"/>
        </w:rPr>
        <w:instrText xml:space="preserve"> PAGEREF _Toc354054771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Standard-Server-Management-Lizenz für System Center Operations Manager 2007 R2</w:t>
      </w:r>
      <w:r w:rsidRPr="00360586">
        <w:rPr>
          <w:lang w:val="de-DE"/>
        </w:rPr>
        <w:tab/>
      </w:r>
      <w:r>
        <w:fldChar w:fldCharType="begin"/>
      </w:r>
      <w:r w:rsidRPr="00360586">
        <w:rPr>
          <w:lang w:val="de-DE"/>
        </w:rPr>
        <w:instrText xml:space="preserve"> PAGEREF _Toc354054772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Enterprise-Server-Management-Lizenz für System Center Operations Manager 2007 R2</w:t>
      </w:r>
      <w:r w:rsidRPr="00360586">
        <w:rPr>
          <w:lang w:val="de-DE"/>
        </w:rPr>
        <w:tab/>
      </w:r>
      <w:r>
        <w:fldChar w:fldCharType="begin"/>
      </w:r>
      <w:r w:rsidRPr="00360586">
        <w:rPr>
          <w:lang w:val="de-DE"/>
        </w:rPr>
        <w:instrText xml:space="preserve"> PAGEREF _Toc354054773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pro OSE für System Center Operations Manager 2007 R2</w:t>
      </w:r>
      <w:r w:rsidRPr="00360586">
        <w:rPr>
          <w:lang w:val="de-DE"/>
        </w:rPr>
        <w:tab/>
      </w:r>
      <w:r>
        <w:fldChar w:fldCharType="begin"/>
      </w:r>
      <w:r w:rsidRPr="00360586">
        <w:rPr>
          <w:lang w:val="de-DE"/>
        </w:rPr>
        <w:instrText xml:space="preserve"> PAGEREF _Toc354054774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pro Nutzer für System Center Operations Manager 2007 R2</w:t>
      </w:r>
      <w:r w:rsidRPr="00360586">
        <w:rPr>
          <w:lang w:val="de-DE"/>
        </w:rPr>
        <w:tab/>
      </w:r>
      <w:r>
        <w:fldChar w:fldCharType="begin"/>
      </w:r>
      <w:r w:rsidRPr="00360586">
        <w:rPr>
          <w:lang w:val="de-DE"/>
        </w:rPr>
        <w:instrText xml:space="preserve"> PAGEREF _Toc354054775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System Center Reporting Manager 2006</w:t>
      </w:r>
      <w:r w:rsidRPr="00360586">
        <w:rPr>
          <w:lang w:val="de-DE"/>
        </w:rPr>
        <w:tab/>
      </w:r>
      <w:r>
        <w:fldChar w:fldCharType="begin"/>
      </w:r>
      <w:r w:rsidRPr="00360586">
        <w:rPr>
          <w:lang w:val="de-DE"/>
        </w:rPr>
        <w:instrText xml:space="preserve"> PAGEREF _Toc354054776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360586">
        <w:rPr>
          <w:rFonts w:cs="Tahoma"/>
          <w:lang w:val="de-DE"/>
        </w:rPr>
        <w:t>System Center Server Management Suite Enterprise</w:t>
      </w:r>
      <w:r w:rsidRPr="00360586">
        <w:rPr>
          <w:lang w:val="de-DE"/>
        </w:rPr>
        <w:tab/>
      </w:r>
      <w:r>
        <w:fldChar w:fldCharType="begin"/>
      </w:r>
      <w:r w:rsidRPr="00360586">
        <w:rPr>
          <w:lang w:val="de-DE"/>
        </w:rPr>
        <w:instrText xml:space="preserve"> PAGEREF _Toc354054777 \h </w:instrText>
      </w:r>
      <w:r>
        <w:fldChar w:fldCharType="separate"/>
      </w:r>
      <w:r w:rsidR="000B627C">
        <w:rPr>
          <w:lang w:val="de-DE"/>
        </w:rPr>
        <w:t>25</w:t>
      </w:r>
      <w:r>
        <w:fldChar w:fldCharType="end"/>
      </w:r>
    </w:p>
    <w:p w:rsidR="00B7356C" w:rsidRPr="00360586" w:rsidRDefault="00B7356C">
      <w:pPr>
        <w:pStyle w:val="TOC4"/>
        <w:rPr>
          <w:rFonts w:asciiTheme="minorHAnsi" w:eastAsia="Batang" w:hAnsiTheme="minorHAnsi" w:cstheme="minorBidi"/>
          <w:noProof/>
          <w:sz w:val="22"/>
          <w:szCs w:val="22"/>
          <w:lang w:val="de-DE" w:eastAsia="ko-KR"/>
        </w:rPr>
      </w:pPr>
      <w:r w:rsidRPr="00360586">
        <w:rPr>
          <w:rFonts w:cs="Tahoma"/>
          <w:noProof/>
          <w:lang w:val="de-DE"/>
        </w:rPr>
        <w:t>System Center Server Management Suite Datacenter</w:t>
      </w:r>
      <w:r w:rsidRPr="00360586">
        <w:rPr>
          <w:noProof/>
          <w:lang w:val="de-DE"/>
        </w:rPr>
        <w:tab/>
      </w:r>
      <w:r>
        <w:rPr>
          <w:noProof/>
        </w:rPr>
        <w:fldChar w:fldCharType="begin"/>
      </w:r>
      <w:r w:rsidRPr="00360586">
        <w:rPr>
          <w:noProof/>
          <w:lang w:val="de-DE"/>
        </w:rPr>
        <w:instrText xml:space="preserve"> PAGEREF _Toc354054778 \h </w:instrText>
      </w:r>
      <w:r>
        <w:rPr>
          <w:noProof/>
        </w:rPr>
      </w:r>
      <w:r>
        <w:rPr>
          <w:noProof/>
        </w:rPr>
        <w:fldChar w:fldCharType="separate"/>
      </w:r>
      <w:r w:rsidR="000B627C">
        <w:rPr>
          <w:noProof/>
          <w:lang w:val="de-DE"/>
        </w:rPr>
        <w:t>25</w:t>
      </w:r>
      <w:r>
        <w:rPr>
          <w:noProof/>
        </w:rP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(Client-ML) für System Center Service Manager 2010 pro Betriebssystemumgebung</w:t>
      </w:r>
      <w:r w:rsidRPr="00360586">
        <w:rPr>
          <w:lang w:val="de-DE"/>
        </w:rPr>
        <w:tab/>
      </w:r>
      <w:r>
        <w:fldChar w:fldCharType="begin"/>
      </w:r>
      <w:r w:rsidRPr="00360586">
        <w:rPr>
          <w:lang w:val="de-DE"/>
        </w:rPr>
        <w:instrText xml:space="preserve"> PAGEREF _Toc354054779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(Client-ML) für System Center Service Manager 2010 pro Nutzer</w:t>
      </w:r>
      <w:r w:rsidRPr="00360586">
        <w:rPr>
          <w:lang w:val="de-DE"/>
        </w:rPr>
        <w:tab/>
      </w:r>
      <w:r>
        <w:fldChar w:fldCharType="begin"/>
      </w:r>
      <w:r w:rsidRPr="00360586">
        <w:rPr>
          <w:lang w:val="de-DE"/>
        </w:rPr>
        <w:instrText xml:space="preserve"> PAGEREF _Toc354054780 \h </w:instrText>
      </w:r>
      <w:r>
        <w:fldChar w:fldCharType="separate"/>
      </w:r>
      <w:r w:rsidR="000B627C">
        <w:rPr>
          <w:lang w:val="de-DE"/>
        </w:rPr>
        <w:t>25</w:t>
      </w:r>
      <w:r>
        <w:fldChar w:fldCharType="end"/>
      </w:r>
    </w:p>
    <w:p w:rsidR="00B7356C" w:rsidRPr="00360586" w:rsidRDefault="00B7356C" w:rsidP="008F06E8">
      <w:pPr>
        <w:pStyle w:val="TOC3"/>
        <w:rPr>
          <w:rFonts w:asciiTheme="minorHAnsi" w:eastAsia="Batang" w:hAnsiTheme="minorHAnsi" w:cstheme="minorBidi"/>
          <w:color w:val="auto"/>
          <w:sz w:val="22"/>
          <w:szCs w:val="22"/>
          <w:lang w:val="de-DE" w:eastAsia="ko-KR"/>
        </w:rPr>
      </w:pPr>
      <w:r w:rsidRPr="00BD0F44">
        <w:rPr>
          <w:lang w:val="de-DE"/>
        </w:rPr>
        <w:t>Server-Management-Lizenz (Server-ML) für System Center Service Manager 2010 pro Betriebssystemumgebung</w:t>
      </w:r>
      <w:r w:rsidRPr="00360586">
        <w:rPr>
          <w:lang w:val="de-DE"/>
        </w:rPr>
        <w:tab/>
      </w:r>
      <w:r>
        <w:fldChar w:fldCharType="begin"/>
      </w:r>
      <w:r w:rsidRPr="00360586">
        <w:rPr>
          <w:lang w:val="de-DE"/>
        </w:rPr>
        <w:instrText xml:space="preserve"> PAGEREF _Toc354054781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für System Center Virtual Machine Manager 2008 R2 pro Betriebssystemumgebung</w:t>
      </w:r>
      <w:r w:rsidRPr="00360586">
        <w:rPr>
          <w:lang w:val="de-DE"/>
        </w:rPr>
        <w:tab/>
      </w:r>
      <w:r>
        <w:fldChar w:fldCharType="begin"/>
      </w:r>
      <w:r w:rsidRPr="00360586">
        <w:rPr>
          <w:lang w:val="de-DE"/>
        </w:rPr>
        <w:instrText xml:space="preserve"> PAGEREF _Toc354054782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für System Center Virtual Machine Manager 2008 R2 pro Nutzer</w:t>
      </w:r>
      <w:r w:rsidRPr="00360586">
        <w:rPr>
          <w:lang w:val="de-DE"/>
        </w:rPr>
        <w:tab/>
      </w:r>
      <w:r>
        <w:fldChar w:fldCharType="begin"/>
      </w:r>
      <w:r w:rsidRPr="00360586">
        <w:rPr>
          <w:lang w:val="de-DE"/>
        </w:rPr>
        <w:instrText xml:space="preserve"> PAGEREF _Toc354054783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color w:val="000000"/>
          <w:lang w:val="de-DE"/>
        </w:rPr>
        <w:t>Enterprise-Server-Management-Lizenz für System Center Virtual Machine Manager 2008 R2</w:t>
      </w:r>
      <w:r w:rsidRPr="00360586">
        <w:rPr>
          <w:lang w:val="de-DE"/>
        </w:rPr>
        <w:tab/>
      </w:r>
      <w:r>
        <w:fldChar w:fldCharType="begin"/>
      </w:r>
      <w:r w:rsidRPr="00360586">
        <w:rPr>
          <w:lang w:val="de-DE"/>
        </w:rPr>
        <w:instrText xml:space="preserve"> PAGEREF _Toc354054784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de-DE" w:eastAsia="ko-KR"/>
        </w:rPr>
      </w:pPr>
      <w:r w:rsidRPr="00E1012C">
        <w:rPr>
          <w:rFonts w:cs="Tahoma"/>
          <w:lang w:val="de-DE"/>
        </w:rPr>
        <w:t>Client Management Suite (Client-ML) für System Center 2012 pro Betriebssystemumgebung</w:t>
      </w:r>
      <w:r w:rsidRPr="00360586">
        <w:rPr>
          <w:lang w:val="de-DE"/>
        </w:rPr>
        <w:tab/>
      </w:r>
      <w:r>
        <w:fldChar w:fldCharType="begin"/>
      </w:r>
      <w:r w:rsidRPr="00360586">
        <w:rPr>
          <w:lang w:val="de-DE"/>
        </w:rPr>
        <w:instrText xml:space="preserve"> PAGEREF _Toc354054785 \h </w:instrText>
      </w:r>
      <w:r>
        <w:fldChar w:fldCharType="separate"/>
      </w:r>
      <w:r w:rsidR="000B627C">
        <w:rPr>
          <w:lang w:val="de-DE"/>
        </w:rPr>
        <w:t>25</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E1012C">
        <w:rPr>
          <w:rFonts w:cs="Tahoma"/>
          <w:lang w:val="fr-FR"/>
        </w:rPr>
        <w:t>System Center 2012 Client Management Suite (Client-ML) pro Nutzer</w:t>
      </w:r>
      <w:r w:rsidRPr="00360586">
        <w:rPr>
          <w:lang w:val="fr-FR"/>
        </w:rPr>
        <w:tab/>
      </w:r>
      <w:r>
        <w:fldChar w:fldCharType="begin"/>
      </w:r>
      <w:r w:rsidRPr="00360586">
        <w:rPr>
          <w:lang w:val="fr-FR"/>
        </w:rPr>
        <w:instrText xml:space="preserve"> PAGEREF _Toc354054786 \h </w:instrText>
      </w:r>
      <w:r>
        <w:fldChar w:fldCharType="separate"/>
      </w:r>
      <w:r w:rsidR="000B627C">
        <w:rPr>
          <w:lang w:val="fr-FR"/>
        </w:rPr>
        <w:t>26</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360586">
        <w:rPr>
          <w:rFonts w:cs="Tahoma"/>
          <w:lang w:val="fr-FR"/>
        </w:rPr>
        <w:t>Client-Management-Lizenz (Client-ML) für System Center 2012 Configuration Manager (nur Studenten)</w:t>
      </w:r>
      <w:r w:rsidRPr="00360586">
        <w:rPr>
          <w:lang w:val="fr-FR"/>
        </w:rPr>
        <w:tab/>
      </w:r>
      <w:r>
        <w:fldChar w:fldCharType="begin"/>
      </w:r>
      <w:r w:rsidRPr="00360586">
        <w:rPr>
          <w:lang w:val="fr-FR"/>
        </w:rPr>
        <w:instrText xml:space="preserve"> PAGEREF _Toc354054787 \h </w:instrText>
      </w:r>
      <w:r>
        <w:fldChar w:fldCharType="separate"/>
      </w:r>
      <w:r w:rsidR="000B627C">
        <w:rPr>
          <w:lang w:val="fr-FR"/>
        </w:rPr>
        <w:t>26</w:t>
      </w:r>
      <w:r>
        <w:fldChar w:fldCharType="end"/>
      </w:r>
    </w:p>
    <w:p w:rsidR="00B7356C" w:rsidRPr="00360586" w:rsidRDefault="00B7356C">
      <w:pPr>
        <w:pStyle w:val="TOC2"/>
        <w:rPr>
          <w:rFonts w:asciiTheme="minorHAnsi" w:eastAsia="Batang" w:hAnsiTheme="minorHAnsi" w:cstheme="minorBidi"/>
          <w:sz w:val="22"/>
          <w:szCs w:val="22"/>
          <w:lang w:val="fr-FR" w:eastAsia="ko-KR"/>
        </w:rPr>
      </w:pPr>
      <w:r w:rsidRPr="00360586">
        <w:rPr>
          <w:rFonts w:cs="Tahoma"/>
          <w:lang w:val="fr-FR"/>
        </w:rPr>
        <w:t>Client-Management-Lizenz für System Center 2012 Configuration Manager pro Betriebssystemumgebung</w:t>
      </w:r>
      <w:r w:rsidRPr="00360586">
        <w:rPr>
          <w:lang w:val="fr-FR"/>
        </w:rPr>
        <w:tab/>
      </w:r>
      <w:r>
        <w:fldChar w:fldCharType="begin"/>
      </w:r>
      <w:r w:rsidRPr="00360586">
        <w:rPr>
          <w:lang w:val="fr-FR"/>
        </w:rPr>
        <w:instrText xml:space="preserve"> PAGEREF _Toc354054788 \h </w:instrText>
      </w:r>
      <w:r>
        <w:fldChar w:fldCharType="separate"/>
      </w:r>
      <w:r w:rsidR="000B627C">
        <w:rPr>
          <w:lang w:val="fr-FR"/>
        </w:rPr>
        <w:t>26</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für System Center 2012 Configuration Manager pro Nutzer</w:t>
      </w:r>
      <w:r w:rsidRPr="00D70826">
        <w:rPr>
          <w:lang w:val="de-DE"/>
        </w:rPr>
        <w:tab/>
      </w:r>
      <w:r>
        <w:fldChar w:fldCharType="begin"/>
      </w:r>
      <w:r w:rsidRPr="00D70826">
        <w:rPr>
          <w:lang w:val="de-DE"/>
        </w:rPr>
        <w:instrText xml:space="preserve"> PAGEREF _Toc354054789 \h </w:instrText>
      </w:r>
      <w:r>
        <w:fldChar w:fldCharType="separate"/>
      </w:r>
      <w:r w:rsidR="000B627C">
        <w:rPr>
          <w:lang w:val="de-DE"/>
        </w:rPr>
        <w:t>26</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Server-Management-Lizenz für System Center 2012 Datacenter (2 Prozessoren)</w:t>
      </w:r>
      <w:r w:rsidRPr="00D70826">
        <w:rPr>
          <w:lang w:val="de-DE"/>
        </w:rPr>
        <w:tab/>
      </w:r>
      <w:r>
        <w:fldChar w:fldCharType="begin"/>
      </w:r>
      <w:r w:rsidRPr="00D70826">
        <w:rPr>
          <w:lang w:val="de-DE"/>
        </w:rPr>
        <w:instrText xml:space="preserve"> PAGEREF _Toc354054790 \h </w:instrText>
      </w:r>
      <w:r>
        <w:fldChar w:fldCharType="separate"/>
      </w:r>
      <w:r w:rsidR="000B627C">
        <w:rPr>
          <w:lang w:val="de-DE"/>
        </w:rPr>
        <w:t>26</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D70826">
        <w:rPr>
          <w:rFonts w:cs="Tahoma"/>
          <w:lang w:val="de-DE"/>
        </w:rPr>
        <w:t>System Center 2012 Endpoint Protection</w:t>
      </w:r>
      <w:r w:rsidRPr="00D70826">
        <w:rPr>
          <w:lang w:val="de-DE"/>
        </w:rPr>
        <w:tab/>
      </w:r>
      <w:r>
        <w:fldChar w:fldCharType="begin"/>
      </w:r>
      <w:r w:rsidRPr="00D70826">
        <w:rPr>
          <w:lang w:val="de-DE"/>
        </w:rPr>
        <w:instrText xml:space="preserve"> PAGEREF _Toc354054791 \h </w:instrText>
      </w:r>
      <w:r>
        <w:fldChar w:fldCharType="separate"/>
      </w:r>
      <w:r w:rsidR="000B627C">
        <w:rPr>
          <w:lang w:val="de-DE"/>
        </w:rPr>
        <w:t>26</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Standard-Server-Management-Lizenz für System Center 2012 (2 Prozessoren)</w:t>
      </w:r>
      <w:r w:rsidRPr="00D70826">
        <w:rPr>
          <w:lang w:val="de-DE"/>
        </w:rPr>
        <w:tab/>
      </w:r>
      <w:r>
        <w:fldChar w:fldCharType="begin"/>
      </w:r>
      <w:r w:rsidRPr="00D70826">
        <w:rPr>
          <w:lang w:val="de-DE"/>
        </w:rPr>
        <w:instrText xml:space="preserve"> PAGEREF _Toc354054792 \h </w:instrText>
      </w:r>
      <w:r>
        <w:fldChar w:fldCharType="separate"/>
      </w:r>
      <w:r w:rsidR="000B627C">
        <w:rPr>
          <w:lang w:val="de-DE"/>
        </w:rPr>
        <w:t>26</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D70826">
        <w:rPr>
          <w:rFonts w:cs="Tahoma"/>
          <w:lang w:val="de-DE"/>
        </w:rPr>
        <w:t>TechNet Plus Einzelnutzer</w:t>
      </w:r>
      <w:r w:rsidRPr="00D70826">
        <w:rPr>
          <w:lang w:val="de-DE"/>
        </w:rPr>
        <w:tab/>
      </w:r>
      <w:r>
        <w:fldChar w:fldCharType="begin"/>
      </w:r>
      <w:r w:rsidRPr="00D70826">
        <w:rPr>
          <w:lang w:val="de-DE"/>
        </w:rPr>
        <w:instrText xml:space="preserve"> PAGEREF _Toc354054793 \h </w:instrText>
      </w:r>
      <w:r>
        <w:fldChar w:fldCharType="separate"/>
      </w:r>
      <w:r w:rsidR="000B627C">
        <w:rPr>
          <w:lang w:val="de-DE"/>
        </w:rPr>
        <w:t>26</w:t>
      </w:r>
      <w:r>
        <w:fldChar w:fldCharType="end"/>
      </w:r>
    </w:p>
    <w:p w:rsidR="00B7356C" w:rsidRPr="00D70826" w:rsidRDefault="00B7356C">
      <w:pPr>
        <w:pStyle w:val="TOC2"/>
        <w:rPr>
          <w:rFonts w:asciiTheme="minorHAnsi" w:eastAsia="Batang" w:hAnsiTheme="minorHAnsi" w:cstheme="minorBidi"/>
          <w:sz w:val="22"/>
          <w:szCs w:val="22"/>
          <w:lang w:val="fr-FR" w:eastAsia="ko-KR"/>
        </w:rPr>
      </w:pPr>
      <w:r w:rsidRPr="00D70826">
        <w:rPr>
          <w:rFonts w:cs="Tahoma"/>
          <w:lang w:val="fr-FR"/>
        </w:rPr>
        <w:t>VDI Suite</w:t>
      </w:r>
      <w:r w:rsidRPr="00D70826">
        <w:rPr>
          <w:lang w:val="fr-FR"/>
        </w:rPr>
        <w:tab/>
      </w:r>
      <w:r>
        <w:fldChar w:fldCharType="begin"/>
      </w:r>
      <w:r w:rsidRPr="00D70826">
        <w:rPr>
          <w:lang w:val="fr-FR"/>
        </w:rPr>
        <w:instrText xml:space="preserve"> PAGEREF _Toc354054794 \h </w:instrText>
      </w:r>
      <w:r>
        <w:fldChar w:fldCharType="separate"/>
      </w:r>
      <w:r w:rsidR="000B627C">
        <w:rPr>
          <w:lang w:val="fr-FR"/>
        </w:rPr>
        <w:t>26</w:t>
      </w:r>
      <w:r>
        <w:fldChar w:fldCharType="end"/>
      </w:r>
    </w:p>
    <w:p w:rsidR="00B7356C" w:rsidRPr="00D70826" w:rsidRDefault="00B7356C">
      <w:pPr>
        <w:pStyle w:val="TOC2"/>
        <w:rPr>
          <w:rFonts w:asciiTheme="minorHAnsi" w:eastAsia="Batang" w:hAnsiTheme="minorHAnsi" w:cstheme="minorBidi"/>
          <w:sz w:val="22"/>
          <w:szCs w:val="22"/>
          <w:lang w:val="fr-FR" w:eastAsia="ko-KR"/>
        </w:rPr>
      </w:pPr>
      <w:r w:rsidRPr="00D70826">
        <w:rPr>
          <w:rFonts w:cs="Tahoma"/>
          <w:lang w:val="fr-FR"/>
        </w:rPr>
        <w:t>VDI Suite mit MDOP</w:t>
      </w:r>
      <w:r w:rsidRPr="00D70826">
        <w:rPr>
          <w:lang w:val="fr-FR"/>
        </w:rPr>
        <w:tab/>
      </w:r>
      <w:r>
        <w:fldChar w:fldCharType="begin"/>
      </w:r>
      <w:r w:rsidRPr="00D70826">
        <w:rPr>
          <w:lang w:val="fr-FR"/>
        </w:rPr>
        <w:instrText xml:space="preserve"> PAGEREF _Toc354054795 \h </w:instrText>
      </w:r>
      <w:r>
        <w:fldChar w:fldCharType="separate"/>
      </w:r>
      <w:r w:rsidR="000B627C">
        <w:rPr>
          <w:lang w:val="fr-FR"/>
        </w:rPr>
        <w:t>26</w:t>
      </w:r>
      <w:r>
        <w:fldChar w:fldCharType="end"/>
      </w:r>
    </w:p>
    <w:p w:rsidR="00B7356C" w:rsidRPr="00D70826" w:rsidRDefault="00B7356C">
      <w:pPr>
        <w:pStyle w:val="TOC2"/>
        <w:rPr>
          <w:rFonts w:asciiTheme="minorHAnsi" w:eastAsia="Batang" w:hAnsiTheme="minorHAnsi" w:cstheme="minorBidi"/>
          <w:sz w:val="22"/>
          <w:szCs w:val="22"/>
          <w:lang w:val="fr-FR" w:eastAsia="ko-KR"/>
        </w:rPr>
      </w:pPr>
      <w:r w:rsidRPr="00D70826">
        <w:rPr>
          <w:rFonts w:cs="Tahoma"/>
          <w:lang w:val="fr-FR"/>
        </w:rPr>
        <w:t>VDI Standard Suite</w:t>
      </w:r>
      <w:r w:rsidRPr="00D70826">
        <w:rPr>
          <w:lang w:val="fr-FR"/>
        </w:rPr>
        <w:tab/>
      </w:r>
      <w:r>
        <w:fldChar w:fldCharType="begin"/>
      </w:r>
      <w:r w:rsidRPr="00D70826">
        <w:rPr>
          <w:lang w:val="fr-FR"/>
        </w:rPr>
        <w:instrText xml:space="preserve"> PAGEREF _Toc354054796 \h </w:instrText>
      </w:r>
      <w:r>
        <w:fldChar w:fldCharType="separate"/>
      </w:r>
      <w:r w:rsidR="000B627C">
        <w:rPr>
          <w:lang w:val="fr-FR"/>
        </w:rPr>
        <w:t>26</w:t>
      </w:r>
      <w:r>
        <w:fldChar w:fldCharType="end"/>
      </w:r>
    </w:p>
    <w:p w:rsidR="00B7356C" w:rsidRPr="00D70826" w:rsidRDefault="00B7356C">
      <w:pPr>
        <w:pStyle w:val="TOC2"/>
        <w:rPr>
          <w:rFonts w:asciiTheme="minorHAnsi" w:eastAsia="Batang" w:hAnsiTheme="minorHAnsi" w:cstheme="minorBidi"/>
          <w:sz w:val="22"/>
          <w:szCs w:val="22"/>
          <w:lang w:val="fr-FR" w:eastAsia="ko-KR"/>
        </w:rPr>
      </w:pPr>
      <w:r w:rsidRPr="00D70826">
        <w:rPr>
          <w:rFonts w:cs="Tahoma"/>
          <w:lang w:val="fr-FR"/>
        </w:rPr>
        <w:t>VDI Standard Suite mit MDOP</w:t>
      </w:r>
      <w:r w:rsidRPr="00D70826">
        <w:rPr>
          <w:lang w:val="fr-FR"/>
        </w:rPr>
        <w:tab/>
      </w:r>
      <w:r>
        <w:fldChar w:fldCharType="begin"/>
      </w:r>
      <w:r w:rsidRPr="00D70826">
        <w:rPr>
          <w:lang w:val="fr-FR"/>
        </w:rPr>
        <w:instrText xml:space="preserve"> PAGEREF _Toc354054797 \h </w:instrText>
      </w:r>
      <w:r>
        <w:fldChar w:fldCharType="separate"/>
      </w:r>
      <w:r w:rsidR="000B627C">
        <w:rPr>
          <w:lang w:val="fr-FR"/>
        </w:rPr>
        <w:t>26</w:t>
      </w:r>
      <w:r>
        <w:fldChar w:fldCharType="end"/>
      </w:r>
    </w:p>
    <w:p w:rsidR="00B7356C" w:rsidRPr="00D70826" w:rsidRDefault="00B7356C">
      <w:pPr>
        <w:pStyle w:val="TOC2"/>
        <w:rPr>
          <w:rFonts w:asciiTheme="minorHAnsi" w:eastAsia="Batang" w:hAnsiTheme="minorHAnsi" w:cstheme="minorBidi"/>
          <w:sz w:val="22"/>
          <w:szCs w:val="22"/>
          <w:lang w:val="fr-FR" w:eastAsia="ko-KR"/>
        </w:rPr>
      </w:pPr>
      <w:r w:rsidRPr="00D70826">
        <w:rPr>
          <w:rFonts w:cs="Tahoma"/>
          <w:lang w:val="fr-FR"/>
        </w:rPr>
        <w:t>VDI Premium Suite</w:t>
      </w:r>
      <w:r w:rsidRPr="00D70826">
        <w:rPr>
          <w:lang w:val="fr-FR"/>
        </w:rPr>
        <w:tab/>
      </w:r>
      <w:r>
        <w:fldChar w:fldCharType="begin"/>
      </w:r>
      <w:r w:rsidRPr="00D70826">
        <w:rPr>
          <w:lang w:val="fr-FR"/>
        </w:rPr>
        <w:instrText xml:space="preserve"> PAGEREF _Toc354054798 \h </w:instrText>
      </w:r>
      <w:r>
        <w:fldChar w:fldCharType="separate"/>
      </w:r>
      <w:r w:rsidR="000B627C">
        <w:rPr>
          <w:lang w:val="fr-FR"/>
        </w:rPr>
        <w:t>26</w:t>
      </w:r>
      <w:r>
        <w:fldChar w:fldCharType="end"/>
      </w:r>
    </w:p>
    <w:p w:rsidR="00B7356C" w:rsidRPr="00D70826" w:rsidRDefault="00B7356C">
      <w:pPr>
        <w:pStyle w:val="TOC2"/>
        <w:rPr>
          <w:rFonts w:asciiTheme="minorHAnsi" w:eastAsia="Batang" w:hAnsiTheme="minorHAnsi" w:cstheme="minorBidi"/>
          <w:sz w:val="22"/>
          <w:szCs w:val="22"/>
          <w:lang w:val="da-DK" w:eastAsia="ko-KR"/>
        </w:rPr>
      </w:pPr>
      <w:r w:rsidRPr="00D70826">
        <w:rPr>
          <w:rFonts w:cs="Tahoma"/>
          <w:lang w:val="da-DK"/>
        </w:rPr>
        <w:t>VDI Premium Suite mit MDOP</w:t>
      </w:r>
      <w:r w:rsidRPr="00D70826">
        <w:rPr>
          <w:lang w:val="da-DK"/>
        </w:rPr>
        <w:tab/>
      </w:r>
      <w:r>
        <w:fldChar w:fldCharType="begin"/>
      </w:r>
      <w:r w:rsidRPr="00D70826">
        <w:rPr>
          <w:lang w:val="da-DK"/>
        </w:rPr>
        <w:instrText xml:space="preserve"> PAGEREF _Toc354054799 \h </w:instrText>
      </w:r>
      <w:r>
        <w:fldChar w:fldCharType="separate"/>
      </w:r>
      <w:r w:rsidR="000B627C">
        <w:rPr>
          <w:lang w:val="da-DK"/>
        </w:rPr>
        <w:t>26</w:t>
      </w:r>
      <w:r>
        <w:fldChar w:fldCharType="end"/>
      </w:r>
    </w:p>
    <w:p w:rsidR="00B7356C" w:rsidRPr="00D70826" w:rsidRDefault="00B7356C">
      <w:pPr>
        <w:pStyle w:val="TOC2"/>
        <w:rPr>
          <w:rFonts w:asciiTheme="minorHAnsi" w:eastAsia="Batang" w:hAnsiTheme="minorHAnsi" w:cstheme="minorBidi"/>
          <w:sz w:val="22"/>
          <w:szCs w:val="22"/>
          <w:lang w:val="da-DK" w:eastAsia="ko-KR"/>
        </w:rPr>
      </w:pPr>
      <w:r w:rsidRPr="00D70826">
        <w:rPr>
          <w:rFonts w:cs="Tahoma"/>
          <w:lang w:val="da-DK"/>
        </w:rPr>
        <w:t>Vexcel Server</w:t>
      </w:r>
      <w:r w:rsidRPr="00D70826">
        <w:rPr>
          <w:lang w:val="da-DK"/>
        </w:rPr>
        <w:tab/>
      </w:r>
      <w:r>
        <w:fldChar w:fldCharType="begin"/>
      </w:r>
      <w:r w:rsidRPr="00D70826">
        <w:rPr>
          <w:lang w:val="da-DK"/>
        </w:rPr>
        <w:instrText xml:space="preserve"> PAGEREF _Toc354054800 \h </w:instrText>
      </w:r>
      <w:r>
        <w:fldChar w:fldCharType="separate"/>
      </w:r>
      <w:r w:rsidR="000B627C">
        <w:rPr>
          <w:lang w:val="da-DK"/>
        </w:rPr>
        <w:t>26</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Vexcel Server mit Erweitertem Inhaltspaket</w:t>
      </w:r>
      <w:r w:rsidRPr="00D70826">
        <w:rPr>
          <w:lang w:val="de-DE"/>
        </w:rPr>
        <w:tab/>
      </w:r>
      <w:r>
        <w:fldChar w:fldCharType="begin"/>
      </w:r>
      <w:r w:rsidRPr="00D70826">
        <w:rPr>
          <w:lang w:val="de-DE"/>
        </w:rPr>
        <w:instrText xml:space="preserve"> PAGEREF _Toc354054801 \h </w:instrText>
      </w:r>
      <w:r>
        <w:fldChar w:fldCharType="separate"/>
      </w:r>
      <w:r w:rsidR="000B627C">
        <w:rPr>
          <w:lang w:val="de-DE"/>
        </w:rPr>
        <w:t>26</w:t>
      </w:r>
      <w:r>
        <w:fldChar w:fldCharType="end"/>
      </w:r>
    </w:p>
    <w:p w:rsidR="00B7356C" w:rsidRPr="00D70826" w:rsidRDefault="00B7356C">
      <w:pPr>
        <w:pStyle w:val="TOC2"/>
        <w:rPr>
          <w:rFonts w:asciiTheme="minorHAnsi" w:eastAsia="Batang" w:hAnsiTheme="minorHAnsi" w:cstheme="minorBidi"/>
          <w:sz w:val="22"/>
          <w:szCs w:val="22"/>
          <w:lang w:val="pt-BR" w:eastAsia="ko-KR"/>
        </w:rPr>
      </w:pPr>
      <w:r w:rsidRPr="00E1012C">
        <w:rPr>
          <w:rFonts w:cs="Tahoma"/>
          <w:lang w:val="pt-BR"/>
        </w:rPr>
        <w:t>Virtual Server 2005 R2 Enterprise Edition</w:t>
      </w:r>
      <w:r w:rsidRPr="00D70826">
        <w:rPr>
          <w:lang w:val="pt-BR"/>
        </w:rPr>
        <w:tab/>
      </w:r>
      <w:r>
        <w:fldChar w:fldCharType="begin"/>
      </w:r>
      <w:r w:rsidRPr="00D70826">
        <w:rPr>
          <w:lang w:val="pt-BR"/>
        </w:rPr>
        <w:instrText xml:space="preserve"> PAGEREF _Toc354054802 \h </w:instrText>
      </w:r>
      <w:r>
        <w:fldChar w:fldCharType="separate"/>
      </w:r>
      <w:r w:rsidR="000B627C">
        <w:rPr>
          <w:lang w:val="pt-BR"/>
        </w:rPr>
        <w:t>26</w:t>
      </w:r>
      <w:r>
        <w:fldChar w:fldCharType="end"/>
      </w:r>
    </w:p>
    <w:p w:rsidR="00B7356C" w:rsidRPr="00D70826" w:rsidRDefault="00B7356C">
      <w:pPr>
        <w:pStyle w:val="TOC2"/>
        <w:rPr>
          <w:rFonts w:asciiTheme="minorHAnsi" w:eastAsia="Batang" w:hAnsiTheme="minorHAnsi" w:cstheme="minorBidi"/>
          <w:sz w:val="22"/>
          <w:szCs w:val="22"/>
          <w:lang w:val="pt-BR" w:eastAsia="ko-KR"/>
        </w:rPr>
      </w:pPr>
      <w:r w:rsidRPr="00D70826">
        <w:rPr>
          <w:rFonts w:cs="Tahoma"/>
          <w:lang w:val="pt-BR"/>
        </w:rPr>
        <w:t>Visual Studio</w:t>
      </w:r>
      <w:r w:rsidRPr="00D70826">
        <w:rPr>
          <w:rFonts w:eastAsia="Times New Roman" w:cs="Tahoma"/>
          <w:color w:val="000000"/>
          <w:vertAlign w:val="superscript"/>
          <w:lang w:val="pt-BR"/>
        </w:rPr>
        <w:t>®</w:t>
      </w:r>
      <w:r w:rsidRPr="00D70826">
        <w:rPr>
          <w:rFonts w:cs="Tahoma"/>
          <w:lang w:val="pt-BR"/>
        </w:rPr>
        <w:t xml:space="preserve"> Team Foundation Server 2012 mit SQL Server 2012-Technologie</w:t>
      </w:r>
      <w:r w:rsidRPr="00D70826">
        <w:rPr>
          <w:lang w:val="pt-BR"/>
        </w:rPr>
        <w:tab/>
      </w:r>
      <w:r>
        <w:fldChar w:fldCharType="begin"/>
      </w:r>
      <w:r w:rsidRPr="00D70826">
        <w:rPr>
          <w:lang w:val="pt-BR"/>
        </w:rPr>
        <w:instrText xml:space="preserve"> PAGEREF _Toc354054803 \h </w:instrText>
      </w:r>
      <w:r>
        <w:fldChar w:fldCharType="separate"/>
      </w:r>
      <w:r w:rsidR="000B627C">
        <w:rPr>
          <w:lang w:val="pt-BR"/>
        </w:rPr>
        <w:t>26</w:t>
      </w:r>
      <w:r>
        <w:fldChar w:fldCharType="end"/>
      </w:r>
    </w:p>
    <w:p w:rsidR="00B7356C" w:rsidRPr="00D70826" w:rsidRDefault="00B7356C">
      <w:pPr>
        <w:pStyle w:val="TOC2"/>
        <w:rPr>
          <w:rFonts w:asciiTheme="minorHAnsi" w:eastAsia="Batang" w:hAnsiTheme="minorHAnsi" w:cstheme="minorBidi"/>
          <w:sz w:val="22"/>
          <w:szCs w:val="22"/>
          <w:lang w:val="pt-BR" w:eastAsia="ko-KR"/>
        </w:rPr>
      </w:pPr>
      <w:r w:rsidRPr="00D70826">
        <w:rPr>
          <w:rFonts w:cs="Tahoma"/>
          <w:lang w:val="pt-BR"/>
        </w:rPr>
        <w:t>Geräte-CAL für Visual Studio</w:t>
      </w:r>
      <w:r w:rsidRPr="00D70826">
        <w:rPr>
          <w:rFonts w:cs="Tahoma"/>
          <w:vertAlign w:val="superscript"/>
          <w:lang w:val="pt-BR"/>
        </w:rPr>
        <w:t>®</w:t>
      </w:r>
      <w:r w:rsidRPr="00D70826">
        <w:rPr>
          <w:rFonts w:cs="Tahoma"/>
          <w:lang w:val="pt-BR"/>
        </w:rPr>
        <w:t xml:space="preserve"> Team Foundation Server 2012</w:t>
      </w:r>
      <w:r w:rsidRPr="00D70826">
        <w:rPr>
          <w:lang w:val="pt-BR"/>
        </w:rPr>
        <w:tab/>
      </w:r>
      <w:r>
        <w:fldChar w:fldCharType="begin"/>
      </w:r>
      <w:r w:rsidRPr="00D70826">
        <w:rPr>
          <w:lang w:val="pt-BR"/>
        </w:rPr>
        <w:instrText xml:space="preserve"> PAGEREF _Toc354054804 \h </w:instrText>
      </w:r>
      <w:r>
        <w:fldChar w:fldCharType="separate"/>
      </w:r>
      <w:r w:rsidR="000B627C">
        <w:rPr>
          <w:lang w:val="pt-BR"/>
        </w:rPr>
        <w:t>26</w:t>
      </w:r>
      <w:r>
        <w:fldChar w:fldCharType="end"/>
      </w:r>
    </w:p>
    <w:p w:rsidR="00B7356C" w:rsidRPr="00D70826" w:rsidRDefault="00B7356C">
      <w:pPr>
        <w:pStyle w:val="TOC2"/>
        <w:rPr>
          <w:rFonts w:asciiTheme="minorHAnsi" w:eastAsia="Batang" w:hAnsiTheme="minorHAnsi" w:cstheme="minorBidi"/>
          <w:sz w:val="22"/>
          <w:szCs w:val="22"/>
          <w:lang w:val="pt-BR" w:eastAsia="ko-KR"/>
        </w:rPr>
      </w:pPr>
      <w:r w:rsidRPr="00D70826">
        <w:rPr>
          <w:rFonts w:cs="Tahoma"/>
          <w:lang w:val="pt-BR"/>
        </w:rPr>
        <w:t>Nutzer-CAL für Visual Studio</w:t>
      </w:r>
      <w:r w:rsidRPr="00D70826">
        <w:rPr>
          <w:rFonts w:cs="Tahoma"/>
          <w:vertAlign w:val="superscript"/>
          <w:lang w:val="pt-BR"/>
        </w:rPr>
        <w:t>®</w:t>
      </w:r>
      <w:r w:rsidRPr="00D70826">
        <w:rPr>
          <w:rFonts w:cs="Tahoma"/>
          <w:lang w:val="pt-BR"/>
        </w:rPr>
        <w:t xml:space="preserve"> Team Foundation Server 2012</w:t>
      </w:r>
      <w:r w:rsidRPr="00D70826">
        <w:rPr>
          <w:lang w:val="pt-BR"/>
        </w:rPr>
        <w:tab/>
      </w:r>
      <w:r>
        <w:fldChar w:fldCharType="begin"/>
      </w:r>
      <w:r w:rsidRPr="00D70826">
        <w:rPr>
          <w:lang w:val="pt-BR"/>
        </w:rPr>
        <w:instrText xml:space="preserve"> PAGEREF _Toc354054805 \h </w:instrText>
      </w:r>
      <w:r>
        <w:fldChar w:fldCharType="separate"/>
      </w:r>
      <w:r w:rsidR="000B627C">
        <w:rPr>
          <w:lang w:val="pt-BR"/>
        </w:rPr>
        <w:t>26</w:t>
      </w:r>
      <w:r>
        <w:fldChar w:fldCharType="end"/>
      </w:r>
    </w:p>
    <w:p w:rsidR="00B7356C" w:rsidRPr="00D70826" w:rsidRDefault="00B7356C">
      <w:pPr>
        <w:pStyle w:val="TOC2"/>
        <w:rPr>
          <w:rFonts w:asciiTheme="minorHAnsi" w:eastAsia="Batang" w:hAnsiTheme="minorHAnsi" w:cstheme="minorBidi"/>
          <w:sz w:val="22"/>
          <w:szCs w:val="22"/>
          <w:lang w:val="pt-BR" w:eastAsia="ko-KR"/>
        </w:rPr>
      </w:pPr>
      <w:r w:rsidRPr="00D70826">
        <w:rPr>
          <w:rFonts w:cs="Tahoma"/>
          <w:lang w:val="pt-BR"/>
        </w:rPr>
        <w:t xml:space="preserve">Web-Antimalware-Abonnement für Forefront Threat Management Gateway </w:t>
      </w:r>
      <w:r w:rsidR="00BD0F44" w:rsidRPr="00D70826">
        <w:rPr>
          <w:rFonts w:cs="Tahoma"/>
          <w:lang w:val="pt-BR"/>
        </w:rPr>
        <w:br/>
      </w:r>
      <w:r w:rsidRPr="00D70826">
        <w:rPr>
          <w:rFonts w:cs="Tahoma"/>
          <w:lang w:val="pt-BR"/>
        </w:rPr>
        <w:t>Medium Business Edition (Gerät &amp; Nutzer)</w:t>
      </w:r>
      <w:r w:rsidRPr="00D70826">
        <w:rPr>
          <w:lang w:val="pt-BR"/>
        </w:rPr>
        <w:tab/>
      </w:r>
      <w:r>
        <w:fldChar w:fldCharType="begin"/>
      </w:r>
      <w:r w:rsidRPr="00D70826">
        <w:rPr>
          <w:lang w:val="pt-BR"/>
        </w:rPr>
        <w:instrText xml:space="preserve"> PAGEREF _Toc354054806 \h </w:instrText>
      </w:r>
      <w:r>
        <w:fldChar w:fldCharType="separate"/>
      </w:r>
      <w:r w:rsidR="000B627C">
        <w:rPr>
          <w:lang w:val="pt-BR"/>
        </w:rPr>
        <w:t>26</w:t>
      </w:r>
      <w:r>
        <w:fldChar w:fldCharType="end"/>
      </w:r>
    </w:p>
    <w:p w:rsidR="00B7356C" w:rsidRPr="00D70826" w:rsidRDefault="00B7356C">
      <w:pPr>
        <w:pStyle w:val="TOC2"/>
        <w:rPr>
          <w:rFonts w:asciiTheme="minorHAnsi" w:eastAsia="Batang" w:hAnsiTheme="minorHAnsi" w:cstheme="minorBidi"/>
          <w:sz w:val="22"/>
          <w:szCs w:val="22"/>
          <w:lang w:val="pt-BR" w:eastAsia="ko-KR"/>
        </w:rPr>
      </w:pPr>
      <w:r w:rsidRPr="00D70826">
        <w:rPr>
          <w:rFonts w:cs="Tahoma"/>
          <w:lang w:val="pt-BR"/>
        </w:rPr>
        <w:t>Windows Azure-Dienste</w:t>
      </w:r>
      <w:r w:rsidRPr="00D70826">
        <w:rPr>
          <w:lang w:val="pt-BR"/>
        </w:rPr>
        <w:tab/>
      </w:r>
      <w:r>
        <w:fldChar w:fldCharType="begin"/>
      </w:r>
      <w:r w:rsidRPr="00D70826">
        <w:rPr>
          <w:lang w:val="pt-BR"/>
        </w:rPr>
        <w:instrText xml:space="preserve"> PAGEREF _Toc354054807 \h </w:instrText>
      </w:r>
      <w:r>
        <w:fldChar w:fldCharType="separate"/>
      </w:r>
      <w:r w:rsidR="000B627C">
        <w:rPr>
          <w:lang w:val="pt-BR"/>
        </w:rPr>
        <w:t>26</w:t>
      </w:r>
      <w:r>
        <w:fldChar w:fldCharType="end"/>
      </w:r>
    </w:p>
    <w:p w:rsidR="00B7356C" w:rsidRPr="00D70826" w:rsidRDefault="00B7356C">
      <w:pPr>
        <w:pStyle w:val="TOC2"/>
        <w:rPr>
          <w:rFonts w:asciiTheme="minorHAnsi" w:eastAsia="Batang" w:hAnsiTheme="minorHAnsi" w:cstheme="minorBidi"/>
          <w:sz w:val="22"/>
          <w:szCs w:val="22"/>
          <w:lang w:val="pt-BR" w:eastAsia="ko-KR"/>
        </w:rPr>
      </w:pPr>
      <w:r w:rsidRPr="00D70826">
        <w:rPr>
          <w:rFonts w:cs="Tahoma"/>
          <w:lang w:val="pt-BR"/>
        </w:rPr>
        <w:t>Windows</w:t>
      </w:r>
      <w:r w:rsidRPr="00D70826">
        <w:rPr>
          <w:rFonts w:cs="Tahoma"/>
          <w:vertAlign w:val="superscript"/>
          <w:lang w:val="pt-BR"/>
        </w:rPr>
        <w:t>®</w:t>
      </w:r>
      <w:r w:rsidRPr="00D70826">
        <w:rPr>
          <w:rFonts w:cs="Tahoma"/>
          <w:lang w:val="pt-BR"/>
        </w:rPr>
        <w:t xml:space="preserve"> Embedded Device Manager 2011</w:t>
      </w:r>
      <w:r w:rsidRPr="00D70826">
        <w:rPr>
          <w:lang w:val="pt-BR"/>
        </w:rPr>
        <w:tab/>
      </w:r>
      <w:r>
        <w:fldChar w:fldCharType="begin"/>
      </w:r>
      <w:r w:rsidRPr="00D70826">
        <w:rPr>
          <w:lang w:val="pt-BR"/>
        </w:rPr>
        <w:instrText xml:space="preserve"> PAGEREF _Toc354054808 \h </w:instrText>
      </w:r>
      <w:r>
        <w:fldChar w:fldCharType="separate"/>
      </w:r>
      <w:r w:rsidR="000B627C">
        <w:rPr>
          <w:lang w:val="pt-BR"/>
        </w:rPr>
        <w:t>26</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für Windows</w:t>
      </w:r>
      <w:r w:rsidRPr="00E1012C">
        <w:rPr>
          <w:rFonts w:cs="Tahoma"/>
          <w:vertAlign w:val="superscript"/>
          <w:lang w:val="de-DE"/>
        </w:rPr>
        <w:t>®</w:t>
      </w:r>
      <w:r w:rsidRPr="00E1012C">
        <w:rPr>
          <w:rFonts w:cs="Tahoma"/>
          <w:lang w:val="de-DE"/>
        </w:rPr>
        <w:t xml:space="preserve"> Embedded Device Manager 2011 pro Betriebssystemumgebung</w:t>
      </w:r>
      <w:r w:rsidRPr="00D70826">
        <w:rPr>
          <w:lang w:val="de-DE"/>
        </w:rPr>
        <w:tab/>
      </w:r>
      <w:r>
        <w:fldChar w:fldCharType="begin"/>
      </w:r>
      <w:r w:rsidRPr="00D70826">
        <w:rPr>
          <w:lang w:val="de-DE"/>
        </w:rPr>
        <w:instrText xml:space="preserve"> PAGEREF _Toc354054809 \h </w:instrText>
      </w:r>
      <w:r>
        <w:fldChar w:fldCharType="separate"/>
      </w:r>
      <w:r w:rsidR="000B627C">
        <w:rPr>
          <w:lang w:val="de-DE"/>
        </w:rPr>
        <w:t>26</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Client-Management-Lizenz pro Nutzer für Windows</w:t>
      </w:r>
      <w:r w:rsidRPr="00E1012C">
        <w:rPr>
          <w:rFonts w:cs="Tahoma"/>
          <w:vertAlign w:val="superscript"/>
          <w:lang w:val="de-DE"/>
        </w:rPr>
        <w:t>®</w:t>
      </w:r>
      <w:r w:rsidRPr="00E1012C">
        <w:rPr>
          <w:rFonts w:cs="Tahoma"/>
          <w:lang w:val="de-DE"/>
        </w:rPr>
        <w:t xml:space="preserve"> Embedded Device Manager 2011</w:t>
      </w:r>
      <w:r w:rsidRPr="00D70826">
        <w:rPr>
          <w:lang w:val="de-DE"/>
        </w:rPr>
        <w:tab/>
      </w:r>
      <w:r>
        <w:fldChar w:fldCharType="begin"/>
      </w:r>
      <w:r w:rsidRPr="00D70826">
        <w:rPr>
          <w:lang w:val="de-DE"/>
        </w:rPr>
        <w:instrText xml:space="preserve"> PAGEREF _Toc354054810 \h </w:instrText>
      </w:r>
      <w:r>
        <w:fldChar w:fldCharType="separate"/>
      </w:r>
      <w:r w:rsidR="000B627C">
        <w:rPr>
          <w:lang w:val="de-DE"/>
        </w:rPr>
        <w:t>26</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w:t>
      </w:r>
      <w:r w:rsidRPr="00E1012C">
        <w:rPr>
          <w:rFonts w:cs="Tahoma"/>
          <w:vertAlign w:val="superscript"/>
        </w:rPr>
        <w:t>®</w:t>
      </w:r>
      <w:r w:rsidRPr="00E1012C">
        <w:rPr>
          <w:rFonts w:cs="Tahoma"/>
        </w:rPr>
        <w:t xml:space="preserve"> Embedded Device Manager 2011 mit SQL Server</w:t>
      </w:r>
      <w:r w:rsidRPr="00E1012C">
        <w:rPr>
          <w:rFonts w:cs="Tahoma"/>
          <w:vertAlign w:val="superscript"/>
        </w:rPr>
        <w:t>®</w:t>
      </w:r>
      <w:r w:rsidRPr="00E1012C">
        <w:rPr>
          <w:rFonts w:cs="Tahoma"/>
        </w:rPr>
        <w:t xml:space="preserve"> 2008-Technologie</w:t>
      </w:r>
      <w:r>
        <w:tab/>
      </w:r>
      <w:r>
        <w:fldChar w:fldCharType="begin"/>
      </w:r>
      <w:r>
        <w:instrText xml:space="preserve"> PAGEREF _Toc354054811 \h </w:instrText>
      </w:r>
      <w:r>
        <w:fldChar w:fldCharType="separate"/>
      </w:r>
      <w:r w:rsidR="000B627C">
        <w:t>26</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Essential Business Server 2008 Standard</w:t>
      </w:r>
      <w:r>
        <w:tab/>
      </w:r>
      <w:r>
        <w:fldChar w:fldCharType="begin"/>
      </w:r>
      <w:r>
        <w:instrText xml:space="preserve"> PAGEREF _Toc354054812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CAL-Suite für Windows Essential Business Server 2008</w:t>
      </w:r>
      <w:r>
        <w:tab/>
      </w:r>
      <w:r>
        <w:fldChar w:fldCharType="begin"/>
      </w:r>
      <w:r>
        <w:instrText xml:space="preserve"> PAGEREF _Toc354054813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CAL-Suite für Windows Essential Business Server 2008 (5 Clients)</w:t>
      </w:r>
      <w:r>
        <w:tab/>
      </w:r>
      <w:r>
        <w:fldChar w:fldCharType="begin"/>
      </w:r>
      <w:r>
        <w:instrText xml:space="preserve"> PAGEREF _Toc354054814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color w:val="000000"/>
        </w:rPr>
        <w:t>CAL-Suite für Windows Essential Business Server 2008 (20 Clients)</w:t>
      </w:r>
      <w:r>
        <w:tab/>
      </w:r>
      <w:r>
        <w:fldChar w:fldCharType="begin"/>
      </w:r>
      <w:r>
        <w:instrText xml:space="preserve"> PAGEREF _Toc354054815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CAL-Suite für Windows Essential Business Server 2008 (50 Clients)</w:t>
      </w:r>
      <w:r>
        <w:tab/>
      </w:r>
      <w:r>
        <w:fldChar w:fldCharType="begin"/>
      </w:r>
      <w:r>
        <w:instrText xml:space="preserve"> PAGEREF _Toc354054816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Essential Business Server 2008 Premium</w:t>
      </w:r>
      <w:r>
        <w:tab/>
      </w:r>
      <w:r>
        <w:fldChar w:fldCharType="begin"/>
      </w:r>
      <w:r>
        <w:instrText xml:space="preserve"> PAGEREF _Toc354054817 \h </w:instrText>
      </w:r>
      <w:r>
        <w:fldChar w:fldCharType="separate"/>
      </w:r>
      <w:r w:rsidR="000B627C">
        <w:t>27</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CAL-Suite für Windows Essential Business Server 2008 für Premium-Nutzer  oder -Geräte</w:t>
      </w:r>
      <w:r w:rsidRPr="00D70826">
        <w:rPr>
          <w:lang w:val="de-DE"/>
        </w:rPr>
        <w:tab/>
      </w:r>
      <w:r>
        <w:fldChar w:fldCharType="begin"/>
      </w:r>
      <w:r w:rsidRPr="00D70826">
        <w:rPr>
          <w:lang w:val="de-DE"/>
        </w:rPr>
        <w:instrText xml:space="preserve"> PAGEREF _Toc354054818 \h </w:instrText>
      </w:r>
      <w:r>
        <w:fldChar w:fldCharType="separate"/>
      </w:r>
      <w:r w:rsidR="000B627C">
        <w:rPr>
          <w:lang w:val="de-DE"/>
        </w:rPr>
        <w:t>27</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Windows Essential Business Server 2008 CAL Suite für Premium-Nutzer oder -Geräte (5 Clients)</w:t>
      </w:r>
      <w:r w:rsidRPr="00D70826">
        <w:rPr>
          <w:lang w:val="de-DE"/>
        </w:rPr>
        <w:tab/>
      </w:r>
      <w:r>
        <w:fldChar w:fldCharType="begin"/>
      </w:r>
      <w:r w:rsidRPr="00D70826">
        <w:rPr>
          <w:lang w:val="de-DE"/>
        </w:rPr>
        <w:instrText xml:space="preserve"> PAGEREF _Toc354054819 \h </w:instrText>
      </w:r>
      <w:r>
        <w:fldChar w:fldCharType="separate"/>
      </w:r>
      <w:r w:rsidR="000B627C">
        <w:rPr>
          <w:lang w:val="de-DE"/>
        </w:rPr>
        <w:t>27</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CAL-Suite für Windows Essential Business Server 2008 für Premium-Nutzer oder -Geräte (20 Clients)</w:t>
      </w:r>
      <w:r w:rsidRPr="00D70826">
        <w:rPr>
          <w:lang w:val="de-DE"/>
        </w:rPr>
        <w:tab/>
      </w:r>
      <w:r>
        <w:fldChar w:fldCharType="begin"/>
      </w:r>
      <w:r w:rsidRPr="00D70826">
        <w:rPr>
          <w:lang w:val="de-DE"/>
        </w:rPr>
        <w:instrText xml:space="preserve"> PAGEREF _Toc354054820 \h </w:instrText>
      </w:r>
      <w:r>
        <w:fldChar w:fldCharType="separate"/>
      </w:r>
      <w:r w:rsidR="000B627C">
        <w:rPr>
          <w:lang w:val="de-DE"/>
        </w:rPr>
        <w:t>27</w:t>
      </w:r>
      <w:r>
        <w:fldChar w:fldCharType="end"/>
      </w:r>
    </w:p>
    <w:p w:rsidR="00B7356C" w:rsidRPr="00D70826" w:rsidRDefault="00B7356C">
      <w:pPr>
        <w:pStyle w:val="TOC2"/>
        <w:rPr>
          <w:rFonts w:asciiTheme="minorHAnsi" w:eastAsia="Batang" w:hAnsiTheme="minorHAnsi" w:cstheme="minorBidi"/>
          <w:sz w:val="22"/>
          <w:szCs w:val="22"/>
          <w:lang w:val="de-DE" w:eastAsia="ko-KR"/>
        </w:rPr>
      </w:pPr>
      <w:r w:rsidRPr="00E1012C">
        <w:rPr>
          <w:rFonts w:cs="Tahoma"/>
          <w:lang w:val="de-DE"/>
        </w:rPr>
        <w:t>CAL-Suite für Windows Essential Business Server 2008 für Premium-Nutzer oder -Geräte (50 Clients)</w:t>
      </w:r>
      <w:r w:rsidRPr="00D70826">
        <w:rPr>
          <w:lang w:val="de-DE"/>
        </w:rPr>
        <w:tab/>
      </w:r>
      <w:r>
        <w:fldChar w:fldCharType="begin"/>
      </w:r>
      <w:r w:rsidRPr="00D70826">
        <w:rPr>
          <w:lang w:val="de-DE"/>
        </w:rPr>
        <w:instrText xml:space="preserve"> PAGEREF _Toc354054821 \h </w:instrText>
      </w:r>
      <w:r>
        <w:fldChar w:fldCharType="separate"/>
      </w:r>
      <w:r w:rsidR="000B627C">
        <w:rPr>
          <w:lang w:val="de-DE"/>
        </w:rPr>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HPC Server 2008 R2 Suite</w:t>
      </w:r>
      <w:r>
        <w:tab/>
      </w:r>
      <w:r>
        <w:fldChar w:fldCharType="begin"/>
      </w:r>
      <w:r>
        <w:instrText xml:space="preserve"> PAGEREF _Toc354054822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lastRenderedPageBreak/>
        <w:t xml:space="preserve">Windows Intune Add-on für System Center Configuration Manager </w:t>
      </w:r>
      <w:r w:rsidR="00BD0F44">
        <w:rPr>
          <w:rFonts w:cs="Tahoma"/>
        </w:rPr>
        <w:br/>
      </w:r>
      <w:r w:rsidRPr="00E1012C">
        <w:rPr>
          <w:rFonts w:cs="Tahoma"/>
        </w:rPr>
        <w:t>und System Center Endpoint Protection (pro Nutzer)</w:t>
      </w:r>
      <w:r>
        <w:tab/>
      </w:r>
      <w:r>
        <w:fldChar w:fldCharType="begin"/>
      </w:r>
      <w:r>
        <w:instrText xml:space="preserve"> PAGEREF _Toc354054823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Intune (pro Nutzer)</w:t>
      </w:r>
      <w:r>
        <w:tab/>
      </w:r>
      <w:r>
        <w:fldChar w:fldCharType="begin"/>
      </w:r>
      <w:r>
        <w:instrText xml:space="preserve"> PAGEREF _Toc354054824 \h </w:instrText>
      </w:r>
      <w:r>
        <w:fldChar w:fldCharType="separate"/>
      </w:r>
      <w:r w:rsidR="000B627C">
        <w:t>27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Nutzer-AL für Add-On für Windows Intune Extra Storage 1 GB</w:t>
      </w:r>
      <w:r w:rsidRPr="00D244F0">
        <w:rPr>
          <w:lang w:val="de-DE"/>
        </w:rPr>
        <w:tab/>
      </w:r>
      <w:r>
        <w:fldChar w:fldCharType="begin"/>
      </w:r>
      <w:r w:rsidRPr="00D244F0">
        <w:rPr>
          <w:lang w:val="de-DE"/>
        </w:rPr>
        <w:instrText xml:space="preserve"> PAGEREF _Toc354054825 \h </w:instrText>
      </w:r>
      <w:r>
        <w:fldChar w:fldCharType="separate"/>
      </w:r>
      <w:r w:rsidR="000B627C">
        <w:rPr>
          <w:lang w:val="de-DE"/>
        </w:rPr>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MultiPoint Server 2012 Standard</w:t>
      </w:r>
      <w:r>
        <w:tab/>
      </w:r>
      <w:r>
        <w:fldChar w:fldCharType="begin"/>
      </w:r>
      <w:r>
        <w:instrText xml:space="preserve"> PAGEREF _Toc354054826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MultiPoint Server 2012 Premium</w:t>
      </w:r>
      <w:r>
        <w:tab/>
      </w:r>
      <w:r>
        <w:fldChar w:fldCharType="begin"/>
      </w:r>
      <w:r>
        <w:instrText xml:space="preserve"> PAGEREF _Toc354054827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 für Windows MultiPoint Server 2012</w:t>
      </w:r>
      <w:r>
        <w:tab/>
      </w:r>
      <w:r>
        <w:fldChar w:fldCharType="begin"/>
      </w:r>
      <w:r>
        <w:instrText xml:space="preserve"> PAGEREF _Toc354054828 \h </w:instrText>
      </w:r>
      <w:r>
        <w:fldChar w:fldCharType="separate"/>
      </w:r>
      <w:r w:rsidR="000B627C">
        <w:t>27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CAL für Windows MultiPoint Server 2012 mit CAL für Windows Server 2012</w:t>
      </w:r>
      <w:r w:rsidRPr="00D244F0">
        <w:rPr>
          <w:lang w:val="de-DE"/>
        </w:rPr>
        <w:tab/>
      </w:r>
      <w:r>
        <w:fldChar w:fldCharType="begin"/>
      </w:r>
      <w:r w:rsidRPr="00D244F0">
        <w:rPr>
          <w:lang w:val="de-DE"/>
        </w:rPr>
        <w:instrText xml:space="preserve"> PAGEREF _Toc354054829 \h </w:instrText>
      </w:r>
      <w:r>
        <w:fldChar w:fldCharType="separate"/>
      </w:r>
      <w:r w:rsidR="000B627C">
        <w:rPr>
          <w:lang w:val="de-DE"/>
        </w:rPr>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MultiPoint Server 2012 Premium mit Windows MultiPoint Server 2012 (CAL) (5 Clients)</w:t>
      </w:r>
      <w:r>
        <w:tab/>
      </w:r>
      <w:r>
        <w:fldChar w:fldCharType="begin"/>
      </w:r>
      <w:r>
        <w:instrText xml:space="preserve"> PAGEREF _Toc354054830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 xml:space="preserve">Windows MultiPoint Server 2012 Premium mit Windows MultiPoint Server 2012 (CAL) (5 Clients) </w:t>
      </w:r>
      <w:r w:rsidR="00BD0F44">
        <w:rPr>
          <w:rFonts w:cs="Tahoma"/>
        </w:rPr>
        <w:br/>
      </w:r>
      <w:r w:rsidRPr="00E1012C">
        <w:rPr>
          <w:rFonts w:cs="Tahoma"/>
        </w:rPr>
        <w:t>mit CAL für Windows Server 2012 (5 Clients)</w:t>
      </w:r>
      <w:r>
        <w:tab/>
      </w:r>
      <w:r>
        <w:fldChar w:fldCharType="begin"/>
      </w:r>
      <w:r>
        <w:instrText xml:space="preserve"> PAGEREF _Toc354054831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Server™ 2008 R2 HPC Edition</w:t>
      </w:r>
      <w:r>
        <w:tab/>
      </w:r>
      <w:r>
        <w:fldChar w:fldCharType="begin"/>
      </w:r>
      <w:r>
        <w:instrText xml:space="preserve"> PAGEREF _Toc354054832 \h </w:instrText>
      </w:r>
      <w:r>
        <w:fldChar w:fldCharType="separate"/>
      </w:r>
      <w:r w:rsidR="000B627C">
        <w:t>27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Windows Server™ 2008 R2 Enterprise</w:t>
      </w:r>
      <w:r w:rsidRPr="00D244F0">
        <w:rPr>
          <w:lang w:val="de-DE"/>
        </w:rPr>
        <w:tab/>
      </w:r>
      <w:r>
        <w:fldChar w:fldCharType="begin"/>
      </w:r>
      <w:r w:rsidRPr="00D244F0">
        <w:rPr>
          <w:lang w:val="de-DE"/>
        </w:rPr>
        <w:instrText xml:space="preserve"> PAGEREF _Toc354054833 \h </w:instrText>
      </w:r>
      <w:r>
        <w:fldChar w:fldCharType="separate"/>
      </w:r>
      <w:r w:rsidR="000B627C">
        <w:rPr>
          <w:lang w:val="de-DE"/>
        </w:rPr>
        <w:t>27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Windows Server™ 2008 R2 für Itanium-basierte Systeme</w:t>
      </w:r>
      <w:r w:rsidRPr="00D244F0">
        <w:rPr>
          <w:lang w:val="de-DE"/>
        </w:rPr>
        <w:tab/>
      </w:r>
      <w:r>
        <w:fldChar w:fldCharType="begin"/>
      </w:r>
      <w:r w:rsidRPr="00D244F0">
        <w:rPr>
          <w:lang w:val="de-DE"/>
        </w:rPr>
        <w:instrText xml:space="preserve"> PAGEREF _Toc354054834 \h </w:instrText>
      </w:r>
      <w:r>
        <w:fldChar w:fldCharType="separate"/>
      </w:r>
      <w:r w:rsidR="000B627C">
        <w:rPr>
          <w:lang w:val="de-DE"/>
        </w:rPr>
        <w:t>27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CAL für Windows Server™ 2012 (Gerät &amp; Nutzer)</w:t>
      </w:r>
      <w:r w:rsidRPr="00D244F0">
        <w:rPr>
          <w:lang w:val="de-DE"/>
        </w:rPr>
        <w:tab/>
      </w:r>
      <w:r>
        <w:fldChar w:fldCharType="begin"/>
      </w:r>
      <w:r w:rsidRPr="00D244F0">
        <w:rPr>
          <w:lang w:val="de-DE"/>
        </w:rPr>
        <w:instrText xml:space="preserve"> PAGEREF _Toc354054835 \h </w:instrText>
      </w:r>
      <w:r>
        <w:fldChar w:fldCharType="separate"/>
      </w:r>
      <w:r w:rsidR="000B627C">
        <w:rPr>
          <w:lang w:val="de-DE"/>
        </w:rPr>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Server™ 2012 Datacenter</w:t>
      </w:r>
      <w:r>
        <w:tab/>
      </w:r>
      <w:r>
        <w:fldChar w:fldCharType="begin"/>
      </w:r>
      <w:r>
        <w:instrText xml:space="preserve"> PAGEREF _Toc354054836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Server™ 2012 Standard</w:t>
      </w:r>
      <w:r>
        <w:tab/>
      </w:r>
      <w:r>
        <w:fldChar w:fldCharType="begin"/>
      </w:r>
      <w:r>
        <w:instrText xml:space="preserve"> PAGEREF _Toc354054837 \h </w:instrText>
      </w:r>
      <w:r>
        <w:fldChar w:fldCharType="separate"/>
      </w:r>
      <w:r w:rsidR="000B627C">
        <w:t>27</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Externer Connector für Windows Server™</w:t>
      </w:r>
      <w:r>
        <w:tab/>
      </w:r>
      <w:r>
        <w:fldChar w:fldCharType="begin"/>
      </w:r>
      <w:r>
        <w:instrText xml:space="preserve"> PAGEREF _Toc354054838 \h </w:instrText>
      </w:r>
      <w:r>
        <w:fldChar w:fldCharType="separate"/>
      </w:r>
      <w:r w:rsidR="000B627C">
        <w:t>27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CAL für Windows Server™ 2012-Remotedesktopdienste</w:t>
      </w:r>
      <w:r w:rsidRPr="00D244F0">
        <w:rPr>
          <w:lang w:val="de-DE"/>
        </w:rPr>
        <w:tab/>
      </w:r>
      <w:r>
        <w:fldChar w:fldCharType="begin"/>
      </w:r>
      <w:r w:rsidRPr="00D244F0">
        <w:rPr>
          <w:lang w:val="de-DE"/>
        </w:rPr>
        <w:instrText xml:space="preserve"> PAGEREF _Toc354054839 \h </w:instrText>
      </w:r>
      <w:r>
        <w:fldChar w:fldCharType="separate"/>
      </w:r>
      <w:r w:rsidR="000B627C">
        <w:rPr>
          <w:lang w:val="de-DE"/>
        </w:rPr>
        <w:t>28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Externer Connector für Windows Server™ 2012-Remotedesktopdienste</w:t>
      </w:r>
      <w:r w:rsidRPr="00D244F0">
        <w:rPr>
          <w:lang w:val="de-DE"/>
        </w:rPr>
        <w:tab/>
      </w:r>
      <w:r>
        <w:fldChar w:fldCharType="begin"/>
      </w:r>
      <w:r w:rsidRPr="00D244F0">
        <w:rPr>
          <w:lang w:val="de-DE"/>
        </w:rPr>
        <w:instrText xml:space="preserve"> PAGEREF _Toc354054840 \h </w:instrText>
      </w:r>
      <w:r>
        <w:fldChar w:fldCharType="separate"/>
      </w:r>
      <w:r w:rsidR="000B627C">
        <w:rPr>
          <w:lang w:val="de-DE"/>
        </w:rPr>
        <w:t>28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CAL für Windows Server™ 2012 Active Directory-Rechteverwaltungsdienste</w:t>
      </w:r>
      <w:r w:rsidRPr="00D244F0">
        <w:rPr>
          <w:lang w:val="de-DE"/>
        </w:rPr>
        <w:tab/>
      </w:r>
      <w:r>
        <w:fldChar w:fldCharType="begin"/>
      </w:r>
      <w:r w:rsidRPr="00D244F0">
        <w:rPr>
          <w:lang w:val="de-DE"/>
        </w:rPr>
        <w:instrText xml:space="preserve"> PAGEREF _Toc354054841 \h </w:instrText>
      </w:r>
      <w:r>
        <w:fldChar w:fldCharType="separate"/>
      </w:r>
      <w:r w:rsidR="000B627C">
        <w:rPr>
          <w:lang w:val="de-DE"/>
        </w:rPr>
        <w:t>28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Externer Connector für Windows Server™ Active Directory- Rechteverwaltungsdienste</w:t>
      </w:r>
      <w:r w:rsidRPr="00D244F0">
        <w:rPr>
          <w:lang w:val="de-DE"/>
        </w:rPr>
        <w:tab/>
      </w:r>
      <w:r>
        <w:fldChar w:fldCharType="begin"/>
      </w:r>
      <w:r w:rsidRPr="00D244F0">
        <w:rPr>
          <w:lang w:val="de-DE"/>
        </w:rPr>
        <w:instrText xml:space="preserve"> PAGEREF _Toc354054842 \h </w:instrText>
      </w:r>
      <w:r>
        <w:fldChar w:fldCharType="separate"/>
      </w:r>
      <w:r w:rsidR="000B627C">
        <w:rPr>
          <w:lang w:val="de-DE"/>
        </w:rPr>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Small Business Server 2008 Premium</w:t>
      </w:r>
      <w:r>
        <w:tab/>
      </w:r>
      <w:r>
        <w:fldChar w:fldCharType="begin"/>
      </w:r>
      <w:r>
        <w:instrText xml:space="preserve"> PAGEREF _Toc354054843 \h </w:instrText>
      </w:r>
      <w:r>
        <w:fldChar w:fldCharType="separate"/>
      </w:r>
      <w:r w:rsidR="000B627C">
        <w:t>28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CAL-Suite für Windows Small Business Server 2008 für  Premium-Nutzer oder -Geräte</w:t>
      </w:r>
      <w:r w:rsidRPr="00D244F0">
        <w:rPr>
          <w:lang w:val="de-DE"/>
        </w:rPr>
        <w:tab/>
      </w:r>
      <w:r>
        <w:fldChar w:fldCharType="begin"/>
      </w:r>
      <w:r w:rsidRPr="00D244F0">
        <w:rPr>
          <w:lang w:val="de-DE"/>
        </w:rPr>
        <w:instrText xml:space="preserve"> PAGEREF _Toc354054844 \h </w:instrText>
      </w:r>
      <w:r>
        <w:fldChar w:fldCharType="separate"/>
      </w:r>
      <w:r w:rsidR="000B627C">
        <w:rPr>
          <w:lang w:val="de-DE"/>
        </w:rPr>
        <w:t>28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CAL-Suite für Windows Small Business Server 2008 für Premium-Nutzer oder -Geräte (5 Clients)</w:t>
      </w:r>
      <w:r w:rsidRPr="00D244F0">
        <w:rPr>
          <w:lang w:val="de-DE"/>
        </w:rPr>
        <w:tab/>
      </w:r>
      <w:r>
        <w:fldChar w:fldCharType="begin"/>
      </w:r>
      <w:r w:rsidRPr="00D244F0">
        <w:rPr>
          <w:lang w:val="de-DE"/>
        </w:rPr>
        <w:instrText xml:space="preserve"> PAGEREF _Toc354054845 \h </w:instrText>
      </w:r>
      <w:r>
        <w:fldChar w:fldCharType="separate"/>
      </w:r>
      <w:r w:rsidR="000B627C">
        <w:rPr>
          <w:lang w:val="de-DE"/>
        </w:rPr>
        <w:t>28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CAL-Suite für Windows Small Business Server 2008 für Premium-Nutzer oder -Geräte (20 Clients)</w:t>
      </w:r>
      <w:r w:rsidRPr="00D244F0">
        <w:rPr>
          <w:lang w:val="de-DE"/>
        </w:rPr>
        <w:tab/>
      </w:r>
      <w:r>
        <w:fldChar w:fldCharType="begin"/>
      </w:r>
      <w:r w:rsidRPr="00D244F0">
        <w:rPr>
          <w:lang w:val="de-DE"/>
        </w:rPr>
        <w:instrText xml:space="preserve"> PAGEREF _Toc354054846 \h </w:instrText>
      </w:r>
      <w:r>
        <w:fldChar w:fldCharType="separate"/>
      </w:r>
      <w:r w:rsidR="000B627C">
        <w:rPr>
          <w:lang w:val="de-DE"/>
        </w:rPr>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Small Business Server 2011 Standard (5 Clients)</w:t>
      </w:r>
      <w:r>
        <w:tab/>
      </w:r>
      <w:r>
        <w:fldChar w:fldCharType="begin"/>
      </w:r>
      <w:r>
        <w:instrText xml:space="preserve"> PAGEREF _Toc354054847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CAL-Suite für Windows Small Business Server 2011 (1 Client)</w:t>
      </w:r>
      <w:r>
        <w:tab/>
      </w:r>
      <w:r>
        <w:fldChar w:fldCharType="begin"/>
      </w:r>
      <w:r>
        <w:instrText xml:space="preserve"> PAGEREF _Toc354054848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CAL-Suite für Windows Small Business Server 2011 (5 Clients)</w:t>
      </w:r>
      <w:r>
        <w:tab/>
      </w:r>
      <w:r>
        <w:fldChar w:fldCharType="begin"/>
      </w:r>
      <w:r>
        <w:instrText xml:space="preserve"> PAGEREF _Toc354054849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CAL-Suite für Windows Small Business Server 2011 (20 Clients)</w:t>
      </w:r>
      <w:r>
        <w:tab/>
      </w:r>
      <w:r>
        <w:fldChar w:fldCharType="begin"/>
      </w:r>
      <w:r>
        <w:instrText xml:space="preserve"> PAGEREF _Toc354054850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Add-On für Windows Small Business Server 2011 Premium (5 Clients)</w:t>
      </w:r>
      <w:r>
        <w:tab/>
      </w:r>
      <w:r>
        <w:fldChar w:fldCharType="begin"/>
      </w:r>
      <w:r>
        <w:instrText xml:space="preserve"> PAGEREF _Toc354054851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Add-On CAL Suite für Windows Small Business Server 2011 Premium</w:t>
      </w:r>
      <w:r>
        <w:tab/>
      </w:r>
      <w:r>
        <w:fldChar w:fldCharType="begin"/>
      </w:r>
      <w:r>
        <w:instrText xml:space="preserve"> PAGEREF _Toc354054852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Add-On CAL Suite für Windows Small Business Server 2011 Premium  (5 Clients)</w:t>
      </w:r>
      <w:r>
        <w:tab/>
      </w:r>
      <w:r>
        <w:fldChar w:fldCharType="begin"/>
      </w:r>
      <w:r>
        <w:instrText xml:space="preserve"> PAGEREF _Toc354054853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Add-On CAL Suite für Windows Small Business Server 2011 Premium (20 Clients)</w:t>
      </w:r>
      <w:r>
        <w:tab/>
      </w:r>
      <w:r>
        <w:fldChar w:fldCharType="begin"/>
      </w:r>
      <w:r>
        <w:instrText xml:space="preserve"> PAGEREF _Toc354054854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Server Essentials 2012</w:t>
      </w:r>
      <w:r>
        <w:tab/>
      </w:r>
      <w:r>
        <w:fldChar w:fldCharType="begin"/>
      </w:r>
      <w:r>
        <w:instrText xml:space="preserve"> PAGEREF _Toc354054855 \h </w:instrText>
      </w:r>
      <w:r>
        <w:fldChar w:fldCharType="separate"/>
      </w:r>
      <w:r w:rsidR="000B627C">
        <w:t>28</w:t>
      </w:r>
      <w:r>
        <w:fldChar w:fldCharType="end"/>
      </w:r>
    </w:p>
    <w:p w:rsidR="00B7356C" w:rsidRDefault="00B7356C">
      <w:pPr>
        <w:pStyle w:val="TOC2"/>
        <w:rPr>
          <w:rFonts w:asciiTheme="minorHAnsi" w:eastAsia="Batang" w:hAnsiTheme="minorHAnsi" w:cstheme="minorBidi"/>
          <w:sz w:val="22"/>
          <w:szCs w:val="22"/>
          <w:lang w:eastAsia="ko-KR"/>
        </w:rPr>
      </w:pPr>
      <w:r w:rsidRPr="00E1012C">
        <w:rPr>
          <w:rFonts w:cs="Tahoma"/>
        </w:rPr>
        <w:t>Windows Small Business Server 2011 Essentials</w:t>
      </w:r>
      <w:r>
        <w:tab/>
      </w:r>
      <w:r>
        <w:fldChar w:fldCharType="begin"/>
      </w:r>
      <w:r>
        <w:instrText xml:space="preserve"> PAGEREF _Toc354054856 \h </w:instrText>
      </w:r>
      <w:r>
        <w:fldChar w:fldCharType="separate"/>
      </w:r>
      <w:r w:rsidR="000B627C">
        <w:t>28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Windows Web Server 2008 R2</w:t>
      </w:r>
      <w:r w:rsidRPr="00D244F0">
        <w:rPr>
          <w:lang w:val="de-DE"/>
        </w:rPr>
        <w:tab/>
      </w:r>
      <w:r>
        <w:fldChar w:fldCharType="begin"/>
      </w:r>
      <w:r w:rsidRPr="00D244F0">
        <w:rPr>
          <w:lang w:val="de-DE"/>
        </w:rPr>
        <w:instrText xml:space="preserve"> PAGEREF _Toc354054857 \h </w:instrText>
      </w:r>
      <w:r>
        <w:fldChar w:fldCharType="separate"/>
      </w:r>
      <w:r w:rsidR="000B627C">
        <w:rPr>
          <w:lang w:val="de-DE"/>
        </w:rPr>
        <w:t>28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Yammer Enterprise</w:t>
      </w:r>
      <w:r w:rsidRPr="00D244F0">
        <w:rPr>
          <w:lang w:val="de-DE"/>
        </w:rPr>
        <w:tab/>
      </w:r>
      <w:r>
        <w:fldChar w:fldCharType="begin"/>
      </w:r>
      <w:r w:rsidRPr="00D244F0">
        <w:rPr>
          <w:lang w:val="de-DE"/>
        </w:rPr>
        <w:instrText xml:space="preserve"> PAGEREF _Toc354054858 \h </w:instrText>
      </w:r>
      <w:r>
        <w:fldChar w:fldCharType="separate"/>
      </w:r>
      <w:r w:rsidR="000B627C">
        <w:rPr>
          <w:lang w:val="de-DE"/>
        </w:rPr>
        <w:t>28</w:t>
      </w:r>
      <w:r>
        <w:fldChar w:fldCharType="end"/>
      </w:r>
    </w:p>
    <w:p w:rsidR="00B7356C" w:rsidRPr="00D244F0" w:rsidRDefault="00B7356C">
      <w:pPr>
        <w:pStyle w:val="TOC1"/>
        <w:rPr>
          <w:rFonts w:asciiTheme="minorHAnsi" w:eastAsia="Batang" w:hAnsiTheme="minorHAnsi" w:cstheme="minorBidi"/>
          <w:b w:val="0"/>
          <w:caps w:val="0"/>
          <w:color w:val="auto"/>
          <w:szCs w:val="22"/>
          <w:lang w:val="de-DE" w:eastAsia="ko-KR"/>
        </w:rPr>
      </w:pPr>
      <w:r w:rsidRPr="00E1012C">
        <w:rPr>
          <w:lang w:val="de-DE"/>
        </w:rPr>
        <w:t xml:space="preserve">ABSCHNITT 1 – Änderungen an der PRODUKTLISTE </w:t>
      </w:r>
      <w:r w:rsidR="00BD0F44">
        <w:rPr>
          <w:lang w:val="de-DE"/>
        </w:rPr>
        <w:br/>
      </w:r>
      <w:r w:rsidRPr="00E1012C">
        <w:rPr>
          <w:lang w:val="de-DE"/>
        </w:rPr>
        <w:t>während der letzten 12 Monate</w:t>
      </w:r>
      <w:r w:rsidRPr="00D244F0">
        <w:rPr>
          <w:lang w:val="de-DE"/>
        </w:rPr>
        <w:tab/>
      </w:r>
      <w:r>
        <w:fldChar w:fldCharType="begin"/>
      </w:r>
      <w:r w:rsidRPr="00D244F0">
        <w:rPr>
          <w:lang w:val="de-DE"/>
        </w:rPr>
        <w:instrText xml:space="preserve"> PAGEREF _Toc354054860 \h </w:instrText>
      </w:r>
      <w:r>
        <w:fldChar w:fldCharType="separate"/>
      </w:r>
      <w:r w:rsidR="000B627C">
        <w:rPr>
          <w:lang w:val="de-DE"/>
        </w:rPr>
        <w:t>29</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MAI 2013</w:t>
      </w:r>
      <w:r w:rsidRPr="00D244F0">
        <w:rPr>
          <w:lang w:val="de-DE"/>
        </w:rPr>
        <w:tab/>
      </w:r>
      <w:r w:rsidRPr="00BD0F44">
        <w:fldChar w:fldCharType="begin"/>
      </w:r>
      <w:r w:rsidRPr="00D244F0">
        <w:rPr>
          <w:lang w:val="de-DE"/>
        </w:rPr>
        <w:instrText xml:space="preserve"> PAGEREF _Toc354054861 \h </w:instrText>
      </w:r>
      <w:r w:rsidRPr="00BD0F44">
        <w:fldChar w:fldCharType="separate"/>
      </w:r>
      <w:r w:rsidR="000B627C">
        <w:rPr>
          <w:lang w:val="de-DE"/>
        </w:rPr>
        <w:t>29</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ÄNDERUNGEN IM APRIL 2013</w:t>
      </w:r>
      <w:r w:rsidRPr="00D244F0">
        <w:rPr>
          <w:lang w:val="de-DE"/>
        </w:rPr>
        <w:tab/>
      </w:r>
      <w:r w:rsidRPr="00BD0F44">
        <w:fldChar w:fldCharType="begin"/>
      </w:r>
      <w:r w:rsidRPr="00D244F0">
        <w:rPr>
          <w:lang w:val="de-DE"/>
        </w:rPr>
        <w:instrText xml:space="preserve"> PAGEREF _Toc354054862 \h </w:instrText>
      </w:r>
      <w:r w:rsidRPr="00BD0F44">
        <w:fldChar w:fldCharType="separate"/>
      </w:r>
      <w:r w:rsidR="000B627C">
        <w:rPr>
          <w:lang w:val="de-DE"/>
        </w:rPr>
        <w:t>29</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MÄRZ 2013</w:t>
      </w:r>
      <w:r w:rsidRPr="00D244F0">
        <w:rPr>
          <w:lang w:val="de-DE"/>
        </w:rPr>
        <w:tab/>
      </w:r>
      <w:r w:rsidRPr="00BD0F44">
        <w:fldChar w:fldCharType="begin"/>
      </w:r>
      <w:r w:rsidRPr="00D244F0">
        <w:rPr>
          <w:lang w:val="de-DE"/>
        </w:rPr>
        <w:instrText xml:space="preserve"> PAGEREF _Toc354054863 \h </w:instrText>
      </w:r>
      <w:r w:rsidRPr="00BD0F44">
        <w:fldChar w:fldCharType="separate"/>
      </w:r>
      <w:r w:rsidR="000B627C">
        <w:rPr>
          <w:lang w:val="de-DE"/>
        </w:rPr>
        <w:t>31</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FEBRUAR 2013</w:t>
      </w:r>
      <w:r w:rsidRPr="00D244F0">
        <w:rPr>
          <w:lang w:val="de-DE"/>
        </w:rPr>
        <w:tab/>
      </w:r>
      <w:r w:rsidRPr="00BD0F44">
        <w:fldChar w:fldCharType="begin"/>
      </w:r>
      <w:r w:rsidRPr="00D244F0">
        <w:rPr>
          <w:lang w:val="de-DE"/>
        </w:rPr>
        <w:instrText xml:space="preserve"> PAGEREF _Toc354054864 \h </w:instrText>
      </w:r>
      <w:r w:rsidRPr="00BD0F44">
        <w:fldChar w:fldCharType="separate"/>
      </w:r>
      <w:r w:rsidR="000B627C">
        <w:rPr>
          <w:lang w:val="de-DE"/>
        </w:rPr>
        <w:t>32</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JANUAR 2013</w:t>
      </w:r>
      <w:r w:rsidRPr="00D244F0">
        <w:rPr>
          <w:lang w:val="de-DE"/>
        </w:rPr>
        <w:tab/>
      </w:r>
      <w:r w:rsidRPr="00BD0F44">
        <w:fldChar w:fldCharType="begin"/>
      </w:r>
      <w:r w:rsidRPr="00D244F0">
        <w:rPr>
          <w:lang w:val="de-DE"/>
        </w:rPr>
        <w:instrText xml:space="preserve"> PAGEREF _Toc354054865 \h </w:instrText>
      </w:r>
      <w:r w:rsidRPr="00BD0F44">
        <w:fldChar w:fldCharType="separate"/>
      </w:r>
      <w:r w:rsidR="000B627C">
        <w:rPr>
          <w:lang w:val="de-DE"/>
        </w:rPr>
        <w:t>33</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DEZEMBER 2012</w:t>
      </w:r>
      <w:r w:rsidRPr="00D244F0">
        <w:rPr>
          <w:lang w:val="de-DE"/>
        </w:rPr>
        <w:tab/>
      </w:r>
      <w:r w:rsidRPr="00BD0F44">
        <w:fldChar w:fldCharType="begin"/>
      </w:r>
      <w:r w:rsidRPr="00D244F0">
        <w:rPr>
          <w:lang w:val="de-DE"/>
        </w:rPr>
        <w:instrText xml:space="preserve"> PAGEREF _Toc354054866 \h </w:instrText>
      </w:r>
      <w:r w:rsidRPr="00BD0F44">
        <w:fldChar w:fldCharType="separate"/>
      </w:r>
      <w:r w:rsidR="000B627C">
        <w:rPr>
          <w:lang w:val="de-DE"/>
        </w:rPr>
        <w:t>33</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ÄNDERUNGEN IM NOVEMBER 2012</w:t>
      </w:r>
      <w:r w:rsidRPr="00D244F0">
        <w:rPr>
          <w:lang w:val="de-DE"/>
        </w:rPr>
        <w:tab/>
      </w:r>
      <w:r w:rsidRPr="00BD0F44">
        <w:fldChar w:fldCharType="begin"/>
      </w:r>
      <w:r w:rsidRPr="00D244F0">
        <w:rPr>
          <w:lang w:val="de-DE"/>
        </w:rPr>
        <w:instrText xml:space="preserve"> PAGEREF _Toc354054867 \h </w:instrText>
      </w:r>
      <w:r w:rsidRPr="00BD0F44">
        <w:fldChar w:fldCharType="separate"/>
      </w:r>
      <w:r w:rsidR="000B627C">
        <w:rPr>
          <w:lang w:val="de-DE"/>
        </w:rPr>
        <w:t>35</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OKTOBER 2012</w:t>
      </w:r>
      <w:r w:rsidRPr="00D244F0">
        <w:rPr>
          <w:lang w:val="de-DE"/>
        </w:rPr>
        <w:tab/>
      </w:r>
      <w:r w:rsidRPr="00BD0F44">
        <w:fldChar w:fldCharType="begin"/>
      </w:r>
      <w:r w:rsidRPr="00D244F0">
        <w:rPr>
          <w:lang w:val="de-DE"/>
        </w:rPr>
        <w:instrText xml:space="preserve"> PAGEREF _Toc354054868 \h </w:instrText>
      </w:r>
      <w:r w:rsidRPr="00BD0F44">
        <w:fldChar w:fldCharType="separate"/>
      </w:r>
      <w:r w:rsidR="000B627C">
        <w:rPr>
          <w:lang w:val="de-DE"/>
        </w:rPr>
        <w:t>36</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SEPTEMBER 2012</w:t>
      </w:r>
      <w:r w:rsidRPr="00D244F0">
        <w:rPr>
          <w:lang w:val="de-DE"/>
        </w:rPr>
        <w:tab/>
      </w:r>
      <w:r w:rsidRPr="00BD0F44">
        <w:fldChar w:fldCharType="begin"/>
      </w:r>
      <w:r w:rsidRPr="00D244F0">
        <w:rPr>
          <w:lang w:val="de-DE"/>
        </w:rPr>
        <w:instrText xml:space="preserve"> PAGEREF _Toc354054869 \h </w:instrText>
      </w:r>
      <w:r w:rsidRPr="00BD0F44">
        <w:fldChar w:fldCharType="separate"/>
      </w:r>
      <w:r w:rsidR="000B627C">
        <w:rPr>
          <w:lang w:val="de-DE"/>
        </w:rPr>
        <w:t>36</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AUGUST 2012</w:t>
      </w:r>
      <w:r w:rsidRPr="00D244F0">
        <w:rPr>
          <w:lang w:val="de-DE"/>
        </w:rPr>
        <w:tab/>
      </w:r>
      <w:r w:rsidRPr="00BD0F44">
        <w:fldChar w:fldCharType="begin"/>
      </w:r>
      <w:r w:rsidRPr="00D244F0">
        <w:rPr>
          <w:lang w:val="de-DE"/>
        </w:rPr>
        <w:instrText xml:space="preserve"> PAGEREF _Toc354054870 \h </w:instrText>
      </w:r>
      <w:r w:rsidRPr="00BD0F44">
        <w:fldChar w:fldCharType="separate"/>
      </w:r>
      <w:r w:rsidR="000B627C">
        <w:rPr>
          <w:lang w:val="de-DE"/>
        </w:rPr>
        <w:t>38</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ÄNDERUNGEN IM JULI 2012</w:t>
      </w:r>
      <w:r w:rsidRPr="00D244F0">
        <w:rPr>
          <w:lang w:val="de-DE"/>
        </w:rPr>
        <w:tab/>
      </w:r>
      <w:r w:rsidRPr="00BD0F44">
        <w:fldChar w:fldCharType="begin"/>
      </w:r>
      <w:r w:rsidRPr="00D244F0">
        <w:rPr>
          <w:lang w:val="de-DE"/>
        </w:rPr>
        <w:instrText xml:space="preserve"> PAGEREF _Toc354054871 \h </w:instrText>
      </w:r>
      <w:r w:rsidRPr="00BD0F44">
        <w:fldChar w:fldCharType="separate"/>
      </w:r>
      <w:r w:rsidR="000B627C">
        <w:rPr>
          <w:lang w:val="de-DE"/>
        </w:rPr>
        <w:t>38</w:t>
      </w:r>
      <w:r w:rsidRPr="00BD0F44">
        <w:fldChar w:fldCharType="end"/>
      </w:r>
    </w:p>
    <w:p w:rsidR="00B7356C" w:rsidRPr="00D244F0" w:rsidRDefault="00B7356C">
      <w:pPr>
        <w:pStyle w:val="TOC2"/>
        <w:rPr>
          <w:lang w:val="de-DE"/>
        </w:rPr>
      </w:pPr>
      <w:r w:rsidRPr="00BD0F44">
        <w:rPr>
          <w:rFonts w:cs="Tahoma"/>
          <w:lang w:val="de-DE"/>
        </w:rPr>
        <w:t>ÄNDERUNGEN IM JUNI 2012</w:t>
      </w:r>
      <w:r w:rsidRPr="00D244F0">
        <w:rPr>
          <w:lang w:val="de-DE"/>
        </w:rPr>
        <w:tab/>
      </w:r>
      <w:r>
        <w:fldChar w:fldCharType="begin"/>
      </w:r>
      <w:r w:rsidRPr="00D244F0">
        <w:rPr>
          <w:lang w:val="de-DE"/>
        </w:rPr>
        <w:instrText xml:space="preserve"> PAGEREF _Toc354054872 \h </w:instrText>
      </w:r>
      <w:r>
        <w:fldChar w:fldCharType="separate"/>
      </w:r>
      <w:r w:rsidR="000B627C">
        <w:rPr>
          <w:lang w:val="de-DE"/>
        </w:rPr>
        <w:t>38</w:t>
      </w:r>
      <w:r>
        <w:fldChar w:fldCharType="end"/>
      </w:r>
    </w:p>
    <w:p w:rsidR="00BD0F44" w:rsidRPr="00D244F0" w:rsidRDefault="00BD0F44" w:rsidP="00BD0F44">
      <w:pPr>
        <w:rPr>
          <w:noProof/>
          <w:lang w:val="de-DE"/>
        </w:rPr>
      </w:pPr>
    </w:p>
    <w:p w:rsidR="00BD0F44" w:rsidRPr="00D244F0" w:rsidRDefault="00BD0F44" w:rsidP="00BD0F44">
      <w:pPr>
        <w:rPr>
          <w:noProof/>
          <w:lang w:val="de-DE"/>
        </w:rPr>
      </w:pPr>
    </w:p>
    <w:p w:rsidR="00BD0F44" w:rsidRPr="00D244F0" w:rsidRDefault="00BD0F44" w:rsidP="00BD0F44">
      <w:pPr>
        <w:rPr>
          <w:noProof/>
          <w:lang w:val="de-DE"/>
        </w:rPr>
      </w:pPr>
    </w:p>
    <w:p w:rsidR="00BD0F44" w:rsidRPr="00D244F0" w:rsidRDefault="00BD0F44" w:rsidP="00BD0F44">
      <w:pPr>
        <w:rPr>
          <w:noProof/>
          <w:lang w:val="de-DE"/>
        </w:rPr>
      </w:pPr>
    </w:p>
    <w:p w:rsidR="00BD0F44" w:rsidRPr="00D244F0" w:rsidRDefault="00BD0F44" w:rsidP="00BD0F44">
      <w:pPr>
        <w:rPr>
          <w:noProof/>
          <w:lang w:val="de-DE"/>
        </w:rPr>
      </w:pPr>
    </w:p>
    <w:p w:rsidR="00B7356C" w:rsidRPr="00D244F0" w:rsidRDefault="00B7356C">
      <w:pPr>
        <w:pStyle w:val="TOC1"/>
        <w:rPr>
          <w:rFonts w:asciiTheme="minorHAnsi" w:eastAsia="Batang" w:hAnsiTheme="minorHAnsi" w:cstheme="minorBidi"/>
          <w:b w:val="0"/>
          <w:caps w:val="0"/>
          <w:color w:val="auto"/>
          <w:szCs w:val="22"/>
          <w:lang w:val="de-DE" w:eastAsia="ko-KR"/>
        </w:rPr>
      </w:pPr>
      <w:r w:rsidRPr="00E1012C">
        <w:rPr>
          <w:lang w:val="de-DE"/>
        </w:rPr>
        <w:lastRenderedPageBreak/>
        <w:t>ABSCHNITT 2 – ProduKtPromotions</w:t>
      </w:r>
      <w:r w:rsidRPr="00D244F0">
        <w:rPr>
          <w:lang w:val="de-DE"/>
        </w:rPr>
        <w:tab/>
      </w:r>
      <w:r>
        <w:fldChar w:fldCharType="begin"/>
      </w:r>
      <w:r w:rsidRPr="00D244F0">
        <w:rPr>
          <w:lang w:val="de-DE"/>
        </w:rPr>
        <w:instrText xml:space="preserve"> PAGEREF _Toc354054873 \h </w:instrText>
      </w:r>
      <w:r>
        <w:fldChar w:fldCharType="separate"/>
      </w:r>
      <w:r w:rsidR="000B627C">
        <w:rPr>
          <w:lang w:val="de-DE"/>
        </w:rPr>
        <w:t>40</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lang w:val="de-DE"/>
        </w:rPr>
        <w:t>Microsoft Dynamics AX 2012 R2 – Eine Enterprise-CAL kaufen, eine Funktions-CAL dazu</w:t>
      </w:r>
      <w:r w:rsidRPr="00D244F0">
        <w:rPr>
          <w:lang w:val="de-DE"/>
        </w:rPr>
        <w:tab/>
      </w:r>
      <w:r w:rsidRPr="00BD0F44">
        <w:fldChar w:fldCharType="begin"/>
      </w:r>
      <w:r w:rsidRPr="00D244F0">
        <w:rPr>
          <w:lang w:val="de-DE"/>
        </w:rPr>
        <w:instrText xml:space="preserve"> PAGEREF _Toc354054874 \h </w:instrText>
      </w:r>
      <w:r w:rsidRPr="00BD0F44">
        <w:fldChar w:fldCharType="separate"/>
      </w:r>
      <w:r w:rsidR="000B627C">
        <w:rPr>
          <w:lang w:val="de-DE"/>
        </w:rPr>
        <w:t>40</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rPr>
        <w:t>Microsoft Dynamics AX 2012 R2 – EA Starter-Promotion</w:t>
      </w:r>
      <w:r w:rsidRPr="00BD0F44">
        <w:tab/>
      </w:r>
      <w:r w:rsidRPr="00BD0F44">
        <w:fldChar w:fldCharType="begin"/>
      </w:r>
      <w:r w:rsidRPr="00BD0F44">
        <w:instrText xml:space="preserve"> PAGEREF _Toc354054875 \h </w:instrText>
      </w:r>
      <w:r w:rsidRPr="00BD0F44">
        <w:fldChar w:fldCharType="separate"/>
      </w:r>
      <w:r w:rsidR="000B627C">
        <w:t>40</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eastAsia="Times New Roman" w:cs="Tahoma"/>
        </w:rPr>
        <w:t>Windows Server Datacenter Step Up-Promotion</w:t>
      </w:r>
      <w:r w:rsidRPr="00BD0F44">
        <w:tab/>
      </w:r>
      <w:r w:rsidRPr="00BD0F44">
        <w:fldChar w:fldCharType="begin"/>
      </w:r>
      <w:r w:rsidRPr="00BD0F44">
        <w:instrText xml:space="preserve"> PAGEREF _Toc354054876 \h </w:instrText>
      </w:r>
      <w:r w:rsidRPr="00BD0F44">
        <w:fldChar w:fldCharType="separate"/>
      </w:r>
      <w:r w:rsidR="000B627C">
        <w:t>40</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eastAsia="Times New Roman" w:cs="Tahoma"/>
          <w:lang w:val="de-DE"/>
        </w:rPr>
        <w:t>Forefront Online Protection für Exchange</w:t>
      </w:r>
      <w:r w:rsidRPr="00D244F0">
        <w:rPr>
          <w:lang w:val="de-DE"/>
        </w:rPr>
        <w:tab/>
      </w:r>
      <w:r w:rsidRPr="00BD0F44">
        <w:fldChar w:fldCharType="begin"/>
      </w:r>
      <w:r w:rsidRPr="00D244F0">
        <w:rPr>
          <w:lang w:val="de-DE"/>
        </w:rPr>
        <w:instrText xml:space="preserve"> PAGEREF _Toc354054877 \h </w:instrText>
      </w:r>
      <w:r w:rsidRPr="00BD0F44">
        <w:fldChar w:fldCharType="separate"/>
      </w:r>
      <w:r w:rsidR="000B627C">
        <w:rPr>
          <w:lang w:val="de-DE"/>
        </w:rPr>
        <w:t>40</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eastAsia="Times New Roman" w:cs="Tahoma"/>
          <w:lang w:val="de-DE"/>
        </w:rPr>
        <w:t>30 % Nachlass bei Upgrade auf Visual Studio Premium mit MSDN</w:t>
      </w:r>
      <w:r w:rsidRPr="00D244F0">
        <w:rPr>
          <w:lang w:val="de-DE"/>
        </w:rPr>
        <w:tab/>
      </w:r>
      <w:r w:rsidRPr="00BD0F44">
        <w:fldChar w:fldCharType="begin"/>
      </w:r>
      <w:r w:rsidRPr="00D244F0">
        <w:rPr>
          <w:lang w:val="de-DE"/>
        </w:rPr>
        <w:instrText xml:space="preserve"> PAGEREF _Toc354054878 \h </w:instrText>
      </w:r>
      <w:r w:rsidRPr="00BD0F44">
        <w:fldChar w:fldCharType="separate"/>
      </w:r>
      <w:r w:rsidR="000B627C">
        <w:rPr>
          <w:lang w:val="de-DE"/>
        </w:rPr>
        <w:t>40</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eastAsia="Times New Roman" w:cs="Tahoma"/>
          <w:lang w:val="de-DE"/>
        </w:rPr>
        <w:t>Step Up zu Windows 8 mit SA</w:t>
      </w:r>
      <w:r w:rsidRPr="00D244F0">
        <w:rPr>
          <w:lang w:val="de-DE"/>
        </w:rPr>
        <w:tab/>
      </w:r>
      <w:r w:rsidRPr="00BD0F44">
        <w:fldChar w:fldCharType="begin"/>
      </w:r>
      <w:r w:rsidRPr="00D244F0">
        <w:rPr>
          <w:lang w:val="de-DE"/>
        </w:rPr>
        <w:instrText xml:space="preserve"> PAGEREF _Toc354054879 \h </w:instrText>
      </w:r>
      <w:r w:rsidRPr="00BD0F44">
        <w:fldChar w:fldCharType="separate"/>
      </w:r>
      <w:r w:rsidR="000B627C">
        <w:rPr>
          <w:lang w:val="de-DE"/>
        </w:rPr>
        <w:t>41</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eastAsia="Times New Roman" w:cs="Tahoma"/>
          <w:lang w:val="de-DE"/>
        </w:rPr>
        <w:t>15 % Preisnachlass auf Project/Visio-Step Ups</w:t>
      </w:r>
      <w:r w:rsidRPr="00D244F0">
        <w:rPr>
          <w:lang w:val="de-DE"/>
        </w:rPr>
        <w:tab/>
      </w:r>
      <w:r w:rsidRPr="00BD0F44">
        <w:fldChar w:fldCharType="begin"/>
      </w:r>
      <w:r w:rsidRPr="00D244F0">
        <w:rPr>
          <w:lang w:val="de-DE"/>
        </w:rPr>
        <w:instrText xml:space="preserve"> PAGEREF _Toc354054880 \h </w:instrText>
      </w:r>
      <w:r w:rsidRPr="00BD0F44">
        <w:fldChar w:fldCharType="separate"/>
      </w:r>
      <w:r w:rsidR="000B627C">
        <w:rPr>
          <w:lang w:val="de-DE"/>
        </w:rPr>
        <w:t>41</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eastAsia="Times New Roman" w:cs="Tahoma"/>
          <w:lang w:val="de-DE"/>
        </w:rPr>
        <w:t>55 % Preisnachlass auf CAL für Project Server bei Unternehmensweitem Kauf</w:t>
      </w:r>
      <w:r w:rsidRPr="00D244F0">
        <w:rPr>
          <w:lang w:val="de-DE"/>
        </w:rPr>
        <w:tab/>
      </w:r>
      <w:r>
        <w:fldChar w:fldCharType="begin"/>
      </w:r>
      <w:r w:rsidRPr="00D244F0">
        <w:rPr>
          <w:lang w:val="de-DE"/>
        </w:rPr>
        <w:instrText xml:space="preserve"> PAGEREF _Toc354054881 \h </w:instrText>
      </w:r>
      <w:r>
        <w:fldChar w:fldCharType="separate"/>
      </w:r>
      <w:r w:rsidR="000B627C">
        <w:rPr>
          <w:lang w:val="de-DE"/>
        </w:rPr>
        <w:t>41</w:t>
      </w:r>
      <w:r>
        <w:fldChar w:fldCharType="end"/>
      </w:r>
    </w:p>
    <w:p w:rsidR="00B7356C" w:rsidRPr="00D244F0" w:rsidRDefault="00B7356C">
      <w:pPr>
        <w:pStyle w:val="TOC1"/>
        <w:rPr>
          <w:rFonts w:asciiTheme="minorHAnsi" w:eastAsia="Batang" w:hAnsiTheme="minorHAnsi" w:cstheme="minorBidi"/>
          <w:b w:val="0"/>
          <w:caps w:val="0"/>
          <w:color w:val="auto"/>
          <w:szCs w:val="22"/>
          <w:lang w:val="de-DE" w:eastAsia="ko-KR"/>
        </w:rPr>
      </w:pPr>
      <w:r w:rsidRPr="00E1012C">
        <w:rPr>
          <w:lang w:val="de-DE"/>
        </w:rPr>
        <w:t>Abschnitt 3 – Bestimmungen des Volumenlizenzprogramms</w:t>
      </w:r>
      <w:r w:rsidRPr="00D244F0">
        <w:rPr>
          <w:lang w:val="de-DE"/>
        </w:rPr>
        <w:tab/>
      </w:r>
      <w:r>
        <w:fldChar w:fldCharType="begin"/>
      </w:r>
      <w:r w:rsidRPr="00D244F0">
        <w:rPr>
          <w:lang w:val="de-DE"/>
        </w:rPr>
        <w:instrText xml:space="preserve"> PAGEREF _Toc354054882 \h </w:instrText>
      </w:r>
      <w:r>
        <w:fldChar w:fldCharType="separate"/>
      </w:r>
      <w:r w:rsidR="000B627C">
        <w:rPr>
          <w:lang w:val="de-DE"/>
        </w:rPr>
        <w:t>42</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Anwendbare Volumenlizenzprogramme</w:t>
      </w:r>
      <w:r w:rsidRPr="00D244F0">
        <w:rPr>
          <w:lang w:val="de-DE"/>
        </w:rPr>
        <w:tab/>
      </w:r>
      <w:r>
        <w:fldChar w:fldCharType="begin"/>
      </w:r>
      <w:r w:rsidRPr="00D244F0">
        <w:rPr>
          <w:lang w:val="de-DE"/>
        </w:rPr>
        <w:instrText xml:space="preserve"> PAGEREF _Toc354054883 \h </w:instrText>
      </w:r>
      <w:r>
        <w:fldChar w:fldCharType="separate"/>
      </w:r>
      <w:r w:rsidR="000B627C">
        <w:rPr>
          <w:lang w:val="de-DE"/>
        </w:rPr>
        <w:t>42</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D244F0">
        <w:rPr>
          <w:lang w:val="de-DE"/>
        </w:rPr>
        <w:t>Punkte und Mindestbestellmengen</w:t>
      </w:r>
      <w:r w:rsidRPr="00D244F0">
        <w:rPr>
          <w:lang w:val="de-DE"/>
        </w:rPr>
        <w:tab/>
      </w:r>
      <w:r>
        <w:fldChar w:fldCharType="begin"/>
      </w:r>
      <w:r w:rsidRPr="00D244F0">
        <w:rPr>
          <w:lang w:val="de-DE"/>
        </w:rPr>
        <w:instrText xml:space="preserve"> PAGEREF _Toc354054884 \h </w:instrText>
      </w:r>
      <w:r>
        <w:fldChar w:fldCharType="separate"/>
      </w:r>
      <w:r w:rsidR="000B627C">
        <w:rPr>
          <w:lang w:val="de-DE"/>
        </w:rPr>
        <w:t>42</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Mindestbestellanforderungen</w:t>
      </w:r>
      <w:r w:rsidRPr="00D244F0">
        <w:rPr>
          <w:lang w:val="de-DE"/>
        </w:rPr>
        <w:tab/>
      </w:r>
      <w:r>
        <w:fldChar w:fldCharType="begin"/>
      </w:r>
      <w:r w:rsidRPr="00D244F0">
        <w:rPr>
          <w:lang w:val="de-DE"/>
        </w:rPr>
        <w:instrText xml:space="preserve"> PAGEREF _Toc354054885 \h </w:instrText>
      </w:r>
      <w:r>
        <w:fldChar w:fldCharType="separate"/>
      </w:r>
      <w:r w:rsidR="000B627C">
        <w:rPr>
          <w:lang w:val="de-DE"/>
        </w:rPr>
        <w:t>42</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D244F0">
        <w:rPr>
          <w:lang w:val="de-DE"/>
        </w:rPr>
        <w:t>Plattformen</w:t>
      </w:r>
      <w:r w:rsidRPr="00D244F0">
        <w:rPr>
          <w:lang w:val="de-DE"/>
        </w:rPr>
        <w:tab/>
      </w:r>
      <w:r>
        <w:fldChar w:fldCharType="begin"/>
      </w:r>
      <w:r w:rsidRPr="00D244F0">
        <w:rPr>
          <w:lang w:val="de-DE"/>
        </w:rPr>
        <w:instrText xml:space="preserve"> PAGEREF _Toc354054886 \h </w:instrText>
      </w:r>
      <w:r>
        <w:fldChar w:fldCharType="separate"/>
      </w:r>
      <w:r w:rsidR="000B627C">
        <w:rPr>
          <w:lang w:val="de-DE"/>
        </w:rPr>
        <w:t>46</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Definition von Verwaltung für Qualifizierende Geräte</w:t>
      </w:r>
      <w:r w:rsidRPr="00D244F0">
        <w:rPr>
          <w:lang w:val="de-DE"/>
        </w:rPr>
        <w:tab/>
      </w:r>
      <w:r>
        <w:fldChar w:fldCharType="begin"/>
      </w:r>
      <w:r w:rsidRPr="00D244F0">
        <w:rPr>
          <w:lang w:val="de-DE"/>
        </w:rPr>
        <w:instrText xml:space="preserve"> PAGEREF _Toc354054887 \h </w:instrText>
      </w:r>
      <w:r>
        <w:fldChar w:fldCharType="separate"/>
      </w:r>
      <w:r w:rsidR="000B627C">
        <w:rPr>
          <w:lang w:val="de-DE"/>
        </w:rPr>
        <w:t>47</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Für Up-to-Date-Nachlass (UTD) qualifizierte Produkte</w:t>
      </w:r>
      <w:r w:rsidRPr="00D244F0">
        <w:rPr>
          <w:lang w:val="de-DE"/>
        </w:rPr>
        <w:tab/>
      </w:r>
      <w:r>
        <w:fldChar w:fldCharType="begin"/>
      </w:r>
      <w:r w:rsidRPr="00D244F0">
        <w:rPr>
          <w:lang w:val="de-DE"/>
        </w:rPr>
        <w:instrText xml:space="preserve"> PAGEREF _Toc354054888 \h </w:instrText>
      </w:r>
      <w:r>
        <w:fldChar w:fldCharType="separate"/>
      </w:r>
      <w:r w:rsidR="000B627C">
        <w:rPr>
          <w:lang w:val="de-DE"/>
        </w:rPr>
        <w:t>47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Aktualisierte Bestimmungen für das Konzernvertragsprogramm und das Abonnement-Vertragsprogramm</w:t>
      </w:r>
      <w:r w:rsidRPr="00D244F0">
        <w:rPr>
          <w:lang w:val="de-DE"/>
        </w:rPr>
        <w:tab/>
      </w:r>
      <w:r>
        <w:fldChar w:fldCharType="begin"/>
      </w:r>
      <w:r w:rsidRPr="00D244F0">
        <w:rPr>
          <w:lang w:val="de-DE"/>
        </w:rPr>
        <w:instrText xml:space="preserve"> PAGEREF _Toc354054889 \h </w:instrText>
      </w:r>
      <w:r>
        <w:fldChar w:fldCharType="separate"/>
      </w:r>
      <w:r w:rsidR="000B627C">
        <w:rPr>
          <w:lang w:val="de-DE"/>
        </w:rPr>
        <w:t>48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Dienstkontinuität mittels Verlängerter Laufzeit</w:t>
      </w:r>
      <w:r w:rsidRPr="00D244F0">
        <w:rPr>
          <w:lang w:val="de-DE"/>
        </w:rPr>
        <w:tab/>
      </w:r>
      <w:r>
        <w:fldChar w:fldCharType="begin"/>
      </w:r>
      <w:r w:rsidRPr="00D244F0">
        <w:rPr>
          <w:lang w:val="de-DE"/>
        </w:rPr>
        <w:instrText xml:space="preserve"> PAGEREF _Toc354054890 \h </w:instrText>
      </w:r>
      <w:r>
        <w:fldChar w:fldCharType="separate"/>
      </w:r>
      <w:r w:rsidR="000B627C">
        <w:rPr>
          <w:lang w:val="de-DE"/>
        </w:rPr>
        <w:t>51</w:t>
      </w:r>
      <w:r>
        <w:fldChar w:fldCharType="end"/>
      </w:r>
    </w:p>
    <w:p w:rsidR="00B7356C" w:rsidRPr="00D244F0" w:rsidRDefault="00B7356C">
      <w:pPr>
        <w:pStyle w:val="TOC1"/>
        <w:rPr>
          <w:rFonts w:asciiTheme="minorHAnsi" w:eastAsia="Batang" w:hAnsiTheme="minorHAnsi" w:cstheme="minorBidi"/>
          <w:b w:val="0"/>
          <w:caps w:val="0"/>
          <w:color w:val="auto"/>
          <w:szCs w:val="22"/>
          <w:lang w:val="de-DE" w:eastAsia="ko-KR"/>
        </w:rPr>
      </w:pPr>
      <w:r w:rsidRPr="00D244F0">
        <w:rPr>
          <w:lang w:val="de-DE"/>
        </w:rPr>
        <w:t>ABSCHNITT 4 – Lizenztypen und Gebühren</w:t>
      </w:r>
      <w:r w:rsidRPr="00D244F0">
        <w:rPr>
          <w:lang w:val="de-DE"/>
        </w:rPr>
        <w:tab/>
      </w:r>
      <w:r>
        <w:fldChar w:fldCharType="begin"/>
      </w:r>
      <w:r w:rsidRPr="00D244F0">
        <w:rPr>
          <w:lang w:val="de-DE"/>
        </w:rPr>
        <w:instrText xml:space="preserve"> PAGEREF _Toc354054891 \h </w:instrText>
      </w:r>
      <w:r>
        <w:fldChar w:fldCharType="separate"/>
      </w:r>
      <w:r w:rsidR="000B627C">
        <w:rPr>
          <w:lang w:val="de-DE"/>
        </w:rPr>
        <w:t>53</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Gebühren</w:t>
      </w:r>
      <w:r w:rsidRPr="00D244F0">
        <w:rPr>
          <w:lang w:val="de-DE"/>
        </w:rPr>
        <w:tab/>
      </w:r>
      <w:r>
        <w:fldChar w:fldCharType="begin"/>
      </w:r>
      <w:r w:rsidRPr="00D244F0">
        <w:rPr>
          <w:lang w:val="de-DE"/>
        </w:rPr>
        <w:instrText xml:space="preserve"> PAGEREF _Toc354054892 \h </w:instrText>
      </w:r>
      <w:r>
        <w:fldChar w:fldCharType="separate"/>
      </w:r>
      <w:r w:rsidR="000B627C">
        <w:rPr>
          <w:lang w:val="de-DE"/>
        </w:rPr>
        <w:t>53</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Lizenz</w:t>
      </w:r>
      <w:r w:rsidRPr="00D244F0">
        <w:rPr>
          <w:lang w:val="de-DE"/>
        </w:rPr>
        <w:tab/>
      </w:r>
      <w:r>
        <w:fldChar w:fldCharType="begin"/>
      </w:r>
      <w:r w:rsidRPr="00D244F0">
        <w:rPr>
          <w:lang w:val="de-DE"/>
        </w:rPr>
        <w:instrText xml:space="preserve"> PAGEREF _Toc354054893 \h </w:instrText>
      </w:r>
      <w:r>
        <w:fldChar w:fldCharType="separate"/>
      </w:r>
      <w:r w:rsidR="000B627C">
        <w:rPr>
          <w:lang w:val="de-DE"/>
        </w:rPr>
        <w:t>53</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Lizenz und Software Assurance</w:t>
      </w:r>
      <w:r w:rsidRPr="00D244F0">
        <w:rPr>
          <w:lang w:val="de-DE"/>
        </w:rPr>
        <w:tab/>
      </w:r>
      <w:r>
        <w:fldChar w:fldCharType="begin"/>
      </w:r>
      <w:r w:rsidRPr="00D244F0">
        <w:rPr>
          <w:lang w:val="de-DE"/>
        </w:rPr>
        <w:instrText xml:space="preserve"> PAGEREF _Toc354054894 \h </w:instrText>
      </w:r>
      <w:r>
        <w:fldChar w:fldCharType="separate"/>
      </w:r>
      <w:r w:rsidR="000B627C">
        <w:rPr>
          <w:lang w:val="de-DE"/>
        </w:rPr>
        <w:t>53</w:t>
      </w:r>
      <w:r>
        <w:fldChar w:fldCharType="end"/>
      </w:r>
    </w:p>
    <w:p w:rsidR="00B7356C" w:rsidRDefault="00B7356C">
      <w:pPr>
        <w:pStyle w:val="TOC2"/>
        <w:rPr>
          <w:rFonts w:asciiTheme="minorHAnsi" w:eastAsia="Batang" w:hAnsiTheme="minorHAnsi" w:cstheme="minorBidi"/>
          <w:sz w:val="22"/>
          <w:szCs w:val="22"/>
          <w:lang w:eastAsia="ko-KR"/>
        </w:rPr>
      </w:pPr>
      <w:r w:rsidRPr="00D244F0">
        <w:rPr>
          <w:rFonts w:cs="Tahoma"/>
        </w:rPr>
        <w:t>Software Assurance</w:t>
      </w:r>
      <w:r>
        <w:tab/>
      </w:r>
      <w:r>
        <w:fldChar w:fldCharType="begin"/>
      </w:r>
      <w:r>
        <w:instrText xml:space="preserve"> PAGEREF _Toc354054895 \h </w:instrText>
      </w:r>
      <w:r>
        <w:fldChar w:fldCharType="separate"/>
      </w:r>
      <w:r w:rsidR="000B627C">
        <w:t>54</w:t>
      </w:r>
      <w:r>
        <w:fldChar w:fldCharType="end"/>
      </w:r>
    </w:p>
    <w:p w:rsidR="00B7356C" w:rsidRDefault="00B7356C">
      <w:pPr>
        <w:pStyle w:val="TOC2"/>
        <w:rPr>
          <w:rFonts w:asciiTheme="minorHAnsi" w:eastAsia="Batang" w:hAnsiTheme="minorHAnsi" w:cstheme="minorBidi"/>
          <w:sz w:val="22"/>
          <w:szCs w:val="22"/>
          <w:lang w:eastAsia="ko-KR"/>
        </w:rPr>
      </w:pPr>
      <w:r w:rsidRPr="00D244F0">
        <w:rPr>
          <w:rFonts w:cs="Tahoma"/>
        </w:rPr>
        <w:t>Step Up-Lizenzen</w:t>
      </w:r>
      <w:r>
        <w:tab/>
      </w:r>
      <w:r>
        <w:fldChar w:fldCharType="begin"/>
      </w:r>
      <w:r>
        <w:instrText xml:space="preserve"> PAGEREF _Toc354054896 \h </w:instrText>
      </w:r>
      <w:r>
        <w:fldChar w:fldCharType="separate"/>
      </w:r>
      <w:r w:rsidR="000B627C">
        <w:t>55</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Abonnementlizenzen</w:t>
      </w:r>
      <w:r w:rsidRPr="00D244F0">
        <w:rPr>
          <w:lang w:val="de-DE"/>
        </w:rPr>
        <w:tab/>
      </w:r>
      <w:r>
        <w:fldChar w:fldCharType="begin"/>
      </w:r>
      <w:r w:rsidRPr="00D244F0">
        <w:rPr>
          <w:lang w:val="de-DE"/>
        </w:rPr>
        <w:instrText xml:space="preserve"> PAGEREF _Toc354054897 \h </w:instrText>
      </w:r>
      <w:r>
        <w:fldChar w:fldCharType="separate"/>
      </w:r>
      <w:r w:rsidR="000B627C">
        <w:rPr>
          <w:lang w:val="de-DE"/>
        </w:rPr>
        <w:t>55</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lang w:val="de-DE"/>
        </w:rPr>
        <w:t>Upgrade</w:t>
      </w:r>
      <w:r w:rsidRPr="00D244F0">
        <w:rPr>
          <w:lang w:val="de-DE"/>
        </w:rPr>
        <w:tab/>
      </w:r>
      <w:r>
        <w:fldChar w:fldCharType="begin"/>
      </w:r>
      <w:r w:rsidRPr="00D244F0">
        <w:rPr>
          <w:lang w:val="de-DE"/>
        </w:rPr>
        <w:instrText xml:space="preserve"> PAGEREF _Toc354054898 \h </w:instrText>
      </w:r>
      <w:r>
        <w:fldChar w:fldCharType="separate"/>
      </w:r>
      <w:r w:rsidR="000B627C">
        <w:rPr>
          <w:lang w:val="de-DE"/>
        </w:rPr>
        <w:t>55</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Upgrade und Software Assurance</w:t>
      </w:r>
      <w:r w:rsidRPr="00D244F0">
        <w:rPr>
          <w:lang w:val="de-DE"/>
        </w:rPr>
        <w:tab/>
      </w:r>
      <w:r>
        <w:fldChar w:fldCharType="begin"/>
      </w:r>
      <w:r w:rsidRPr="00D244F0">
        <w:rPr>
          <w:lang w:val="de-DE"/>
        </w:rPr>
        <w:instrText xml:space="preserve"> PAGEREF _Toc354054899 \h </w:instrText>
      </w:r>
      <w:r>
        <w:fldChar w:fldCharType="separate"/>
      </w:r>
      <w:r w:rsidR="000B627C">
        <w:rPr>
          <w:lang w:val="de-DE"/>
        </w:rPr>
        <w:t>56</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Work-at-Home-Lizenzen</w:t>
      </w:r>
      <w:r w:rsidRPr="00D244F0">
        <w:rPr>
          <w:lang w:val="de-DE"/>
        </w:rPr>
        <w:tab/>
      </w:r>
      <w:r>
        <w:fldChar w:fldCharType="begin"/>
      </w:r>
      <w:r w:rsidRPr="00D244F0">
        <w:rPr>
          <w:lang w:val="de-DE"/>
        </w:rPr>
        <w:instrText xml:space="preserve"> PAGEREF _Toc354054900 \h </w:instrText>
      </w:r>
      <w:r>
        <w:fldChar w:fldCharType="separate"/>
      </w:r>
      <w:r w:rsidR="000B627C">
        <w:rPr>
          <w:lang w:val="de-DE"/>
        </w:rPr>
        <w:t>56</w:t>
      </w:r>
      <w:r>
        <w:fldChar w:fldCharType="end"/>
      </w:r>
    </w:p>
    <w:p w:rsidR="00B7356C" w:rsidRPr="00D244F0" w:rsidRDefault="00B7356C">
      <w:pPr>
        <w:pStyle w:val="TOC1"/>
        <w:rPr>
          <w:rFonts w:asciiTheme="minorHAnsi" w:eastAsia="Batang" w:hAnsiTheme="minorHAnsi" w:cstheme="minorBidi"/>
          <w:b w:val="0"/>
          <w:caps w:val="0"/>
          <w:color w:val="auto"/>
          <w:szCs w:val="22"/>
          <w:lang w:val="de-DE" w:eastAsia="ko-KR"/>
        </w:rPr>
      </w:pPr>
      <w:r w:rsidRPr="00D244F0">
        <w:rPr>
          <w:rFonts w:ascii="Tahoma Bold" w:hAnsi="Tahoma Bold" w:cs="Tahoma Bold"/>
          <w:spacing w:val="-2"/>
          <w:lang w:val="de-DE"/>
        </w:rPr>
        <w:t>Abschnitt 5 – PREISE UND ZAHLUNGSBESTIMMUNGEN FÜR ONLINEDIENSTE</w:t>
      </w:r>
      <w:r w:rsidRPr="00D244F0">
        <w:rPr>
          <w:lang w:val="de-DE"/>
        </w:rPr>
        <w:tab/>
      </w:r>
      <w:r>
        <w:fldChar w:fldCharType="begin"/>
      </w:r>
      <w:r w:rsidRPr="00D244F0">
        <w:rPr>
          <w:lang w:val="de-DE"/>
        </w:rPr>
        <w:instrText xml:space="preserve"> PAGEREF _Toc354054901 \h </w:instrText>
      </w:r>
      <w:r>
        <w:fldChar w:fldCharType="separate"/>
      </w:r>
      <w:r w:rsidR="000B627C">
        <w:rPr>
          <w:lang w:val="de-DE"/>
        </w:rPr>
        <w:t>57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Laufzeit eines Onlinedienste-Abonnements</w:t>
      </w:r>
      <w:r w:rsidRPr="00D244F0">
        <w:rPr>
          <w:lang w:val="de-DE"/>
        </w:rPr>
        <w:tab/>
      </w:r>
      <w:r>
        <w:fldChar w:fldCharType="begin"/>
      </w:r>
      <w:r w:rsidRPr="00D244F0">
        <w:rPr>
          <w:lang w:val="de-DE"/>
        </w:rPr>
        <w:instrText xml:space="preserve"> PAGEREF _Toc354054902 \h </w:instrText>
      </w:r>
      <w:r>
        <w:fldChar w:fldCharType="separate"/>
      </w:r>
      <w:r w:rsidR="000B627C">
        <w:rPr>
          <w:lang w:val="de-DE"/>
        </w:rPr>
        <w:t>57</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Erwerb und automatische Verlängerung von Onlinediensten</w:t>
      </w:r>
      <w:r w:rsidRPr="00D244F0">
        <w:rPr>
          <w:lang w:val="de-DE"/>
        </w:rPr>
        <w:tab/>
      </w:r>
      <w:r>
        <w:fldChar w:fldCharType="begin"/>
      </w:r>
      <w:r w:rsidRPr="00D244F0">
        <w:rPr>
          <w:lang w:val="de-DE"/>
        </w:rPr>
        <w:instrText xml:space="preserve"> PAGEREF _Toc354054903 \h </w:instrText>
      </w:r>
      <w:r>
        <w:fldChar w:fldCharType="separate"/>
      </w:r>
      <w:r w:rsidR="000B627C">
        <w:rPr>
          <w:lang w:val="de-DE"/>
        </w:rPr>
        <w:t>58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Verwalten des Verlängerungs- und automatischen Verlängerungsstatus</w:t>
      </w:r>
      <w:r w:rsidRPr="00D244F0">
        <w:rPr>
          <w:lang w:val="de-DE"/>
        </w:rPr>
        <w:tab/>
      </w:r>
      <w:r>
        <w:fldChar w:fldCharType="begin"/>
      </w:r>
      <w:r w:rsidRPr="00D244F0">
        <w:rPr>
          <w:lang w:val="de-DE"/>
        </w:rPr>
        <w:instrText xml:space="preserve"> PAGEREF _Toc354054904 \h </w:instrText>
      </w:r>
      <w:r>
        <w:fldChar w:fldCharType="separate"/>
      </w:r>
      <w:r w:rsidR="000B627C">
        <w:rPr>
          <w:lang w:val="de-DE"/>
        </w:rPr>
        <w:t>58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Kündigung von Onlinediensten</w:t>
      </w:r>
      <w:r w:rsidRPr="00D244F0">
        <w:rPr>
          <w:lang w:val="de-DE"/>
        </w:rPr>
        <w:tab/>
      </w:r>
      <w:r>
        <w:fldChar w:fldCharType="begin"/>
      </w:r>
      <w:r w:rsidRPr="00D244F0">
        <w:rPr>
          <w:lang w:val="de-DE"/>
        </w:rPr>
        <w:instrText xml:space="preserve"> PAGEREF _Toc354054905 \h </w:instrText>
      </w:r>
      <w:r>
        <w:fldChar w:fldCharType="separate"/>
      </w:r>
      <w:r w:rsidR="000B627C">
        <w:rPr>
          <w:lang w:val="de-DE"/>
        </w:rPr>
        <w:t>59</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Zahlungsbestimmungsoptionen für Onlinedienste</w:t>
      </w:r>
      <w:r w:rsidRPr="00D244F0">
        <w:rPr>
          <w:lang w:val="de-DE"/>
        </w:rPr>
        <w:tab/>
      </w:r>
      <w:r>
        <w:fldChar w:fldCharType="begin"/>
      </w:r>
      <w:r w:rsidRPr="00D244F0">
        <w:rPr>
          <w:lang w:val="de-DE"/>
        </w:rPr>
        <w:instrText xml:space="preserve"> PAGEREF _Toc354054906 \h </w:instrText>
      </w:r>
      <w:r>
        <w:fldChar w:fldCharType="separate"/>
      </w:r>
      <w:r w:rsidR="000B627C">
        <w:rPr>
          <w:lang w:val="de-DE"/>
        </w:rPr>
        <w:t>59</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Mindesterwerbsanforderungen für Onlinedienste im Rahmen der Volumenlizenzierung</w:t>
      </w:r>
      <w:r w:rsidRPr="00D244F0">
        <w:rPr>
          <w:lang w:val="de-DE"/>
        </w:rPr>
        <w:tab/>
      </w:r>
      <w:r>
        <w:fldChar w:fldCharType="begin"/>
      </w:r>
      <w:r w:rsidRPr="00D244F0">
        <w:rPr>
          <w:lang w:val="de-DE"/>
        </w:rPr>
        <w:instrText xml:space="preserve"> PAGEREF _Toc354054907 \h </w:instrText>
      </w:r>
      <w:r>
        <w:fldChar w:fldCharType="separate"/>
      </w:r>
      <w:r w:rsidR="000B627C">
        <w:rPr>
          <w:lang w:val="de-DE"/>
        </w:rPr>
        <w:t>59</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Windows Azure-Dienste</w:t>
      </w:r>
      <w:r w:rsidRPr="00D244F0">
        <w:rPr>
          <w:lang w:val="de-DE"/>
        </w:rPr>
        <w:tab/>
      </w:r>
      <w:r>
        <w:fldChar w:fldCharType="begin"/>
      </w:r>
      <w:r w:rsidRPr="00D244F0">
        <w:rPr>
          <w:lang w:val="de-DE"/>
        </w:rPr>
        <w:instrText xml:space="preserve"> PAGEREF _Toc354054908 \h </w:instrText>
      </w:r>
      <w:r>
        <w:fldChar w:fldCharType="separate"/>
      </w:r>
      <w:r w:rsidR="000B627C">
        <w:rPr>
          <w:lang w:val="de-DE"/>
        </w:rPr>
        <w:t>59</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Regionale Verfügbarkeit von Onlinediensten</w:t>
      </w:r>
      <w:r w:rsidRPr="00D244F0">
        <w:rPr>
          <w:lang w:val="de-DE"/>
        </w:rPr>
        <w:tab/>
      </w:r>
      <w:r>
        <w:fldChar w:fldCharType="begin"/>
      </w:r>
      <w:r w:rsidRPr="00D244F0">
        <w:rPr>
          <w:lang w:val="de-DE"/>
        </w:rPr>
        <w:instrText xml:space="preserve"> PAGEREF _Toc354054909 \h </w:instrText>
      </w:r>
      <w:r>
        <w:fldChar w:fldCharType="separate"/>
      </w:r>
      <w:r w:rsidR="000B627C">
        <w:rPr>
          <w:lang w:val="de-DE"/>
        </w:rPr>
        <w:t>61</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Zusätzliche Bestimmungen für Onlinedienste</w:t>
      </w:r>
      <w:r w:rsidRPr="00D244F0">
        <w:rPr>
          <w:lang w:val="de-DE"/>
        </w:rPr>
        <w:tab/>
      </w:r>
      <w:r>
        <w:fldChar w:fldCharType="begin"/>
      </w:r>
      <w:r w:rsidRPr="00D244F0">
        <w:rPr>
          <w:lang w:val="de-DE"/>
        </w:rPr>
        <w:instrText xml:space="preserve"> PAGEREF _Toc354054910 \h </w:instrText>
      </w:r>
      <w:r>
        <w:fldChar w:fldCharType="separate"/>
      </w:r>
      <w:r w:rsidR="000B627C">
        <w:rPr>
          <w:lang w:val="de-DE"/>
        </w:rPr>
        <w:t>61</w:t>
      </w:r>
      <w:r>
        <w:fldChar w:fldCharType="end"/>
      </w:r>
    </w:p>
    <w:p w:rsidR="00B7356C" w:rsidRPr="00D244F0" w:rsidRDefault="00B7356C">
      <w:pPr>
        <w:pStyle w:val="TOC1"/>
        <w:rPr>
          <w:rFonts w:asciiTheme="minorHAnsi" w:eastAsia="Batang" w:hAnsiTheme="minorHAnsi" w:cstheme="minorBidi"/>
          <w:b w:val="0"/>
          <w:caps w:val="0"/>
          <w:color w:val="auto"/>
          <w:szCs w:val="22"/>
          <w:lang w:val="de-DE" w:eastAsia="ko-KR"/>
        </w:rPr>
      </w:pPr>
      <w:r w:rsidRPr="00E1012C">
        <w:rPr>
          <w:lang w:val="de-DE"/>
        </w:rPr>
        <w:t>ABSCHNITT 6 – Regeln zur Verlängerung von Software Assurance</w:t>
      </w:r>
      <w:r w:rsidRPr="00D244F0">
        <w:rPr>
          <w:lang w:val="de-DE"/>
        </w:rPr>
        <w:tab/>
      </w:r>
      <w:r>
        <w:fldChar w:fldCharType="begin"/>
      </w:r>
      <w:r w:rsidRPr="00D244F0">
        <w:rPr>
          <w:lang w:val="de-DE"/>
        </w:rPr>
        <w:instrText xml:space="preserve"> PAGEREF _Toc354054911 \h </w:instrText>
      </w:r>
      <w:r>
        <w:fldChar w:fldCharType="separate"/>
      </w:r>
      <w:r w:rsidR="000B627C">
        <w:rPr>
          <w:lang w:val="de-DE"/>
        </w:rPr>
        <w:t>63</w:t>
      </w:r>
      <w:r>
        <w:fldChar w:fldCharType="end"/>
      </w:r>
    </w:p>
    <w:p w:rsidR="00B7356C" w:rsidRDefault="00B7356C">
      <w:pPr>
        <w:pStyle w:val="TOC4"/>
        <w:rPr>
          <w:rFonts w:asciiTheme="minorHAnsi" w:eastAsia="Batang" w:hAnsiTheme="minorHAnsi" w:cstheme="minorBidi"/>
          <w:noProof/>
          <w:sz w:val="22"/>
          <w:szCs w:val="22"/>
          <w:lang w:eastAsia="ko-KR"/>
        </w:rPr>
      </w:pPr>
      <w:r w:rsidRPr="00D244F0">
        <w:rPr>
          <w:rFonts w:cs="Tahoma"/>
          <w:noProof/>
        </w:rPr>
        <w:t>Open-Lizenz</w:t>
      </w:r>
      <w:r>
        <w:rPr>
          <w:noProof/>
        </w:rPr>
        <w:tab/>
      </w:r>
      <w:r>
        <w:rPr>
          <w:noProof/>
        </w:rPr>
        <w:fldChar w:fldCharType="begin"/>
      </w:r>
      <w:r>
        <w:rPr>
          <w:noProof/>
        </w:rPr>
        <w:instrText xml:space="preserve"> PAGEREF _Toc354054912 \h </w:instrText>
      </w:r>
      <w:r>
        <w:rPr>
          <w:noProof/>
        </w:rPr>
      </w:r>
      <w:r>
        <w:rPr>
          <w:noProof/>
        </w:rPr>
        <w:fldChar w:fldCharType="separate"/>
      </w:r>
      <w:r w:rsidR="000B627C">
        <w:rPr>
          <w:noProof/>
        </w:rPr>
        <w:t>63</w:t>
      </w:r>
      <w:r>
        <w:rPr>
          <w:noProof/>
        </w:rPr>
        <w:fldChar w:fldCharType="end"/>
      </w:r>
    </w:p>
    <w:p w:rsidR="00B7356C" w:rsidRDefault="00B7356C">
      <w:pPr>
        <w:pStyle w:val="TOC4"/>
        <w:rPr>
          <w:rFonts w:asciiTheme="minorHAnsi" w:eastAsia="Batang" w:hAnsiTheme="minorHAnsi" w:cstheme="minorBidi"/>
          <w:noProof/>
          <w:sz w:val="22"/>
          <w:szCs w:val="22"/>
          <w:lang w:eastAsia="ko-KR"/>
        </w:rPr>
      </w:pPr>
      <w:r w:rsidRPr="00D244F0">
        <w:rPr>
          <w:rFonts w:cs="Tahoma"/>
          <w:noProof/>
        </w:rPr>
        <w:t>Open Value 20xx</w:t>
      </w:r>
      <w:r>
        <w:rPr>
          <w:noProof/>
        </w:rPr>
        <w:tab/>
      </w:r>
      <w:r>
        <w:rPr>
          <w:noProof/>
        </w:rPr>
        <w:fldChar w:fldCharType="begin"/>
      </w:r>
      <w:r>
        <w:rPr>
          <w:noProof/>
        </w:rPr>
        <w:instrText xml:space="preserve"> PAGEREF _Toc354054913 \h </w:instrText>
      </w:r>
      <w:r>
        <w:rPr>
          <w:noProof/>
        </w:rPr>
      </w:r>
      <w:r>
        <w:rPr>
          <w:noProof/>
        </w:rPr>
        <w:fldChar w:fldCharType="separate"/>
      </w:r>
      <w:r w:rsidR="000B627C">
        <w:rPr>
          <w:noProof/>
        </w:rPr>
        <w:t>63</w:t>
      </w:r>
      <w:r>
        <w:rPr>
          <w:noProof/>
        </w:rPr>
        <w:fldChar w:fldCharType="end"/>
      </w:r>
    </w:p>
    <w:p w:rsidR="00B7356C" w:rsidRPr="00D244F0" w:rsidRDefault="00B7356C">
      <w:pPr>
        <w:pStyle w:val="TOC4"/>
        <w:rPr>
          <w:rFonts w:asciiTheme="minorHAnsi" w:eastAsia="Batang" w:hAnsiTheme="minorHAnsi" w:cstheme="minorBidi"/>
          <w:noProof/>
          <w:sz w:val="22"/>
          <w:szCs w:val="22"/>
          <w:lang w:val="de-DE" w:eastAsia="ko-KR"/>
        </w:rPr>
      </w:pPr>
      <w:r w:rsidRPr="00E1012C">
        <w:rPr>
          <w:rFonts w:cs="Tahoma"/>
          <w:noProof/>
          <w:lang w:val="de-DE"/>
        </w:rPr>
        <w:t>Select 20xx</w:t>
      </w:r>
      <w:r w:rsidRPr="00D244F0">
        <w:rPr>
          <w:noProof/>
          <w:lang w:val="de-DE"/>
        </w:rPr>
        <w:tab/>
      </w:r>
      <w:r>
        <w:rPr>
          <w:noProof/>
        </w:rPr>
        <w:fldChar w:fldCharType="begin"/>
      </w:r>
      <w:r w:rsidRPr="00D244F0">
        <w:rPr>
          <w:noProof/>
          <w:lang w:val="de-DE"/>
        </w:rPr>
        <w:instrText xml:space="preserve"> PAGEREF _Toc354054914 \h </w:instrText>
      </w:r>
      <w:r>
        <w:rPr>
          <w:noProof/>
        </w:rPr>
      </w:r>
      <w:r>
        <w:rPr>
          <w:noProof/>
        </w:rPr>
        <w:fldChar w:fldCharType="separate"/>
      </w:r>
      <w:r w:rsidR="000B627C">
        <w:rPr>
          <w:noProof/>
          <w:lang w:val="de-DE"/>
        </w:rPr>
        <w:t>63</w:t>
      </w:r>
      <w:r>
        <w:rPr>
          <w:noProof/>
        </w:rPr>
        <w:fldChar w:fldCharType="end"/>
      </w:r>
    </w:p>
    <w:p w:rsidR="00B7356C" w:rsidRPr="00D244F0" w:rsidRDefault="00B7356C">
      <w:pPr>
        <w:pStyle w:val="TOC4"/>
        <w:rPr>
          <w:rFonts w:asciiTheme="minorHAnsi" w:eastAsia="Batang" w:hAnsiTheme="minorHAnsi" w:cstheme="minorBidi"/>
          <w:noProof/>
          <w:sz w:val="22"/>
          <w:szCs w:val="22"/>
          <w:lang w:val="de-DE" w:eastAsia="ko-KR"/>
        </w:rPr>
      </w:pPr>
      <w:r w:rsidRPr="00E1012C">
        <w:rPr>
          <w:noProof/>
          <w:lang w:val="de-DE"/>
        </w:rPr>
        <w:t>Verlängerung im Rahmen des Gleichen Vertrages</w:t>
      </w:r>
      <w:r w:rsidRPr="00D244F0">
        <w:rPr>
          <w:noProof/>
          <w:lang w:val="de-DE"/>
        </w:rPr>
        <w:tab/>
      </w:r>
      <w:r>
        <w:rPr>
          <w:noProof/>
        </w:rPr>
        <w:fldChar w:fldCharType="begin"/>
      </w:r>
      <w:r w:rsidRPr="00D244F0">
        <w:rPr>
          <w:noProof/>
          <w:lang w:val="de-DE"/>
        </w:rPr>
        <w:instrText xml:space="preserve"> PAGEREF _Toc354054915 \h </w:instrText>
      </w:r>
      <w:r>
        <w:rPr>
          <w:noProof/>
        </w:rPr>
      </w:r>
      <w:r>
        <w:rPr>
          <w:noProof/>
        </w:rPr>
        <w:fldChar w:fldCharType="separate"/>
      </w:r>
      <w:r w:rsidR="000B627C">
        <w:rPr>
          <w:noProof/>
          <w:lang w:val="de-DE"/>
        </w:rPr>
        <w:t>63</w:t>
      </w:r>
      <w:r>
        <w:rPr>
          <w:noProof/>
        </w:rPr>
        <w:fldChar w:fldCharType="end"/>
      </w:r>
    </w:p>
    <w:p w:rsidR="00B7356C" w:rsidRPr="00D244F0" w:rsidRDefault="00B7356C">
      <w:pPr>
        <w:pStyle w:val="TOC4"/>
        <w:rPr>
          <w:rFonts w:asciiTheme="minorHAnsi" w:eastAsia="Batang" w:hAnsiTheme="minorHAnsi" w:cstheme="minorBidi"/>
          <w:noProof/>
          <w:sz w:val="22"/>
          <w:szCs w:val="22"/>
          <w:lang w:val="de-DE" w:eastAsia="ko-KR"/>
        </w:rPr>
      </w:pPr>
      <w:r w:rsidRPr="00E1012C">
        <w:rPr>
          <w:noProof/>
          <w:lang w:val="de-DE"/>
        </w:rPr>
        <w:t>Verlängerung im Rahmen eines separaten Vertrages</w:t>
      </w:r>
      <w:r w:rsidRPr="00D244F0">
        <w:rPr>
          <w:noProof/>
          <w:lang w:val="de-DE"/>
        </w:rPr>
        <w:tab/>
      </w:r>
      <w:r>
        <w:rPr>
          <w:noProof/>
        </w:rPr>
        <w:fldChar w:fldCharType="begin"/>
      </w:r>
      <w:r w:rsidRPr="00D244F0">
        <w:rPr>
          <w:noProof/>
          <w:lang w:val="de-DE"/>
        </w:rPr>
        <w:instrText xml:space="preserve"> PAGEREF _Toc354054916 \h </w:instrText>
      </w:r>
      <w:r>
        <w:rPr>
          <w:noProof/>
        </w:rPr>
      </w:r>
      <w:r>
        <w:rPr>
          <w:noProof/>
        </w:rPr>
        <w:fldChar w:fldCharType="separate"/>
      </w:r>
      <w:r w:rsidR="000B627C">
        <w:rPr>
          <w:noProof/>
          <w:lang w:val="de-DE"/>
        </w:rPr>
        <w:t>64</w:t>
      </w:r>
      <w:r>
        <w:rPr>
          <w:noProof/>
        </w:rPr>
        <w:fldChar w:fldCharType="end"/>
      </w:r>
    </w:p>
    <w:p w:rsidR="00B7356C" w:rsidRPr="00D244F0" w:rsidRDefault="00B7356C">
      <w:pPr>
        <w:pStyle w:val="TOC4"/>
        <w:rPr>
          <w:rFonts w:asciiTheme="minorHAnsi" w:eastAsia="Batang" w:hAnsiTheme="minorHAnsi" w:cstheme="minorBidi"/>
          <w:noProof/>
          <w:sz w:val="22"/>
          <w:szCs w:val="22"/>
          <w:lang w:val="de-DE" w:eastAsia="ko-KR"/>
        </w:rPr>
      </w:pPr>
      <w:r w:rsidRPr="00E1012C">
        <w:rPr>
          <w:rFonts w:cs="Tahoma"/>
          <w:noProof/>
          <w:lang w:val="de-DE"/>
        </w:rPr>
        <w:t>Select Plus 20xx</w:t>
      </w:r>
      <w:r w:rsidRPr="00D244F0">
        <w:rPr>
          <w:noProof/>
          <w:lang w:val="de-DE"/>
        </w:rPr>
        <w:tab/>
      </w:r>
      <w:r>
        <w:rPr>
          <w:noProof/>
        </w:rPr>
        <w:fldChar w:fldCharType="begin"/>
      </w:r>
      <w:r w:rsidRPr="00D244F0">
        <w:rPr>
          <w:noProof/>
          <w:lang w:val="de-DE"/>
        </w:rPr>
        <w:instrText xml:space="preserve"> PAGEREF _Toc354054917 \h </w:instrText>
      </w:r>
      <w:r>
        <w:rPr>
          <w:noProof/>
        </w:rPr>
      </w:r>
      <w:r>
        <w:rPr>
          <w:noProof/>
        </w:rPr>
        <w:fldChar w:fldCharType="separate"/>
      </w:r>
      <w:r w:rsidR="000B627C">
        <w:rPr>
          <w:noProof/>
          <w:lang w:val="de-DE"/>
        </w:rPr>
        <w:t>64</w:t>
      </w:r>
      <w:r>
        <w:rPr>
          <w:noProof/>
        </w:rPr>
        <w:fldChar w:fldCharType="end"/>
      </w:r>
    </w:p>
    <w:p w:rsidR="00B7356C" w:rsidRPr="00D244F0" w:rsidRDefault="00B7356C">
      <w:pPr>
        <w:pStyle w:val="TOC4"/>
        <w:rPr>
          <w:rFonts w:asciiTheme="minorHAnsi" w:eastAsia="Batang" w:hAnsiTheme="minorHAnsi" w:cstheme="minorBidi"/>
          <w:noProof/>
          <w:sz w:val="22"/>
          <w:szCs w:val="22"/>
          <w:lang w:val="de-DE" w:eastAsia="ko-KR"/>
        </w:rPr>
      </w:pPr>
      <w:r w:rsidRPr="00E1012C">
        <w:rPr>
          <w:noProof/>
          <w:lang w:val="de-DE"/>
        </w:rPr>
        <w:t>Verlängerung im Rahmen des Gleichen Vertrages</w:t>
      </w:r>
      <w:r w:rsidRPr="00D244F0">
        <w:rPr>
          <w:noProof/>
          <w:lang w:val="de-DE"/>
        </w:rPr>
        <w:tab/>
      </w:r>
      <w:r>
        <w:rPr>
          <w:noProof/>
        </w:rPr>
        <w:fldChar w:fldCharType="begin"/>
      </w:r>
      <w:r w:rsidRPr="00D244F0">
        <w:rPr>
          <w:noProof/>
          <w:lang w:val="de-DE"/>
        </w:rPr>
        <w:instrText xml:space="preserve"> PAGEREF _Toc354054918 \h </w:instrText>
      </w:r>
      <w:r>
        <w:rPr>
          <w:noProof/>
        </w:rPr>
      </w:r>
      <w:r>
        <w:rPr>
          <w:noProof/>
        </w:rPr>
        <w:fldChar w:fldCharType="separate"/>
      </w:r>
      <w:r w:rsidR="000B627C">
        <w:rPr>
          <w:noProof/>
          <w:lang w:val="de-DE"/>
        </w:rPr>
        <w:t>64</w:t>
      </w:r>
      <w:r>
        <w:rPr>
          <w:noProof/>
        </w:rPr>
        <w:fldChar w:fldCharType="end"/>
      </w:r>
    </w:p>
    <w:p w:rsidR="00B7356C" w:rsidRPr="00D244F0" w:rsidRDefault="00B7356C">
      <w:pPr>
        <w:pStyle w:val="TOC4"/>
        <w:rPr>
          <w:rFonts w:asciiTheme="minorHAnsi" w:eastAsia="Batang" w:hAnsiTheme="minorHAnsi" w:cstheme="minorBidi"/>
          <w:noProof/>
          <w:sz w:val="22"/>
          <w:szCs w:val="22"/>
          <w:lang w:val="de-DE" w:eastAsia="ko-KR"/>
        </w:rPr>
      </w:pPr>
      <w:r w:rsidRPr="00E1012C">
        <w:rPr>
          <w:noProof/>
          <w:lang w:val="de-DE"/>
        </w:rPr>
        <w:t>Verlängerung im Rahmen eines separaten Vertrages</w:t>
      </w:r>
      <w:r w:rsidRPr="00D244F0">
        <w:rPr>
          <w:noProof/>
          <w:lang w:val="de-DE"/>
        </w:rPr>
        <w:tab/>
      </w:r>
      <w:r>
        <w:rPr>
          <w:noProof/>
        </w:rPr>
        <w:fldChar w:fldCharType="begin"/>
      </w:r>
      <w:r w:rsidRPr="00D244F0">
        <w:rPr>
          <w:noProof/>
          <w:lang w:val="de-DE"/>
        </w:rPr>
        <w:instrText xml:space="preserve"> PAGEREF _Toc354054919 \h </w:instrText>
      </w:r>
      <w:r>
        <w:rPr>
          <w:noProof/>
        </w:rPr>
      </w:r>
      <w:r>
        <w:rPr>
          <w:noProof/>
        </w:rPr>
        <w:fldChar w:fldCharType="separate"/>
      </w:r>
      <w:r w:rsidR="000B627C">
        <w:rPr>
          <w:noProof/>
          <w:lang w:val="de-DE"/>
        </w:rPr>
        <w:t>64</w:t>
      </w:r>
      <w:r>
        <w:rPr>
          <w:noProof/>
        </w:rPr>
        <w:fldChar w:fldCharType="end"/>
      </w:r>
    </w:p>
    <w:p w:rsidR="00B7356C" w:rsidRPr="00D244F0" w:rsidRDefault="00B7356C">
      <w:pPr>
        <w:pStyle w:val="TOC4"/>
        <w:rPr>
          <w:rFonts w:asciiTheme="minorHAnsi" w:eastAsia="Batang" w:hAnsiTheme="minorHAnsi" w:cstheme="minorBidi"/>
          <w:noProof/>
          <w:sz w:val="22"/>
          <w:szCs w:val="22"/>
          <w:lang w:val="de-DE" w:eastAsia="ko-KR"/>
        </w:rPr>
      </w:pPr>
      <w:r w:rsidRPr="00E1012C">
        <w:rPr>
          <w:rFonts w:cs="Tahoma"/>
          <w:noProof/>
          <w:lang w:val="de-DE"/>
        </w:rPr>
        <w:t>Konzernvertrag 2011 und spätere Versionen</w:t>
      </w:r>
      <w:r w:rsidRPr="00D244F0">
        <w:rPr>
          <w:noProof/>
          <w:lang w:val="de-DE"/>
        </w:rPr>
        <w:tab/>
      </w:r>
      <w:r>
        <w:rPr>
          <w:noProof/>
        </w:rPr>
        <w:fldChar w:fldCharType="begin"/>
      </w:r>
      <w:r w:rsidRPr="00D244F0">
        <w:rPr>
          <w:noProof/>
          <w:lang w:val="de-DE"/>
        </w:rPr>
        <w:instrText xml:space="preserve"> PAGEREF _Toc354054920 \h </w:instrText>
      </w:r>
      <w:r>
        <w:rPr>
          <w:noProof/>
        </w:rPr>
      </w:r>
      <w:r>
        <w:rPr>
          <w:noProof/>
        </w:rPr>
        <w:fldChar w:fldCharType="separate"/>
      </w:r>
      <w:r w:rsidR="000B627C">
        <w:rPr>
          <w:noProof/>
          <w:lang w:val="de-DE"/>
        </w:rPr>
        <w:t>64</w:t>
      </w:r>
      <w:r>
        <w:rPr>
          <w:noProof/>
        </w:rPr>
        <w:fldChar w:fldCharType="end"/>
      </w:r>
    </w:p>
    <w:p w:rsidR="00B7356C" w:rsidRPr="00D244F0" w:rsidRDefault="00B7356C">
      <w:pPr>
        <w:pStyle w:val="TOC4"/>
        <w:rPr>
          <w:rFonts w:asciiTheme="minorHAnsi" w:eastAsia="Batang" w:hAnsiTheme="minorHAnsi" w:cstheme="minorBidi"/>
          <w:noProof/>
          <w:sz w:val="22"/>
          <w:szCs w:val="22"/>
          <w:lang w:val="de-DE" w:eastAsia="ko-KR"/>
        </w:rPr>
      </w:pPr>
      <w:r w:rsidRPr="00E1012C">
        <w:rPr>
          <w:rFonts w:cs="Tahoma"/>
          <w:noProof/>
          <w:lang w:val="de-DE"/>
        </w:rPr>
        <w:t>Konzernvertrag vor 2011</w:t>
      </w:r>
      <w:r w:rsidRPr="00D244F0">
        <w:rPr>
          <w:noProof/>
          <w:lang w:val="de-DE"/>
        </w:rPr>
        <w:tab/>
      </w:r>
      <w:r>
        <w:rPr>
          <w:noProof/>
        </w:rPr>
        <w:fldChar w:fldCharType="begin"/>
      </w:r>
      <w:r w:rsidRPr="00D244F0">
        <w:rPr>
          <w:noProof/>
          <w:lang w:val="de-DE"/>
        </w:rPr>
        <w:instrText xml:space="preserve"> PAGEREF _Toc354054921 \h </w:instrText>
      </w:r>
      <w:r>
        <w:rPr>
          <w:noProof/>
        </w:rPr>
      </w:r>
      <w:r>
        <w:rPr>
          <w:noProof/>
        </w:rPr>
        <w:fldChar w:fldCharType="separate"/>
      </w:r>
      <w:r w:rsidR="000B627C">
        <w:rPr>
          <w:noProof/>
          <w:lang w:val="de-DE"/>
        </w:rPr>
        <w:t>65</w:t>
      </w:r>
      <w:r>
        <w:rPr>
          <w:noProof/>
        </w:rPr>
        <w:fldChar w:fldCharType="end"/>
      </w:r>
    </w:p>
    <w:p w:rsidR="00B7356C" w:rsidRPr="00D244F0" w:rsidRDefault="00B7356C">
      <w:pPr>
        <w:pStyle w:val="TOC4"/>
        <w:rPr>
          <w:noProof/>
          <w:lang w:val="de-DE"/>
        </w:rPr>
      </w:pPr>
      <w:r w:rsidRPr="00E1012C">
        <w:rPr>
          <w:rFonts w:cs="Tahoma"/>
          <w:noProof/>
          <w:lang w:val="de-DE"/>
        </w:rPr>
        <w:t>Programmübergreifende Verlängerung</w:t>
      </w:r>
      <w:r w:rsidRPr="00D244F0">
        <w:rPr>
          <w:noProof/>
          <w:lang w:val="de-DE"/>
        </w:rPr>
        <w:tab/>
      </w:r>
      <w:r>
        <w:rPr>
          <w:noProof/>
        </w:rPr>
        <w:fldChar w:fldCharType="begin"/>
      </w:r>
      <w:r w:rsidRPr="00D244F0">
        <w:rPr>
          <w:noProof/>
          <w:lang w:val="de-DE"/>
        </w:rPr>
        <w:instrText xml:space="preserve"> PAGEREF _Toc354054922 \h </w:instrText>
      </w:r>
      <w:r>
        <w:rPr>
          <w:noProof/>
        </w:rPr>
      </w:r>
      <w:r>
        <w:rPr>
          <w:noProof/>
        </w:rPr>
        <w:fldChar w:fldCharType="separate"/>
      </w:r>
      <w:r w:rsidR="000B627C">
        <w:rPr>
          <w:noProof/>
          <w:lang w:val="de-DE"/>
        </w:rPr>
        <w:t>65</w:t>
      </w:r>
      <w:r>
        <w:rPr>
          <w:noProof/>
        </w:rPr>
        <w:fldChar w:fldCharType="end"/>
      </w:r>
    </w:p>
    <w:p w:rsidR="00BD0F44" w:rsidRPr="00D244F0" w:rsidRDefault="00BD0F44" w:rsidP="00BD0F44">
      <w:pPr>
        <w:rPr>
          <w:noProof/>
          <w:lang w:val="de-DE"/>
        </w:rPr>
      </w:pPr>
    </w:p>
    <w:p w:rsidR="00BD0F44" w:rsidRPr="00D244F0" w:rsidRDefault="00BD0F44" w:rsidP="00BD0F44">
      <w:pPr>
        <w:rPr>
          <w:noProof/>
          <w:lang w:val="de-DE"/>
        </w:rPr>
      </w:pPr>
    </w:p>
    <w:p w:rsidR="00BD0F44" w:rsidRPr="00D244F0" w:rsidRDefault="00BD0F44" w:rsidP="00BD0F44">
      <w:pPr>
        <w:rPr>
          <w:noProof/>
          <w:lang w:val="de-DE"/>
        </w:rPr>
      </w:pPr>
    </w:p>
    <w:p w:rsidR="00BD0F44" w:rsidRPr="00D244F0" w:rsidRDefault="00BD0F44" w:rsidP="00BD0F44">
      <w:pPr>
        <w:rPr>
          <w:noProof/>
          <w:lang w:val="de-DE"/>
        </w:rPr>
      </w:pPr>
    </w:p>
    <w:p w:rsidR="00B7356C" w:rsidRPr="00D244F0" w:rsidRDefault="00B7356C">
      <w:pPr>
        <w:pStyle w:val="TOC1"/>
        <w:rPr>
          <w:rFonts w:asciiTheme="minorHAnsi" w:eastAsia="Batang" w:hAnsiTheme="minorHAnsi" w:cstheme="minorBidi"/>
          <w:b w:val="0"/>
          <w:caps w:val="0"/>
          <w:color w:val="auto"/>
          <w:szCs w:val="22"/>
          <w:lang w:val="de-DE" w:eastAsia="ko-KR"/>
        </w:rPr>
      </w:pPr>
      <w:r w:rsidRPr="00E1012C">
        <w:rPr>
          <w:lang w:val="de-DE"/>
        </w:rPr>
        <w:lastRenderedPageBreak/>
        <w:t>ABSCHNITT 7 – Software Assurance (SA)-VERGÜNSTIGUNGEN und Onlinedienste (OLS)-Vergünstigungenn</w:t>
      </w:r>
      <w:r w:rsidRPr="00D244F0">
        <w:rPr>
          <w:lang w:val="de-DE"/>
        </w:rPr>
        <w:tab/>
      </w:r>
      <w:r>
        <w:fldChar w:fldCharType="begin"/>
      </w:r>
      <w:r w:rsidRPr="00D244F0">
        <w:rPr>
          <w:lang w:val="de-DE"/>
        </w:rPr>
        <w:instrText xml:space="preserve"> PAGEREF _Toc354054923 \h </w:instrText>
      </w:r>
      <w:r>
        <w:fldChar w:fldCharType="separate"/>
      </w:r>
      <w:r w:rsidR="000B627C">
        <w:rPr>
          <w:lang w:val="de-DE"/>
        </w:rPr>
        <w:t>66</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lang w:val="de-DE"/>
        </w:rPr>
        <w:t>Rechte für neue Versionen</w:t>
      </w:r>
      <w:r w:rsidRPr="00D244F0">
        <w:rPr>
          <w:lang w:val="de-DE"/>
        </w:rPr>
        <w:tab/>
      </w:r>
      <w:r>
        <w:fldChar w:fldCharType="begin"/>
      </w:r>
      <w:r w:rsidRPr="00D244F0">
        <w:rPr>
          <w:lang w:val="de-DE"/>
        </w:rPr>
        <w:instrText xml:space="preserve"> PAGEREF _Toc354054924 \h </w:instrText>
      </w:r>
      <w:r>
        <w:fldChar w:fldCharType="separate"/>
      </w:r>
      <w:r w:rsidR="000B627C">
        <w:rPr>
          <w:lang w:val="de-DE"/>
        </w:rPr>
        <w:t>68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lang w:val="de-DE"/>
        </w:rPr>
        <w:t>Office Multi Language Pack</w:t>
      </w:r>
      <w:r w:rsidRPr="00D244F0">
        <w:rPr>
          <w:lang w:val="de-DE"/>
        </w:rPr>
        <w:tab/>
      </w:r>
      <w:r>
        <w:fldChar w:fldCharType="begin"/>
      </w:r>
      <w:r w:rsidRPr="00D244F0">
        <w:rPr>
          <w:lang w:val="de-DE"/>
        </w:rPr>
        <w:instrText xml:space="preserve"> PAGEREF _Toc354054925 \h </w:instrText>
      </w:r>
      <w:r>
        <w:fldChar w:fldCharType="separate"/>
      </w:r>
      <w:r w:rsidR="000B627C">
        <w:rPr>
          <w:lang w:val="de-DE"/>
        </w:rPr>
        <w:t>68</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D244F0">
        <w:t>Windows 8 Enterprise</w:t>
      </w:r>
      <w:r>
        <w:tab/>
      </w:r>
      <w:r>
        <w:fldChar w:fldCharType="begin"/>
      </w:r>
      <w:r>
        <w:instrText xml:space="preserve"> PAGEREF _Toc354054926 \h </w:instrText>
      </w:r>
      <w:r>
        <w:fldChar w:fldCharType="separate"/>
      </w:r>
      <w:r w:rsidR="000B627C">
        <w:t>73</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D244F0">
        <w:t>Windows 8 Enterprise Sideloading</w:t>
      </w:r>
      <w:r>
        <w:tab/>
      </w:r>
      <w:r>
        <w:fldChar w:fldCharType="begin"/>
      </w:r>
      <w:r>
        <w:instrText xml:space="preserve"> PAGEREF _Toc354054927 \h </w:instrText>
      </w:r>
      <w:r>
        <w:fldChar w:fldCharType="separate"/>
      </w:r>
      <w:r w:rsidR="000B627C">
        <w:t>73</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D244F0">
        <w:t>Windows Companion-Abonnementlizenz</w:t>
      </w:r>
      <w:r>
        <w:tab/>
      </w:r>
      <w:r>
        <w:fldChar w:fldCharType="begin"/>
      </w:r>
      <w:r>
        <w:instrText xml:space="preserve"> PAGEREF _Toc354054928 \h </w:instrText>
      </w:r>
      <w:r>
        <w:fldChar w:fldCharType="separate"/>
      </w:r>
      <w:r w:rsidR="000B627C">
        <w:t>73</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D244F0">
        <w:t>Trainingsgutscheine</w:t>
      </w:r>
      <w:r>
        <w:tab/>
      </w:r>
      <w:r>
        <w:fldChar w:fldCharType="begin"/>
      </w:r>
      <w:r>
        <w:instrText xml:space="preserve"> PAGEREF _Toc354054929 \h </w:instrText>
      </w:r>
      <w:r>
        <w:fldChar w:fldCharType="separate"/>
      </w:r>
      <w:r w:rsidR="000B627C">
        <w:t>73</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D244F0">
        <w:t>E-Learning</w:t>
      </w:r>
      <w:r>
        <w:tab/>
      </w:r>
      <w:r>
        <w:fldChar w:fldCharType="begin"/>
      </w:r>
      <w:r>
        <w:instrText xml:space="preserve"> PAGEREF _Toc354054930 \h </w:instrText>
      </w:r>
      <w:r>
        <w:fldChar w:fldCharType="separate"/>
      </w:r>
      <w:r w:rsidR="000B627C">
        <w:t>76</w:t>
      </w:r>
      <w:r>
        <w:fldChar w:fldCharType="end"/>
      </w:r>
    </w:p>
    <w:p w:rsidR="00B7356C" w:rsidRDefault="00B7356C" w:rsidP="008F06E8">
      <w:pPr>
        <w:pStyle w:val="TOC3"/>
        <w:rPr>
          <w:rFonts w:asciiTheme="minorHAnsi" w:eastAsia="Batang" w:hAnsiTheme="minorHAnsi" w:cstheme="minorBidi"/>
          <w:color w:val="auto"/>
          <w:sz w:val="22"/>
          <w:szCs w:val="22"/>
          <w:lang w:eastAsia="ko-KR"/>
        </w:rPr>
      </w:pPr>
      <w:r w:rsidRPr="00D244F0">
        <w:t>Home Use Program</w:t>
      </w:r>
      <w:r>
        <w:tab/>
      </w:r>
      <w:r>
        <w:fldChar w:fldCharType="begin"/>
      </w:r>
      <w:r>
        <w:instrText xml:space="preserve"> PAGEREF _Toc354054931 \h </w:instrText>
      </w:r>
      <w:r>
        <w:fldChar w:fldCharType="separate"/>
      </w:r>
      <w:r w:rsidR="000B627C">
        <w:t>77</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24x7 Problembehebungssupport</w:t>
      </w:r>
      <w:r w:rsidRPr="00D244F0">
        <w:rPr>
          <w:lang w:val="de-DE"/>
        </w:rPr>
        <w:tab/>
      </w:r>
      <w:r>
        <w:fldChar w:fldCharType="begin"/>
      </w:r>
      <w:r w:rsidRPr="00D244F0">
        <w:rPr>
          <w:lang w:val="de-DE"/>
        </w:rPr>
        <w:instrText xml:space="preserve"> PAGEREF _Toc354054932 \h </w:instrText>
      </w:r>
      <w:r>
        <w:fldChar w:fldCharType="separate"/>
      </w:r>
      <w:r w:rsidR="000B627C">
        <w:rPr>
          <w:lang w:val="de-DE"/>
        </w:rPr>
        <w:t>79</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Unbegrenzter 24x7-Problembehebungssupport</w:t>
      </w:r>
      <w:r w:rsidRPr="00D244F0">
        <w:rPr>
          <w:lang w:val="de-DE"/>
        </w:rPr>
        <w:tab/>
      </w:r>
      <w:r>
        <w:fldChar w:fldCharType="begin"/>
      </w:r>
      <w:r w:rsidRPr="00D244F0">
        <w:rPr>
          <w:lang w:val="de-DE"/>
        </w:rPr>
        <w:instrText xml:space="preserve"> PAGEREF _Toc354054933 \h </w:instrText>
      </w:r>
      <w:r>
        <w:fldChar w:fldCharType="separate"/>
      </w:r>
      <w:r w:rsidR="000B627C">
        <w:rPr>
          <w:lang w:val="de-DE"/>
        </w:rPr>
        <w:t>84</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System Center Advisor</w:t>
      </w:r>
      <w:r w:rsidRPr="00D244F0">
        <w:rPr>
          <w:lang w:val="de-DE"/>
        </w:rPr>
        <w:tab/>
      </w:r>
      <w:r>
        <w:fldChar w:fldCharType="begin"/>
      </w:r>
      <w:r w:rsidRPr="00D244F0">
        <w:rPr>
          <w:lang w:val="de-DE"/>
        </w:rPr>
        <w:instrText xml:space="preserve"> PAGEREF _Toc354054934 \h </w:instrText>
      </w:r>
      <w:r>
        <w:fldChar w:fldCharType="separate"/>
      </w:r>
      <w:r w:rsidR="000B627C">
        <w:rPr>
          <w:lang w:val="de-DE"/>
        </w:rPr>
        <w:t>86</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„Cold Backup“ für die Wiederherstellung im Notfall</w:t>
      </w:r>
      <w:r w:rsidRPr="00D244F0">
        <w:rPr>
          <w:lang w:val="de-DE"/>
        </w:rPr>
        <w:tab/>
      </w:r>
      <w:r>
        <w:fldChar w:fldCharType="begin"/>
      </w:r>
      <w:r w:rsidRPr="00D244F0">
        <w:rPr>
          <w:lang w:val="de-DE"/>
        </w:rPr>
        <w:instrText xml:space="preserve"> PAGEREF _Toc354054935 \h </w:instrText>
      </w:r>
      <w:r>
        <w:fldChar w:fldCharType="separate"/>
      </w:r>
      <w:r w:rsidR="000B627C">
        <w:rPr>
          <w:lang w:val="de-DE"/>
        </w:rPr>
        <w:t>88</w:t>
      </w:r>
      <w:r>
        <w:fldChar w:fldCharType="end"/>
      </w:r>
    </w:p>
    <w:p w:rsidR="00B7356C" w:rsidRPr="00D244F0" w:rsidRDefault="00B7356C" w:rsidP="008F06E8">
      <w:pPr>
        <w:pStyle w:val="TOC3"/>
        <w:rPr>
          <w:rFonts w:asciiTheme="minorHAnsi" w:eastAsia="Batang" w:hAnsiTheme="minorHAnsi" w:cstheme="minorBidi"/>
          <w:color w:val="auto"/>
          <w:sz w:val="22"/>
          <w:szCs w:val="22"/>
          <w:lang w:val="fr-FR" w:eastAsia="ko-KR"/>
        </w:rPr>
      </w:pPr>
      <w:r w:rsidRPr="00D244F0">
        <w:rPr>
          <w:lang w:val="fr-FR"/>
        </w:rPr>
        <w:t>TechNet SA-Abonnementservices</w:t>
      </w:r>
      <w:r w:rsidRPr="00D244F0">
        <w:rPr>
          <w:lang w:val="fr-FR"/>
        </w:rPr>
        <w:tab/>
      </w:r>
      <w:r>
        <w:fldChar w:fldCharType="begin"/>
      </w:r>
      <w:r w:rsidRPr="00D244F0">
        <w:rPr>
          <w:lang w:val="fr-FR"/>
        </w:rPr>
        <w:instrText xml:space="preserve"> PAGEREF _Toc354054936 \h </w:instrText>
      </w:r>
      <w:r>
        <w:fldChar w:fldCharType="separate"/>
      </w:r>
      <w:r w:rsidR="000B627C">
        <w:rPr>
          <w:lang w:val="fr-FR"/>
        </w:rPr>
        <w:t>88</w:t>
      </w:r>
      <w:r>
        <w:fldChar w:fldCharType="end"/>
      </w:r>
    </w:p>
    <w:p w:rsidR="00B7356C" w:rsidRPr="00D244F0" w:rsidRDefault="00B7356C" w:rsidP="008F06E8">
      <w:pPr>
        <w:pStyle w:val="TOC3"/>
        <w:rPr>
          <w:rFonts w:asciiTheme="minorHAnsi" w:eastAsia="Batang" w:hAnsiTheme="minorHAnsi" w:cstheme="minorBidi"/>
          <w:color w:val="auto"/>
          <w:sz w:val="22"/>
          <w:szCs w:val="22"/>
          <w:lang w:val="fr-FR" w:eastAsia="ko-KR"/>
        </w:rPr>
      </w:pPr>
      <w:r w:rsidRPr="00D244F0">
        <w:rPr>
          <w:lang w:val="fr-FR"/>
        </w:rPr>
        <w:t>TechNet Plus Direct</w:t>
      </w:r>
      <w:r w:rsidRPr="00D244F0">
        <w:rPr>
          <w:lang w:val="fr-FR"/>
        </w:rPr>
        <w:tab/>
      </w:r>
      <w:r>
        <w:fldChar w:fldCharType="begin"/>
      </w:r>
      <w:r w:rsidRPr="00D244F0">
        <w:rPr>
          <w:lang w:val="fr-FR"/>
        </w:rPr>
        <w:instrText xml:space="preserve"> PAGEREF _Toc354054937 \h </w:instrText>
      </w:r>
      <w:r>
        <w:fldChar w:fldCharType="separate"/>
      </w:r>
      <w:r w:rsidR="000B627C">
        <w:rPr>
          <w:lang w:val="fr-FR"/>
        </w:rPr>
        <w:t>89</w:t>
      </w:r>
      <w:r>
        <w:fldChar w:fldCharType="end"/>
      </w:r>
    </w:p>
    <w:p w:rsidR="00B7356C" w:rsidRPr="00D244F0" w:rsidRDefault="00B7356C" w:rsidP="008F06E8">
      <w:pPr>
        <w:pStyle w:val="TOC3"/>
        <w:rPr>
          <w:rFonts w:asciiTheme="minorHAnsi" w:eastAsia="Batang" w:hAnsiTheme="minorHAnsi" w:cstheme="minorBidi"/>
          <w:color w:val="auto"/>
          <w:sz w:val="22"/>
          <w:szCs w:val="22"/>
          <w:lang w:val="fr-FR" w:eastAsia="ko-KR"/>
        </w:rPr>
      </w:pPr>
      <w:r w:rsidRPr="00D244F0">
        <w:rPr>
          <w:lang w:val="fr-FR"/>
        </w:rPr>
        <w:t>Lizenzmobilität durch Software Assurance</w:t>
      </w:r>
      <w:r w:rsidRPr="00D244F0">
        <w:rPr>
          <w:lang w:val="fr-FR"/>
        </w:rPr>
        <w:tab/>
      </w:r>
      <w:r>
        <w:fldChar w:fldCharType="begin"/>
      </w:r>
      <w:r w:rsidRPr="00D244F0">
        <w:rPr>
          <w:lang w:val="fr-FR"/>
        </w:rPr>
        <w:instrText xml:space="preserve"> PAGEREF _Toc354054938 \h </w:instrText>
      </w:r>
      <w:r>
        <w:fldChar w:fldCharType="separate"/>
      </w:r>
      <w:r w:rsidR="000B627C">
        <w:rPr>
          <w:lang w:val="fr-FR"/>
        </w:rPr>
        <w:t>90</w:t>
      </w:r>
      <w:r>
        <w:fldChar w:fldCharType="end"/>
      </w:r>
    </w:p>
    <w:p w:rsidR="00B7356C" w:rsidRPr="00D244F0" w:rsidRDefault="00B7356C" w:rsidP="008F06E8">
      <w:pPr>
        <w:pStyle w:val="TOC3"/>
        <w:rPr>
          <w:rFonts w:asciiTheme="minorHAnsi" w:eastAsia="Batang" w:hAnsiTheme="minorHAnsi" w:cstheme="minorBidi"/>
          <w:color w:val="auto"/>
          <w:sz w:val="22"/>
          <w:szCs w:val="22"/>
          <w:lang w:val="fr-FR" w:eastAsia="ko-KR"/>
        </w:rPr>
      </w:pPr>
      <w:r w:rsidRPr="00D244F0">
        <w:rPr>
          <w:lang w:val="fr-FR"/>
        </w:rPr>
        <w:t>Windows Thin PC</w:t>
      </w:r>
      <w:r w:rsidRPr="00D244F0">
        <w:rPr>
          <w:lang w:val="fr-FR"/>
        </w:rPr>
        <w:tab/>
      </w:r>
      <w:r>
        <w:fldChar w:fldCharType="begin"/>
      </w:r>
      <w:r w:rsidRPr="00D244F0">
        <w:rPr>
          <w:lang w:val="fr-FR"/>
        </w:rPr>
        <w:instrText xml:space="preserve"> PAGEREF _Toc354054939 \h </w:instrText>
      </w:r>
      <w:r>
        <w:fldChar w:fldCharType="separate"/>
      </w:r>
      <w:r w:rsidR="000B627C">
        <w:rPr>
          <w:lang w:val="fr-FR"/>
        </w:rPr>
        <w:t>91</w:t>
      </w:r>
      <w:r>
        <w:fldChar w:fldCharType="end"/>
      </w:r>
    </w:p>
    <w:p w:rsidR="00B7356C" w:rsidRPr="00D244F0" w:rsidRDefault="00B7356C" w:rsidP="008F06E8">
      <w:pPr>
        <w:pStyle w:val="TOC3"/>
        <w:rPr>
          <w:rFonts w:asciiTheme="minorHAnsi" w:eastAsia="Batang" w:hAnsiTheme="minorHAnsi" w:cstheme="minorBidi"/>
          <w:color w:val="auto"/>
          <w:sz w:val="22"/>
          <w:szCs w:val="22"/>
          <w:lang w:val="fr-FR" w:eastAsia="ko-KR"/>
        </w:rPr>
      </w:pPr>
      <w:r w:rsidRPr="00D244F0">
        <w:rPr>
          <w:lang w:val="fr-FR"/>
        </w:rPr>
        <w:t>Erweiterter Hotfix-Support</w:t>
      </w:r>
      <w:r w:rsidRPr="00D244F0">
        <w:rPr>
          <w:lang w:val="fr-FR"/>
        </w:rPr>
        <w:tab/>
      </w:r>
      <w:r>
        <w:fldChar w:fldCharType="begin"/>
      </w:r>
      <w:r w:rsidRPr="00D244F0">
        <w:rPr>
          <w:lang w:val="fr-FR"/>
        </w:rPr>
        <w:instrText xml:space="preserve"> PAGEREF _Toc354054940 \h </w:instrText>
      </w:r>
      <w:r>
        <w:fldChar w:fldCharType="separate"/>
      </w:r>
      <w:r w:rsidR="000B627C">
        <w:rPr>
          <w:lang w:val="fr-FR"/>
        </w:rPr>
        <w:t>91</w:t>
      </w:r>
      <w:r>
        <w:fldChar w:fldCharType="end"/>
      </w:r>
    </w:p>
    <w:p w:rsidR="00B7356C" w:rsidRPr="00D244F0" w:rsidRDefault="00B7356C" w:rsidP="008F06E8">
      <w:pPr>
        <w:pStyle w:val="TOC3"/>
        <w:rPr>
          <w:rFonts w:asciiTheme="minorHAnsi" w:eastAsia="Batang" w:hAnsiTheme="minorHAnsi" w:cstheme="minorBidi"/>
          <w:color w:val="auto"/>
          <w:sz w:val="22"/>
          <w:szCs w:val="22"/>
          <w:lang w:val="fr-FR" w:eastAsia="ko-KR"/>
        </w:rPr>
      </w:pPr>
      <w:r w:rsidRPr="00D244F0">
        <w:rPr>
          <w:lang w:val="fr-FR"/>
        </w:rPr>
        <w:t>Microsoft Desktop Optimization Pack für Software Assurance</w:t>
      </w:r>
      <w:r w:rsidRPr="00D244F0">
        <w:rPr>
          <w:lang w:val="fr-FR"/>
        </w:rPr>
        <w:tab/>
      </w:r>
      <w:r>
        <w:fldChar w:fldCharType="begin"/>
      </w:r>
      <w:r w:rsidRPr="00D244F0">
        <w:rPr>
          <w:lang w:val="fr-FR"/>
        </w:rPr>
        <w:instrText xml:space="preserve"> PAGEREF _Toc354054941 \h </w:instrText>
      </w:r>
      <w:r>
        <w:fldChar w:fldCharType="separate"/>
      </w:r>
      <w:r w:rsidR="000B627C">
        <w:rPr>
          <w:lang w:val="fr-FR"/>
        </w:rPr>
        <w:t>91</w:t>
      </w:r>
      <w:r>
        <w:fldChar w:fldCharType="end"/>
      </w:r>
    </w:p>
    <w:p w:rsidR="00B7356C" w:rsidRPr="00D244F0" w:rsidRDefault="00B7356C" w:rsidP="008F06E8">
      <w:pPr>
        <w:pStyle w:val="TOC3"/>
        <w:rPr>
          <w:rFonts w:asciiTheme="minorHAnsi" w:eastAsia="Batang" w:hAnsiTheme="minorHAnsi" w:cstheme="minorBidi"/>
          <w:color w:val="auto"/>
          <w:sz w:val="22"/>
          <w:szCs w:val="22"/>
          <w:lang w:val="fr-FR" w:eastAsia="ko-KR"/>
        </w:rPr>
      </w:pPr>
      <w:r w:rsidRPr="00D244F0">
        <w:rPr>
          <w:lang w:val="fr-FR"/>
        </w:rPr>
        <w:t>Windows Virtual Desktop Access (VDA)-Rechte</w:t>
      </w:r>
      <w:r w:rsidRPr="00D244F0">
        <w:rPr>
          <w:lang w:val="fr-FR"/>
        </w:rPr>
        <w:tab/>
      </w:r>
      <w:r>
        <w:fldChar w:fldCharType="begin"/>
      </w:r>
      <w:r w:rsidRPr="00D244F0">
        <w:rPr>
          <w:lang w:val="fr-FR"/>
        </w:rPr>
        <w:instrText xml:space="preserve"> PAGEREF _Toc354054942 \h </w:instrText>
      </w:r>
      <w:r>
        <w:fldChar w:fldCharType="separate"/>
      </w:r>
      <w:r w:rsidR="000B627C">
        <w:rPr>
          <w:lang w:val="fr-FR"/>
        </w:rPr>
        <w:t>92</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Step Up-Lizenzverfügbarkeit*</w:t>
      </w:r>
      <w:r w:rsidRPr="00D244F0">
        <w:rPr>
          <w:lang w:val="de-DE"/>
        </w:rPr>
        <w:tab/>
      </w:r>
      <w:r>
        <w:fldChar w:fldCharType="begin"/>
      </w:r>
      <w:r w:rsidRPr="00D244F0">
        <w:rPr>
          <w:lang w:val="de-DE"/>
        </w:rPr>
        <w:instrText xml:space="preserve"> PAGEREF _Toc354054943 \h </w:instrText>
      </w:r>
      <w:r>
        <w:fldChar w:fldCharType="separate"/>
      </w:r>
      <w:r w:rsidR="000B627C">
        <w:rPr>
          <w:lang w:val="de-DE"/>
        </w:rPr>
        <w:t>92</w:t>
      </w:r>
      <w:r>
        <w:fldChar w:fldCharType="end"/>
      </w:r>
    </w:p>
    <w:p w:rsidR="00B7356C" w:rsidRPr="00D244F0" w:rsidRDefault="00B7356C">
      <w:pPr>
        <w:pStyle w:val="TOC1"/>
        <w:rPr>
          <w:rFonts w:asciiTheme="minorHAnsi" w:eastAsia="Batang" w:hAnsiTheme="minorHAnsi" w:cstheme="minorBidi"/>
          <w:b w:val="0"/>
          <w:caps w:val="0"/>
          <w:color w:val="auto"/>
          <w:szCs w:val="22"/>
          <w:lang w:val="de-DE" w:eastAsia="ko-KR"/>
        </w:rPr>
      </w:pPr>
      <w:r w:rsidRPr="00D244F0">
        <w:rPr>
          <w:lang w:val="de-DE"/>
        </w:rPr>
        <w:t>ABSCHNITT 8 – SERVICES</w:t>
      </w:r>
      <w:r w:rsidRPr="00D244F0">
        <w:rPr>
          <w:lang w:val="de-DE"/>
        </w:rPr>
        <w:tab/>
      </w:r>
      <w:r>
        <w:fldChar w:fldCharType="begin"/>
      </w:r>
      <w:r w:rsidRPr="00D244F0">
        <w:rPr>
          <w:lang w:val="de-DE"/>
        </w:rPr>
        <w:instrText xml:space="preserve"> PAGEREF _Toc354054944 \h </w:instrText>
      </w:r>
      <w:r>
        <w:fldChar w:fldCharType="separate"/>
      </w:r>
      <w:r w:rsidR="000B627C">
        <w:rPr>
          <w:lang w:val="de-DE"/>
        </w:rPr>
        <w:t>94</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lang w:val="de-DE"/>
        </w:rPr>
        <w:t>Nutzungsrechte, Eigentum und Lizenzrechte</w:t>
      </w:r>
      <w:r w:rsidRPr="00D244F0">
        <w:rPr>
          <w:lang w:val="de-DE"/>
        </w:rPr>
        <w:tab/>
      </w:r>
      <w:r>
        <w:fldChar w:fldCharType="begin"/>
      </w:r>
      <w:r w:rsidRPr="00D244F0">
        <w:rPr>
          <w:lang w:val="de-DE"/>
        </w:rPr>
        <w:instrText xml:space="preserve"> PAGEREF _Toc354054945 \h </w:instrText>
      </w:r>
      <w:r>
        <w:fldChar w:fldCharType="separate"/>
      </w:r>
      <w:r w:rsidR="000B627C">
        <w:rPr>
          <w:lang w:val="de-DE"/>
        </w:rPr>
        <w:t>102</w:t>
      </w:r>
      <w:r>
        <w:fldChar w:fldCharType="end"/>
      </w:r>
    </w:p>
    <w:p w:rsidR="00B7356C" w:rsidRPr="00D244F0" w:rsidRDefault="00B7356C">
      <w:pPr>
        <w:pStyle w:val="TOC1"/>
        <w:rPr>
          <w:rFonts w:asciiTheme="minorHAnsi" w:eastAsia="Batang" w:hAnsiTheme="minorHAnsi" w:cstheme="minorBidi"/>
          <w:b w:val="0"/>
          <w:caps w:val="0"/>
          <w:color w:val="auto"/>
          <w:szCs w:val="22"/>
          <w:lang w:val="de-DE" w:eastAsia="ko-KR"/>
        </w:rPr>
      </w:pPr>
      <w:r w:rsidRPr="00E1012C">
        <w:rPr>
          <w:lang w:val="de-DE"/>
        </w:rPr>
        <w:t>ABSCHNITT 9 – Zusätzliche Bestimmungen</w:t>
      </w:r>
      <w:r w:rsidRPr="00D244F0">
        <w:rPr>
          <w:lang w:val="de-DE"/>
        </w:rPr>
        <w:tab/>
      </w:r>
      <w:r>
        <w:fldChar w:fldCharType="begin"/>
      </w:r>
      <w:r w:rsidRPr="00D244F0">
        <w:rPr>
          <w:lang w:val="de-DE"/>
        </w:rPr>
        <w:instrText xml:space="preserve"> PAGEREF _Toc354054946 \h </w:instrText>
      </w:r>
      <w:r>
        <w:fldChar w:fldCharType="separate"/>
      </w:r>
      <w:r w:rsidR="000B627C">
        <w:rPr>
          <w:lang w:val="de-DE"/>
        </w:rPr>
        <w:t>105</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Client-Zugriffslizenzen (Client Access Licenses, CALs) und Client-Management-Lizenzen (MLs)</w:t>
      </w:r>
      <w:r w:rsidRPr="00D244F0">
        <w:rPr>
          <w:lang w:val="de-DE"/>
        </w:rPr>
        <w:tab/>
      </w:r>
      <w:r>
        <w:fldChar w:fldCharType="begin"/>
      </w:r>
      <w:r w:rsidRPr="00D244F0">
        <w:rPr>
          <w:lang w:val="de-DE"/>
        </w:rPr>
        <w:instrText xml:space="preserve"> PAGEREF _Toc354054947 \h </w:instrText>
      </w:r>
      <w:r>
        <w:fldChar w:fldCharType="separate"/>
      </w:r>
      <w:r w:rsidR="000B627C">
        <w:rPr>
          <w:lang w:val="de-DE"/>
        </w:rPr>
        <w:t>105</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Beschränkungen durch „EI Controls“</w:t>
      </w:r>
      <w:r w:rsidRPr="00D244F0">
        <w:rPr>
          <w:lang w:val="de-DE"/>
        </w:rPr>
        <w:tab/>
      </w:r>
      <w:r>
        <w:fldChar w:fldCharType="begin"/>
      </w:r>
      <w:r w:rsidRPr="00D244F0">
        <w:rPr>
          <w:lang w:val="de-DE"/>
        </w:rPr>
        <w:instrText xml:space="preserve"> PAGEREF _Toc354054948 \h </w:instrText>
      </w:r>
      <w:r>
        <w:fldChar w:fldCharType="separate"/>
      </w:r>
      <w:r w:rsidR="000B627C">
        <w:rPr>
          <w:lang w:val="de-DE"/>
        </w:rPr>
        <w:t>105</w:t>
      </w:r>
      <w:r>
        <w:fldChar w:fldCharType="end"/>
      </w:r>
    </w:p>
    <w:p w:rsidR="00B7356C" w:rsidRPr="00D244F0" w:rsidRDefault="00B7356C" w:rsidP="008F06E8">
      <w:pPr>
        <w:pStyle w:val="TOC3"/>
        <w:rPr>
          <w:rFonts w:asciiTheme="minorHAnsi" w:eastAsia="Batang" w:hAnsiTheme="minorHAnsi" w:cstheme="minorBidi"/>
          <w:color w:val="auto"/>
          <w:sz w:val="22"/>
          <w:szCs w:val="22"/>
          <w:lang w:val="de-DE" w:eastAsia="ko-KR"/>
        </w:rPr>
      </w:pPr>
      <w:r w:rsidRPr="00E1012C">
        <w:rPr>
          <w:lang w:val="de-DE"/>
        </w:rPr>
        <w:t xml:space="preserve">Multi Language Packs (MLPs), mehrsprachige Benutzeroberflächen (Multilanguage User Interface, MUIs) </w:t>
      </w:r>
      <w:r w:rsidR="00BD0F44">
        <w:rPr>
          <w:lang w:val="de-DE"/>
        </w:rPr>
        <w:br/>
      </w:r>
      <w:r w:rsidRPr="00E1012C">
        <w:rPr>
          <w:lang w:val="de-DE"/>
        </w:rPr>
        <w:t>und neue Sprachrechte</w:t>
      </w:r>
      <w:r w:rsidRPr="00D244F0">
        <w:rPr>
          <w:lang w:val="de-DE"/>
        </w:rPr>
        <w:tab/>
      </w:r>
      <w:r>
        <w:fldChar w:fldCharType="begin"/>
      </w:r>
      <w:r w:rsidRPr="00D244F0">
        <w:rPr>
          <w:lang w:val="de-DE"/>
        </w:rPr>
        <w:instrText xml:space="preserve"> PAGEREF _Toc354054949 \h </w:instrText>
      </w:r>
      <w:r>
        <w:fldChar w:fldCharType="separate"/>
      </w:r>
      <w:r w:rsidR="000B627C">
        <w:rPr>
          <w:lang w:val="de-DE"/>
        </w:rPr>
        <w:t>106</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Plattformunabhängige Lizenzen</w:t>
      </w:r>
      <w:r w:rsidRPr="00D244F0">
        <w:rPr>
          <w:lang w:val="de-DE"/>
        </w:rPr>
        <w:tab/>
      </w:r>
      <w:r>
        <w:fldChar w:fldCharType="begin"/>
      </w:r>
      <w:r w:rsidRPr="00D244F0">
        <w:rPr>
          <w:lang w:val="de-DE"/>
        </w:rPr>
        <w:instrText xml:space="preserve"> PAGEREF _Toc354054950 \h </w:instrText>
      </w:r>
      <w:r>
        <w:fldChar w:fldCharType="separate"/>
      </w:r>
      <w:r w:rsidR="000B627C">
        <w:rPr>
          <w:lang w:val="de-DE"/>
        </w:rPr>
        <w:t>106</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Volumenlizenz-Product Keys</w:t>
      </w:r>
      <w:r w:rsidRPr="00D244F0">
        <w:rPr>
          <w:lang w:val="de-DE"/>
        </w:rPr>
        <w:tab/>
      </w:r>
      <w:r>
        <w:fldChar w:fldCharType="begin"/>
      </w:r>
      <w:r w:rsidRPr="00D244F0">
        <w:rPr>
          <w:lang w:val="de-DE"/>
        </w:rPr>
        <w:instrText xml:space="preserve"> PAGEREF _Toc354054951 \h </w:instrText>
      </w:r>
      <w:r>
        <w:fldChar w:fldCharType="separate"/>
      </w:r>
      <w:r w:rsidR="000B627C">
        <w:rPr>
          <w:lang w:val="de-DE"/>
        </w:rPr>
        <w:t>107</w:t>
      </w:r>
      <w:r>
        <w:fldChar w:fldCharType="end"/>
      </w:r>
    </w:p>
    <w:p w:rsidR="00B7356C" w:rsidRPr="00D244F0" w:rsidRDefault="00B7356C">
      <w:pPr>
        <w:pStyle w:val="TOC1"/>
        <w:rPr>
          <w:rFonts w:asciiTheme="minorHAnsi" w:eastAsia="Batang" w:hAnsiTheme="minorHAnsi" w:cstheme="minorBidi"/>
          <w:b w:val="0"/>
          <w:caps w:val="0"/>
          <w:color w:val="auto"/>
          <w:szCs w:val="22"/>
          <w:lang w:val="de-DE" w:eastAsia="ko-KR"/>
        </w:rPr>
      </w:pPr>
      <w:r w:rsidRPr="00E1012C">
        <w:rPr>
          <w:lang w:val="de-DE"/>
        </w:rPr>
        <w:t>ProduktHINWEISE</w:t>
      </w:r>
      <w:r w:rsidRPr="00D244F0">
        <w:rPr>
          <w:lang w:val="de-DE"/>
        </w:rPr>
        <w:tab/>
      </w:r>
      <w:r>
        <w:fldChar w:fldCharType="begin"/>
      </w:r>
      <w:r w:rsidRPr="00D244F0">
        <w:rPr>
          <w:lang w:val="de-DE"/>
        </w:rPr>
        <w:instrText xml:space="preserve"> PAGEREF _Toc354054952 \h </w:instrText>
      </w:r>
      <w:r>
        <w:fldChar w:fldCharType="separate"/>
      </w:r>
      <w:r w:rsidR="000B627C">
        <w:rPr>
          <w:lang w:val="de-DE"/>
        </w:rPr>
        <w:t>108</w:t>
      </w:r>
      <w:r>
        <w:fldChar w:fldCharType="end"/>
      </w:r>
    </w:p>
    <w:p w:rsidR="00B7356C" w:rsidRPr="00D244F0" w:rsidRDefault="00B7356C">
      <w:pPr>
        <w:pStyle w:val="TOC2"/>
        <w:rPr>
          <w:rFonts w:asciiTheme="minorHAnsi" w:eastAsia="Batang" w:hAnsiTheme="minorHAnsi" w:cstheme="minorBidi"/>
          <w:sz w:val="22"/>
          <w:szCs w:val="22"/>
          <w:lang w:val="de-DE" w:eastAsia="ko-KR"/>
        </w:rPr>
      </w:pPr>
      <w:r w:rsidRPr="00E1012C">
        <w:rPr>
          <w:rFonts w:cs="Tahoma"/>
          <w:lang w:val="de-DE"/>
        </w:rPr>
        <w:t>Anwendungs-Pool</w:t>
      </w:r>
      <w:r w:rsidRPr="00D244F0">
        <w:rPr>
          <w:lang w:val="de-DE"/>
        </w:rPr>
        <w:tab/>
      </w:r>
      <w:r>
        <w:fldChar w:fldCharType="begin"/>
      </w:r>
      <w:r w:rsidRPr="00D244F0">
        <w:rPr>
          <w:lang w:val="de-DE"/>
        </w:rPr>
        <w:instrText xml:space="preserve"> PAGEREF _Toc354054953 \h </w:instrText>
      </w:r>
      <w:r>
        <w:fldChar w:fldCharType="separate"/>
      </w:r>
      <w:r w:rsidR="000B627C">
        <w:rPr>
          <w:lang w:val="de-DE"/>
        </w:rPr>
        <w:t>108</w:t>
      </w:r>
      <w:r>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1</w:t>
      </w:r>
      <w:r w:rsidRPr="00BD0F44">
        <w:rPr>
          <w:lang w:val="de-DE"/>
        </w:rPr>
        <w:t xml:space="preserve"> Expression Encoder Pro 4</w:t>
      </w:r>
      <w:r w:rsidRPr="00D244F0">
        <w:rPr>
          <w:lang w:val="de-DE"/>
        </w:rPr>
        <w:tab/>
      </w:r>
      <w:r w:rsidRPr="00BD0F44">
        <w:fldChar w:fldCharType="begin"/>
      </w:r>
      <w:r w:rsidRPr="00D244F0">
        <w:rPr>
          <w:lang w:val="de-DE"/>
        </w:rPr>
        <w:instrText xml:space="preserve"> PAGEREF _Toc354054954 \h </w:instrText>
      </w:r>
      <w:r w:rsidRPr="00BD0F44">
        <w:fldChar w:fldCharType="separate"/>
      </w:r>
      <w:r w:rsidR="000B627C">
        <w:rPr>
          <w:lang w:val="de-DE"/>
        </w:rPr>
        <w:t>108</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2</w:t>
      </w:r>
      <w:r w:rsidRPr="00BD0F44">
        <w:rPr>
          <w:lang w:val="de-DE"/>
        </w:rPr>
        <w:t xml:space="preserve"> Lync für Mac 2011</w:t>
      </w:r>
      <w:r w:rsidRPr="00D244F0">
        <w:rPr>
          <w:lang w:val="de-DE"/>
        </w:rPr>
        <w:tab/>
      </w:r>
      <w:r w:rsidRPr="00BD0F44">
        <w:fldChar w:fldCharType="begin"/>
      </w:r>
      <w:r w:rsidRPr="00D244F0">
        <w:rPr>
          <w:lang w:val="de-DE"/>
        </w:rPr>
        <w:instrText xml:space="preserve"> PAGEREF _Toc354054955 \h </w:instrText>
      </w:r>
      <w:r w:rsidRPr="00BD0F44">
        <w:fldChar w:fldCharType="separate"/>
      </w:r>
      <w:r w:rsidR="000B627C">
        <w:rPr>
          <w:lang w:val="de-DE"/>
        </w:rPr>
        <w:t>108</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3</w:t>
      </w:r>
      <w:r w:rsidRPr="00BD0F44">
        <w:rPr>
          <w:lang w:val="de-DE"/>
        </w:rPr>
        <w:t xml:space="preserve"> MSDN-Betriebssysteme</w:t>
      </w:r>
      <w:r w:rsidRPr="00D244F0">
        <w:rPr>
          <w:lang w:val="de-DE"/>
        </w:rPr>
        <w:tab/>
      </w:r>
      <w:r w:rsidRPr="00BD0F44">
        <w:fldChar w:fldCharType="begin"/>
      </w:r>
      <w:r w:rsidRPr="00D244F0">
        <w:rPr>
          <w:lang w:val="de-DE"/>
        </w:rPr>
        <w:instrText xml:space="preserve"> PAGEREF _Toc354054956 \h </w:instrText>
      </w:r>
      <w:r w:rsidRPr="00BD0F44">
        <w:fldChar w:fldCharType="separate"/>
      </w:r>
      <w:r w:rsidR="000B627C">
        <w:rPr>
          <w:lang w:val="de-DE"/>
        </w:rPr>
        <w:t>108</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caps/>
          <w:vertAlign w:val="superscript"/>
        </w:rPr>
        <w:t>4</w:t>
      </w:r>
      <w:r w:rsidRPr="00BD0F44">
        <w:t xml:space="preserve"> </w:t>
      </w:r>
      <w:r w:rsidRPr="00BD0F44">
        <w:rPr>
          <w:rFonts w:cs="Tahoma"/>
        </w:rPr>
        <w:t>Office 365 Education A2-A4 (Nutzer-AL)</w:t>
      </w:r>
      <w:r w:rsidRPr="00BD0F44">
        <w:tab/>
      </w:r>
      <w:r w:rsidRPr="00BD0F44">
        <w:fldChar w:fldCharType="begin"/>
      </w:r>
      <w:r w:rsidRPr="00BD0F44">
        <w:instrText xml:space="preserve"> PAGEREF _Toc354054957 \h </w:instrText>
      </w:r>
      <w:r w:rsidRPr="00BD0F44">
        <w:fldChar w:fldCharType="separate"/>
      </w:r>
      <w:r w:rsidR="000B627C">
        <w:t>109</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caps/>
          <w:vertAlign w:val="superscript"/>
        </w:rPr>
        <w:t>5</w:t>
      </w:r>
      <w:r w:rsidRPr="00D244F0">
        <w:rPr>
          <w:rFonts w:cs="Tahoma"/>
        </w:rPr>
        <w:t xml:space="preserve"> Office 365 Midsize Business</w:t>
      </w:r>
      <w:r w:rsidRPr="00BD0F44">
        <w:tab/>
      </w:r>
      <w:r w:rsidRPr="00BD0F44">
        <w:fldChar w:fldCharType="begin"/>
      </w:r>
      <w:r w:rsidRPr="00BD0F44">
        <w:instrText xml:space="preserve"> PAGEREF _Toc354054958 \h </w:instrText>
      </w:r>
      <w:r w:rsidRPr="00BD0F44">
        <w:fldChar w:fldCharType="separate"/>
      </w:r>
      <w:r w:rsidR="000B627C">
        <w:t>110</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caps/>
          <w:vertAlign w:val="superscript"/>
        </w:rPr>
        <w:t xml:space="preserve">6 </w:t>
      </w:r>
      <w:r w:rsidRPr="00D244F0">
        <w:rPr>
          <w:rFonts w:cs="Tahoma"/>
        </w:rPr>
        <w:t>Office 365 Enterprise E2-E4</w:t>
      </w:r>
      <w:r w:rsidRPr="00BD0F44">
        <w:tab/>
      </w:r>
      <w:r w:rsidRPr="00BD0F44">
        <w:fldChar w:fldCharType="begin"/>
      </w:r>
      <w:r w:rsidRPr="00BD0F44">
        <w:instrText xml:space="preserve"> PAGEREF _Toc354054959 \h </w:instrText>
      </w:r>
      <w:r w:rsidRPr="00BD0F44">
        <w:fldChar w:fldCharType="separate"/>
      </w:r>
      <w:r w:rsidR="000B627C">
        <w:t>110</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BD0F44">
        <w:rPr>
          <w:caps/>
          <w:vertAlign w:val="superscript"/>
        </w:rPr>
        <w:t xml:space="preserve">7 </w:t>
      </w:r>
      <w:r w:rsidRPr="00BD0F44">
        <w:t>Office für Mac Standard 2011</w:t>
      </w:r>
      <w:r w:rsidRPr="00BD0F44">
        <w:tab/>
      </w:r>
      <w:r w:rsidRPr="00BD0F44">
        <w:fldChar w:fldCharType="begin"/>
      </w:r>
      <w:r w:rsidRPr="00BD0F44">
        <w:instrText xml:space="preserve"> PAGEREF _Toc354054960 \h </w:instrText>
      </w:r>
      <w:r w:rsidRPr="00BD0F44">
        <w:fldChar w:fldCharType="separate"/>
      </w:r>
      <w:r w:rsidR="000B627C">
        <w:t>111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8</w:t>
      </w:r>
      <w:r w:rsidRPr="00D244F0">
        <w:t xml:space="preserve"> Office Multi-Language Pack 2013</w:t>
      </w:r>
      <w:r w:rsidRPr="00BD0F44">
        <w:tab/>
      </w:r>
      <w:r w:rsidRPr="00BD0F44">
        <w:fldChar w:fldCharType="begin"/>
      </w:r>
      <w:r w:rsidRPr="00BD0F44">
        <w:instrText xml:space="preserve"> PAGEREF _Toc354054961 \h </w:instrText>
      </w:r>
      <w:r w:rsidRPr="00BD0F44">
        <w:fldChar w:fldCharType="separate"/>
      </w:r>
      <w:r w:rsidR="000B627C">
        <w:t>111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BD0F44">
        <w:rPr>
          <w:caps/>
          <w:vertAlign w:val="superscript"/>
        </w:rPr>
        <w:t>9</w:t>
      </w:r>
      <w:r w:rsidRPr="00BD0F44">
        <w:t xml:space="preserve"> Office Professional Plus 2013</w:t>
      </w:r>
      <w:r w:rsidRPr="00BD0F44">
        <w:tab/>
      </w:r>
      <w:r w:rsidRPr="00BD0F44">
        <w:fldChar w:fldCharType="begin"/>
      </w:r>
      <w:r w:rsidRPr="00BD0F44">
        <w:instrText xml:space="preserve"> PAGEREF _Toc354054962 \h </w:instrText>
      </w:r>
      <w:r w:rsidRPr="00BD0F44">
        <w:fldChar w:fldCharType="separate"/>
      </w:r>
      <w:r w:rsidR="000B627C">
        <w:t>111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BD0F44">
        <w:rPr>
          <w:caps/>
          <w:vertAlign w:val="superscript"/>
        </w:rPr>
        <w:t>10</w:t>
      </w:r>
      <w:r w:rsidRPr="00BD0F44">
        <w:t xml:space="preserve"> Office Standard 2013</w:t>
      </w:r>
      <w:r w:rsidRPr="00BD0F44">
        <w:tab/>
      </w:r>
      <w:r w:rsidRPr="00BD0F44">
        <w:fldChar w:fldCharType="begin"/>
      </w:r>
      <w:r w:rsidRPr="00BD0F44">
        <w:instrText xml:space="preserve"> PAGEREF _Toc354054963 \h </w:instrText>
      </w:r>
      <w:r w:rsidRPr="00BD0F44">
        <w:fldChar w:fldCharType="separate"/>
      </w:r>
      <w:r w:rsidR="000B627C">
        <w:t>112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11</w:t>
      </w:r>
      <w:r w:rsidRPr="00D244F0">
        <w:t xml:space="preserve"> Office 365 ProPlus (Nutzer-AL)</w:t>
      </w:r>
      <w:r w:rsidRPr="00BD0F44">
        <w:tab/>
      </w:r>
      <w:r w:rsidRPr="00BD0F44">
        <w:fldChar w:fldCharType="begin"/>
      </w:r>
      <w:r w:rsidRPr="00BD0F44">
        <w:instrText xml:space="preserve"> PAGEREF _Toc354054964 \h </w:instrText>
      </w:r>
      <w:r w:rsidRPr="00BD0F44">
        <w:fldChar w:fldCharType="separate"/>
      </w:r>
      <w:r w:rsidR="000B627C">
        <w:t>112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12</w:t>
      </w:r>
      <w:r w:rsidRPr="00D244F0">
        <w:t xml:space="preserve"> Outlook für Mac 2011</w:t>
      </w:r>
      <w:r w:rsidRPr="00BD0F44">
        <w:tab/>
      </w:r>
      <w:r w:rsidRPr="00BD0F44">
        <w:fldChar w:fldCharType="begin"/>
      </w:r>
      <w:r w:rsidRPr="00BD0F44">
        <w:instrText xml:space="preserve"> PAGEREF _Toc354054965 \h </w:instrText>
      </w:r>
      <w:r w:rsidRPr="00BD0F44">
        <w:fldChar w:fldCharType="separate"/>
      </w:r>
      <w:r w:rsidR="000B627C">
        <w:t>113</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13</w:t>
      </w:r>
      <w:r w:rsidRPr="00D244F0">
        <w:t xml:space="preserve"> Project 2013 Professional</w:t>
      </w:r>
      <w:r w:rsidRPr="00BD0F44">
        <w:tab/>
      </w:r>
      <w:r w:rsidRPr="00BD0F44">
        <w:fldChar w:fldCharType="begin"/>
      </w:r>
      <w:r w:rsidRPr="00BD0F44">
        <w:instrText xml:space="preserve"> PAGEREF _Toc354054966 \h </w:instrText>
      </w:r>
      <w:r w:rsidRPr="00BD0F44">
        <w:fldChar w:fldCharType="separate"/>
      </w:r>
      <w:r w:rsidR="000B627C">
        <w:t>113</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14</w:t>
      </w:r>
      <w:r w:rsidRPr="00D244F0">
        <w:t xml:space="preserve"> Project Pro für Office 365</w:t>
      </w:r>
      <w:r w:rsidRPr="00BD0F44">
        <w:tab/>
      </w:r>
      <w:r w:rsidRPr="00BD0F44">
        <w:fldChar w:fldCharType="begin"/>
      </w:r>
      <w:r w:rsidRPr="00BD0F44">
        <w:instrText xml:space="preserve"> PAGEREF _Toc354054967 \h </w:instrText>
      </w:r>
      <w:r w:rsidRPr="00BD0F44">
        <w:fldChar w:fldCharType="separate"/>
      </w:r>
      <w:r w:rsidR="000B627C">
        <w:t>113</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15</w:t>
      </w:r>
      <w:r w:rsidRPr="00BD0F44">
        <w:rPr>
          <w:lang w:val="de-DE"/>
        </w:rPr>
        <w:t xml:space="preserve"> Vermietungsrechte für Office</w:t>
      </w:r>
      <w:r w:rsidRPr="00D244F0">
        <w:rPr>
          <w:lang w:val="de-DE"/>
        </w:rPr>
        <w:tab/>
      </w:r>
      <w:r w:rsidRPr="00BD0F44">
        <w:fldChar w:fldCharType="begin"/>
      </w:r>
      <w:r w:rsidRPr="00D244F0">
        <w:rPr>
          <w:lang w:val="de-DE"/>
        </w:rPr>
        <w:instrText xml:space="preserve"> PAGEREF _Toc354054968 \h </w:instrText>
      </w:r>
      <w:r w:rsidRPr="00BD0F44">
        <w:fldChar w:fldCharType="separate"/>
      </w:r>
      <w:r w:rsidR="000B627C">
        <w:rPr>
          <w:lang w:val="de-DE"/>
        </w:rPr>
        <w:t>114</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 xml:space="preserve">16 </w:t>
      </w:r>
      <w:r w:rsidRPr="00BD0F44">
        <w:rPr>
          <w:lang w:val="de-DE"/>
        </w:rPr>
        <w:t>Vexcel Desktop mit erweitertem Inhaltspaket</w:t>
      </w:r>
      <w:r w:rsidRPr="00D244F0">
        <w:rPr>
          <w:lang w:val="de-DE"/>
        </w:rPr>
        <w:tab/>
      </w:r>
      <w:r w:rsidRPr="00BD0F44">
        <w:fldChar w:fldCharType="begin"/>
      </w:r>
      <w:r w:rsidRPr="00D244F0">
        <w:rPr>
          <w:lang w:val="de-DE"/>
        </w:rPr>
        <w:instrText xml:space="preserve"> PAGEREF _Toc354054969 \h </w:instrText>
      </w:r>
      <w:r w:rsidRPr="00BD0F44">
        <w:fldChar w:fldCharType="separate"/>
      </w:r>
      <w:r w:rsidR="000B627C">
        <w:rPr>
          <w:lang w:val="de-DE"/>
        </w:rPr>
        <w:t>114</w:t>
      </w:r>
      <w:r w:rsidRPr="00BD0F44">
        <w:fldChar w:fldCharType="end"/>
      </w:r>
    </w:p>
    <w:p w:rsidR="00B7356C" w:rsidRPr="00D244F0" w:rsidRDefault="00B7356C" w:rsidP="008F06E8">
      <w:pPr>
        <w:pStyle w:val="TOC3"/>
        <w:rPr>
          <w:rFonts w:asciiTheme="minorHAnsi" w:eastAsia="Batang" w:hAnsiTheme="minorHAnsi" w:cstheme="minorBidi"/>
          <w:sz w:val="22"/>
          <w:szCs w:val="22"/>
          <w:lang w:val="it-IT" w:eastAsia="ko-KR"/>
        </w:rPr>
      </w:pPr>
      <w:r w:rsidRPr="00D244F0">
        <w:rPr>
          <w:caps/>
          <w:vertAlign w:val="superscript"/>
          <w:lang w:val="it-IT"/>
        </w:rPr>
        <w:t>17</w:t>
      </w:r>
      <w:r w:rsidRPr="00D244F0">
        <w:rPr>
          <w:lang w:val="it-IT"/>
        </w:rPr>
        <w:t xml:space="preserve"> Visio Professional 2013</w:t>
      </w:r>
      <w:r w:rsidRPr="00D244F0">
        <w:rPr>
          <w:lang w:val="it-IT"/>
        </w:rPr>
        <w:tab/>
      </w:r>
      <w:r w:rsidRPr="00BD0F44">
        <w:fldChar w:fldCharType="begin"/>
      </w:r>
      <w:r w:rsidRPr="00D244F0">
        <w:rPr>
          <w:lang w:val="it-IT"/>
        </w:rPr>
        <w:instrText xml:space="preserve"> PAGEREF _Toc354054970 \h </w:instrText>
      </w:r>
      <w:r w:rsidRPr="00BD0F44">
        <w:fldChar w:fldCharType="separate"/>
      </w:r>
      <w:r w:rsidR="000B627C">
        <w:rPr>
          <w:lang w:val="it-IT"/>
        </w:rPr>
        <w:t>115</w:t>
      </w:r>
      <w:r w:rsidRPr="00BD0F44">
        <w:fldChar w:fldCharType="end"/>
      </w:r>
    </w:p>
    <w:p w:rsidR="00B7356C" w:rsidRPr="00D244F0" w:rsidRDefault="00B7356C" w:rsidP="008F06E8">
      <w:pPr>
        <w:pStyle w:val="TOC3"/>
        <w:rPr>
          <w:rFonts w:asciiTheme="minorHAnsi" w:eastAsia="Batang" w:hAnsiTheme="minorHAnsi" w:cstheme="minorBidi"/>
          <w:sz w:val="22"/>
          <w:szCs w:val="22"/>
          <w:lang w:val="it-IT" w:eastAsia="ko-KR"/>
        </w:rPr>
      </w:pPr>
      <w:r w:rsidRPr="00D244F0">
        <w:rPr>
          <w:caps/>
          <w:vertAlign w:val="superscript"/>
          <w:lang w:val="it-IT"/>
        </w:rPr>
        <w:t>18</w:t>
      </w:r>
      <w:r w:rsidRPr="00D244F0">
        <w:rPr>
          <w:lang w:val="it-IT"/>
        </w:rPr>
        <w:t xml:space="preserve"> Visio Pro für Office 365</w:t>
      </w:r>
      <w:r w:rsidRPr="00D244F0">
        <w:rPr>
          <w:lang w:val="it-IT"/>
        </w:rPr>
        <w:tab/>
      </w:r>
      <w:r w:rsidRPr="00BD0F44">
        <w:fldChar w:fldCharType="begin"/>
      </w:r>
      <w:r w:rsidRPr="00D244F0">
        <w:rPr>
          <w:lang w:val="it-IT"/>
        </w:rPr>
        <w:instrText xml:space="preserve"> PAGEREF _Toc354054971 \h </w:instrText>
      </w:r>
      <w:r w:rsidRPr="00BD0F44">
        <w:fldChar w:fldCharType="separate"/>
      </w:r>
      <w:r w:rsidR="000B627C">
        <w:rPr>
          <w:lang w:val="it-IT"/>
        </w:rPr>
        <w:t>115</w:t>
      </w:r>
      <w:r w:rsidRPr="00BD0F44">
        <w:fldChar w:fldCharType="end"/>
      </w:r>
    </w:p>
    <w:p w:rsidR="00B7356C" w:rsidRPr="00D244F0" w:rsidRDefault="00B7356C" w:rsidP="008F06E8">
      <w:pPr>
        <w:pStyle w:val="TOC3"/>
        <w:rPr>
          <w:rFonts w:asciiTheme="minorHAnsi" w:eastAsia="Batang" w:hAnsiTheme="minorHAnsi" w:cstheme="minorBidi"/>
          <w:sz w:val="22"/>
          <w:szCs w:val="22"/>
          <w:lang w:val="it-IT" w:eastAsia="ko-KR"/>
        </w:rPr>
      </w:pPr>
      <w:r w:rsidRPr="00D244F0">
        <w:rPr>
          <w:caps/>
          <w:vertAlign w:val="superscript"/>
          <w:lang w:val="it-IT"/>
        </w:rPr>
        <w:t>19</w:t>
      </w:r>
      <w:r w:rsidRPr="00D244F0">
        <w:rPr>
          <w:lang w:val="it-IT"/>
        </w:rPr>
        <w:t xml:space="preserve"> Visual Studio Professional 2012</w:t>
      </w:r>
      <w:r w:rsidRPr="00D244F0">
        <w:rPr>
          <w:lang w:val="it-IT"/>
        </w:rPr>
        <w:tab/>
      </w:r>
      <w:r w:rsidRPr="00BD0F44">
        <w:fldChar w:fldCharType="begin"/>
      </w:r>
      <w:r w:rsidRPr="00D244F0">
        <w:rPr>
          <w:lang w:val="it-IT"/>
        </w:rPr>
        <w:instrText xml:space="preserve"> PAGEREF _Toc354054972 \h </w:instrText>
      </w:r>
      <w:r w:rsidRPr="00BD0F44">
        <w:fldChar w:fldCharType="separate"/>
      </w:r>
      <w:r w:rsidR="000B627C">
        <w:rPr>
          <w:lang w:val="it-IT"/>
        </w:rPr>
        <w:t>115</w:t>
      </w:r>
      <w:r w:rsidRPr="00BD0F44">
        <w:fldChar w:fldCharType="end"/>
      </w:r>
    </w:p>
    <w:p w:rsidR="00B7356C" w:rsidRPr="00D244F0" w:rsidRDefault="00B7356C" w:rsidP="008F06E8">
      <w:pPr>
        <w:pStyle w:val="TOC3"/>
        <w:rPr>
          <w:rFonts w:asciiTheme="minorHAnsi" w:eastAsia="Batang" w:hAnsiTheme="minorHAnsi" w:cstheme="minorBidi"/>
          <w:sz w:val="22"/>
          <w:szCs w:val="22"/>
          <w:lang w:val="it-IT" w:eastAsia="ko-KR"/>
        </w:rPr>
      </w:pPr>
      <w:r w:rsidRPr="00D244F0">
        <w:rPr>
          <w:caps/>
          <w:vertAlign w:val="superscript"/>
          <w:lang w:val="it-IT"/>
        </w:rPr>
        <w:t>20</w:t>
      </w:r>
      <w:r w:rsidRPr="00D244F0">
        <w:rPr>
          <w:lang w:val="it-IT"/>
        </w:rPr>
        <w:t xml:space="preserve"> Visual Studio Professional 2012 mit MSDN</w:t>
      </w:r>
      <w:r w:rsidRPr="00D244F0">
        <w:rPr>
          <w:lang w:val="it-IT"/>
        </w:rPr>
        <w:tab/>
      </w:r>
      <w:r w:rsidRPr="00BD0F44">
        <w:fldChar w:fldCharType="begin"/>
      </w:r>
      <w:r w:rsidRPr="00D244F0">
        <w:rPr>
          <w:lang w:val="it-IT"/>
        </w:rPr>
        <w:instrText xml:space="preserve"> PAGEREF _Toc354054973 \h </w:instrText>
      </w:r>
      <w:r w:rsidRPr="00BD0F44">
        <w:fldChar w:fldCharType="separate"/>
      </w:r>
      <w:r w:rsidR="000B627C">
        <w:rPr>
          <w:lang w:val="it-IT"/>
        </w:rPr>
        <w:t>116</w:t>
      </w:r>
      <w:r w:rsidRPr="00BD0F44">
        <w:fldChar w:fldCharType="end"/>
      </w:r>
    </w:p>
    <w:p w:rsidR="00B7356C" w:rsidRPr="00D244F0" w:rsidRDefault="00B7356C" w:rsidP="008F06E8">
      <w:pPr>
        <w:pStyle w:val="TOC3"/>
        <w:rPr>
          <w:rFonts w:asciiTheme="minorHAnsi" w:eastAsia="Batang" w:hAnsiTheme="minorHAnsi" w:cstheme="minorBidi"/>
          <w:sz w:val="22"/>
          <w:szCs w:val="22"/>
          <w:lang w:val="it-IT" w:eastAsia="ko-KR"/>
        </w:rPr>
      </w:pPr>
      <w:r w:rsidRPr="00D244F0">
        <w:rPr>
          <w:caps/>
          <w:vertAlign w:val="superscript"/>
          <w:lang w:val="it-IT"/>
        </w:rPr>
        <w:t>21</w:t>
      </w:r>
      <w:r w:rsidRPr="00D244F0">
        <w:rPr>
          <w:lang w:val="it-IT"/>
        </w:rPr>
        <w:t xml:space="preserve"> Visual Studio Premium 2012 mit MSDN</w:t>
      </w:r>
      <w:r w:rsidRPr="00D244F0">
        <w:rPr>
          <w:lang w:val="it-IT"/>
        </w:rPr>
        <w:tab/>
      </w:r>
      <w:r w:rsidRPr="00BD0F44">
        <w:fldChar w:fldCharType="begin"/>
      </w:r>
      <w:r w:rsidRPr="00D244F0">
        <w:rPr>
          <w:lang w:val="it-IT"/>
        </w:rPr>
        <w:instrText xml:space="preserve"> PAGEREF _Toc354054974 \h </w:instrText>
      </w:r>
      <w:r w:rsidRPr="00BD0F44">
        <w:fldChar w:fldCharType="separate"/>
      </w:r>
      <w:r w:rsidR="000B627C">
        <w:rPr>
          <w:lang w:val="it-IT"/>
        </w:rPr>
        <w:t>117</w:t>
      </w:r>
      <w:r w:rsidRPr="00BD0F44">
        <w:fldChar w:fldCharType="end"/>
      </w:r>
    </w:p>
    <w:p w:rsidR="00B7356C" w:rsidRPr="00D244F0" w:rsidRDefault="00B7356C" w:rsidP="008F06E8">
      <w:pPr>
        <w:pStyle w:val="TOC3"/>
        <w:rPr>
          <w:rFonts w:asciiTheme="minorHAnsi" w:eastAsia="Batang" w:hAnsiTheme="minorHAnsi" w:cstheme="minorBidi"/>
          <w:sz w:val="22"/>
          <w:szCs w:val="22"/>
          <w:lang w:val="it-IT" w:eastAsia="ko-KR"/>
        </w:rPr>
      </w:pPr>
      <w:r w:rsidRPr="00D244F0">
        <w:rPr>
          <w:caps/>
          <w:vertAlign w:val="superscript"/>
          <w:lang w:val="it-IT"/>
        </w:rPr>
        <w:t>22</w:t>
      </w:r>
      <w:r w:rsidRPr="00D244F0">
        <w:rPr>
          <w:lang w:val="it-IT"/>
        </w:rPr>
        <w:t xml:space="preserve"> Visual Studio Ultimate 2012 mit MSDN</w:t>
      </w:r>
      <w:r w:rsidRPr="00D244F0">
        <w:rPr>
          <w:lang w:val="it-IT"/>
        </w:rPr>
        <w:tab/>
      </w:r>
      <w:r w:rsidRPr="00BD0F44">
        <w:fldChar w:fldCharType="begin"/>
      </w:r>
      <w:r w:rsidRPr="00D244F0">
        <w:rPr>
          <w:lang w:val="it-IT"/>
        </w:rPr>
        <w:instrText xml:space="preserve"> PAGEREF _Toc354054975 \h </w:instrText>
      </w:r>
      <w:r w:rsidRPr="00BD0F44">
        <w:fldChar w:fldCharType="separate"/>
      </w:r>
      <w:r w:rsidR="000B627C">
        <w:rPr>
          <w:lang w:val="it-IT"/>
        </w:rPr>
        <w:t>118</w:t>
      </w:r>
      <w:r w:rsidRPr="00BD0F44">
        <w:fldChar w:fldCharType="end"/>
      </w:r>
    </w:p>
    <w:p w:rsidR="00B7356C" w:rsidRPr="00D244F0" w:rsidRDefault="00B7356C" w:rsidP="008F06E8">
      <w:pPr>
        <w:pStyle w:val="TOC3"/>
        <w:rPr>
          <w:rFonts w:asciiTheme="minorHAnsi" w:eastAsia="Batang" w:hAnsiTheme="minorHAnsi" w:cstheme="minorBidi"/>
          <w:sz w:val="22"/>
          <w:szCs w:val="22"/>
          <w:lang w:val="it-IT" w:eastAsia="ko-KR"/>
        </w:rPr>
      </w:pPr>
      <w:r w:rsidRPr="00D244F0">
        <w:rPr>
          <w:caps/>
          <w:vertAlign w:val="superscript"/>
          <w:lang w:val="it-IT"/>
        </w:rPr>
        <w:t>23</w:t>
      </w:r>
      <w:r w:rsidRPr="00D244F0">
        <w:rPr>
          <w:lang w:val="it-IT"/>
        </w:rPr>
        <w:t xml:space="preserve"> Visual Studio Test Professional 2012 mit MSDN</w:t>
      </w:r>
      <w:r w:rsidRPr="00D244F0">
        <w:rPr>
          <w:lang w:val="it-IT"/>
        </w:rPr>
        <w:tab/>
      </w:r>
      <w:r w:rsidRPr="00BD0F44">
        <w:fldChar w:fldCharType="begin"/>
      </w:r>
      <w:r w:rsidRPr="00D244F0">
        <w:rPr>
          <w:lang w:val="it-IT"/>
        </w:rPr>
        <w:instrText xml:space="preserve"> PAGEREF _Toc354054976 \h </w:instrText>
      </w:r>
      <w:r w:rsidRPr="00BD0F44">
        <w:fldChar w:fldCharType="separate"/>
      </w:r>
      <w:r w:rsidR="000B627C">
        <w:rPr>
          <w:lang w:val="it-IT"/>
        </w:rPr>
        <w:t>118</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rPr>
        <w:lastRenderedPageBreak/>
        <w:t>System-Pool</w:t>
      </w:r>
      <w:r w:rsidRPr="00BD0F44">
        <w:tab/>
      </w:r>
      <w:r w:rsidRPr="00BD0F44">
        <w:fldChar w:fldCharType="begin"/>
      </w:r>
      <w:r w:rsidRPr="00BD0F44">
        <w:instrText xml:space="preserve"> PAGEREF _Toc354054977 \h </w:instrText>
      </w:r>
      <w:r w:rsidRPr="00BD0F44">
        <w:fldChar w:fldCharType="separate"/>
      </w:r>
      <w:r w:rsidR="000B627C">
        <w:t>120</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24</w:t>
      </w:r>
      <w:r w:rsidRPr="00D244F0">
        <w:t xml:space="preserve"> Microsoft Desktop Optimization Pack für Software Assurance</w:t>
      </w:r>
      <w:r w:rsidRPr="00BD0F44">
        <w:tab/>
      </w:r>
      <w:r w:rsidRPr="00BD0F44">
        <w:fldChar w:fldCharType="begin"/>
      </w:r>
      <w:r w:rsidRPr="00BD0F44">
        <w:instrText xml:space="preserve"> PAGEREF _Toc354054978 \h </w:instrText>
      </w:r>
      <w:r w:rsidRPr="00BD0F44">
        <w:fldChar w:fldCharType="separate"/>
      </w:r>
      <w:r w:rsidR="000B627C">
        <w:t>120</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25 </w:t>
      </w:r>
      <w:r w:rsidRPr="00D244F0">
        <w:t>Windows</w:t>
      </w:r>
      <w:r w:rsidRPr="00D244F0">
        <w:rPr>
          <w:vertAlign w:val="superscript"/>
        </w:rPr>
        <w:t>®</w:t>
      </w:r>
      <w:r w:rsidRPr="00D244F0">
        <w:t xml:space="preserve"> Companion-Abonnementlizenz</w:t>
      </w:r>
      <w:r w:rsidRPr="00BD0F44">
        <w:tab/>
      </w:r>
      <w:r w:rsidRPr="00BD0F44">
        <w:fldChar w:fldCharType="begin"/>
      </w:r>
      <w:r w:rsidRPr="00BD0F44">
        <w:instrText xml:space="preserve"> PAGEREF _Toc354054979 \h </w:instrText>
      </w:r>
      <w:r w:rsidRPr="00BD0F44">
        <w:fldChar w:fldCharType="separate"/>
      </w:r>
      <w:r w:rsidR="000B627C">
        <w:t>121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26</w:t>
      </w:r>
      <w:r w:rsidRPr="00D244F0">
        <w:rPr>
          <w:rFonts w:eastAsia="Times New Roman"/>
        </w:rPr>
        <w:t xml:space="preserve"> Windows Vista DVD Playback Pack</w:t>
      </w:r>
      <w:r w:rsidRPr="00BD0F44">
        <w:tab/>
      </w:r>
      <w:r w:rsidRPr="00BD0F44">
        <w:fldChar w:fldCharType="begin"/>
      </w:r>
      <w:r w:rsidRPr="00BD0F44">
        <w:instrText xml:space="preserve"> PAGEREF _Toc354054980 \h </w:instrText>
      </w:r>
      <w:r w:rsidRPr="00BD0F44">
        <w:fldChar w:fldCharType="separate"/>
      </w:r>
      <w:r w:rsidR="000B627C">
        <w:t>121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BD0F44">
        <w:rPr>
          <w:caps/>
          <w:vertAlign w:val="superscript"/>
        </w:rPr>
        <w:t>27</w:t>
      </w:r>
      <w:r w:rsidRPr="00BD0F44">
        <w:t xml:space="preserve"> Windows</w:t>
      </w:r>
      <w:r w:rsidRPr="00BD0F44">
        <w:rPr>
          <w:vertAlign w:val="superscript"/>
        </w:rPr>
        <w:t>®</w:t>
      </w:r>
      <w:r w:rsidRPr="00BD0F44">
        <w:t xml:space="preserve"> 8 Enterprise Sideloading</w:t>
      </w:r>
      <w:r w:rsidRPr="00BD0F44">
        <w:tab/>
      </w:r>
      <w:r w:rsidRPr="00BD0F44">
        <w:fldChar w:fldCharType="begin"/>
      </w:r>
      <w:r w:rsidRPr="00BD0F44">
        <w:instrText xml:space="preserve"> PAGEREF _Toc354054981 \h </w:instrText>
      </w:r>
      <w:r w:rsidRPr="00BD0F44">
        <w:fldChar w:fldCharType="separate"/>
      </w:r>
      <w:r w:rsidR="000B627C">
        <w:t>121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28</w:t>
      </w:r>
      <w:r w:rsidRPr="00D244F0">
        <w:t xml:space="preserve"> Windows</w:t>
      </w:r>
      <w:r w:rsidRPr="00D244F0">
        <w:rPr>
          <w:vertAlign w:val="superscript"/>
        </w:rPr>
        <w:t>®</w:t>
      </w:r>
      <w:r w:rsidRPr="00D244F0">
        <w:t xml:space="preserve"> 7 Partners in Learning</w:t>
      </w:r>
      <w:r w:rsidRPr="00BD0F44">
        <w:tab/>
      </w:r>
      <w:r w:rsidRPr="00BD0F44">
        <w:fldChar w:fldCharType="begin"/>
      </w:r>
      <w:r w:rsidRPr="00BD0F44">
        <w:instrText xml:space="preserve"> PAGEREF _Toc354054982 \h </w:instrText>
      </w:r>
      <w:r w:rsidRPr="00BD0F44">
        <w:fldChar w:fldCharType="separate"/>
      </w:r>
      <w:r w:rsidR="000B627C">
        <w:t>122</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29</w:t>
      </w:r>
      <w:r w:rsidRPr="00BD0F44">
        <w:rPr>
          <w:lang w:val="de-DE"/>
        </w:rPr>
        <w:t xml:space="preserve"> Windows</w:t>
      </w:r>
      <w:r w:rsidRPr="00BD0F44">
        <w:rPr>
          <w:vertAlign w:val="superscript"/>
          <w:lang w:val="de-DE"/>
        </w:rPr>
        <w:t>®</w:t>
      </w:r>
      <w:r w:rsidRPr="00BD0F44">
        <w:rPr>
          <w:lang w:val="de-DE"/>
        </w:rPr>
        <w:t xml:space="preserve"> 8 Pro Upgrade und Windows Intune (Pro Gerät)</w:t>
      </w:r>
      <w:r w:rsidRPr="00D244F0">
        <w:rPr>
          <w:lang w:val="de-DE"/>
        </w:rPr>
        <w:tab/>
      </w:r>
      <w:r w:rsidRPr="00BD0F44">
        <w:fldChar w:fldCharType="begin"/>
      </w:r>
      <w:r w:rsidRPr="00D244F0">
        <w:rPr>
          <w:lang w:val="de-DE"/>
        </w:rPr>
        <w:instrText xml:space="preserve"> PAGEREF _Toc354054983 \h </w:instrText>
      </w:r>
      <w:r w:rsidRPr="00BD0F44">
        <w:fldChar w:fldCharType="separate"/>
      </w:r>
      <w:r w:rsidR="000B627C">
        <w:rPr>
          <w:lang w:val="de-DE"/>
        </w:rPr>
        <w:t>122</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caps/>
          <w:vertAlign w:val="superscript"/>
        </w:rPr>
        <w:t xml:space="preserve">30 </w:t>
      </w:r>
      <w:r w:rsidRPr="00BD0F44">
        <w:rPr>
          <w:rFonts w:cs="Tahoma"/>
        </w:rPr>
        <w:t>Windows Intune Add-on (Pro Gerät)</w:t>
      </w:r>
      <w:r w:rsidRPr="00BD0F44">
        <w:tab/>
      </w:r>
      <w:r w:rsidRPr="00BD0F44">
        <w:fldChar w:fldCharType="begin"/>
      </w:r>
      <w:r w:rsidRPr="00BD0F44">
        <w:instrText xml:space="preserve"> PAGEREF _Toc354054984 \h </w:instrText>
      </w:r>
      <w:r w:rsidRPr="00BD0F44">
        <w:fldChar w:fldCharType="separate"/>
      </w:r>
      <w:r w:rsidR="000B627C">
        <w:t>130</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rPr>
        <w:t>Server-Pool</w:t>
      </w:r>
      <w:r w:rsidRPr="00BD0F44">
        <w:tab/>
      </w:r>
      <w:r w:rsidRPr="00BD0F44">
        <w:fldChar w:fldCharType="begin"/>
      </w:r>
      <w:r w:rsidRPr="00BD0F44">
        <w:instrText xml:space="preserve"> PAGEREF _Toc354054985 \h </w:instrText>
      </w:r>
      <w:r w:rsidRPr="00BD0F44">
        <w:fldChar w:fldCharType="separate"/>
      </w:r>
      <w:r w:rsidR="000B627C">
        <w:t>131</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31</w:t>
      </w:r>
      <w:r w:rsidRPr="00BD0F44">
        <w:rPr>
          <w:rFonts w:cs="Tahoma"/>
          <w:lang w:val="de-DE"/>
        </w:rPr>
        <w:t xml:space="preserve"> </w:t>
      </w:r>
      <w:r w:rsidRPr="00D90898">
        <w:rPr>
          <w:rFonts w:cs="Tahoma"/>
          <w:spacing w:val="-2"/>
          <w:lang w:val="de-DE"/>
        </w:rPr>
        <w:t>Add-On für Bing Maps Öffentliche Website-Nutzung und Add-On-AL für Bing Maps Interne Website-Nutzung</w:t>
      </w:r>
      <w:r w:rsidRPr="00D244F0">
        <w:rPr>
          <w:lang w:val="de-DE"/>
        </w:rPr>
        <w:tab/>
      </w:r>
      <w:r w:rsidRPr="00BD0F44">
        <w:fldChar w:fldCharType="begin"/>
      </w:r>
      <w:r w:rsidRPr="00D244F0">
        <w:rPr>
          <w:lang w:val="de-DE"/>
        </w:rPr>
        <w:instrText xml:space="preserve"> PAGEREF _Toc354054986 \h </w:instrText>
      </w:r>
      <w:r w:rsidRPr="00BD0F44">
        <w:fldChar w:fldCharType="separate"/>
      </w:r>
      <w:r w:rsidR="000B627C">
        <w:rPr>
          <w:lang w:val="de-DE"/>
        </w:rPr>
        <w:t>131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32 </w:t>
      </w:r>
      <w:r w:rsidRPr="00D244F0">
        <w:t>BizTalk Server</w:t>
      </w:r>
      <w:r w:rsidRPr="00D244F0">
        <w:rPr>
          <w:vertAlign w:val="superscript"/>
        </w:rPr>
        <w:t>®</w:t>
      </w:r>
      <w:r w:rsidRPr="00D244F0">
        <w:t xml:space="preserve"> 2013 Branch</w:t>
      </w:r>
      <w:r w:rsidRPr="00BD0F44">
        <w:tab/>
      </w:r>
      <w:r w:rsidRPr="00BD0F44">
        <w:fldChar w:fldCharType="begin"/>
      </w:r>
      <w:r w:rsidRPr="00BD0F44">
        <w:instrText xml:space="preserve"> PAGEREF _Toc354054987 \h </w:instrText>
      </w:r>
      <w:r w:rsidRPr="00BD0F44">
        <w:fldChar w:fldCharType="separate"/>
      </w:r>
      <w:r w:rsidR="000B627C">
        <w:t>133</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33 </w:t>
      </w:r>
      <w:r w:rsidRPr="00D244F0">
        <w:t>BizTalk Server</w:t>
      </w:r>
      <w:r w:rsidRPr="00D244F0">
        <w:rPr>
          <w:vertAlign w:val="superscript"/>
        </w:rPr>
        <w:t>®</w:t>
      </w:r>
      <w:r w:rsidRPr="00D244F0">
        <w:t xml:space="preserve"> 2013 Enterprise</w:t>
      </w:r>
      <w:r w:rsidRPr="00BD0F44">
        <w:tab/>
      </w:r>
      <w:r w:rsidRPr="00BD0F44">
        <w:fldChar w:fldCharType="begin"/>
      </w:r>
      <w:r w:rsidRPr="00BD0F44">
        <w:instrText xml:space="preserve"> PAGEREF _Toc354054988 \h </w:instrText>
      </w:r>
      <w:r w:rsidRPr="00BD0F44">
        <w:fldChar w:fldCharType="separate"/>
      </w:r>
      <w:r w:rsidR="000B627C">
        <w:t>134</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34</w:t>
      </w:r>
      <w:r w:rsidRPr="00D244F0">
        <w:t xml:space="preserve"> BizTalk Server</w:t>
      </w:r>
      <w:r w:rsidRPr="00D244F0">
        <w:rPr>
          <w:vertAlign w:val="superscript"/>
        </w:rPr>
        <w:t>®</w:t>
      </w:r>
      <w:r w:rsidRPr="00D244F0">
        <w:t xml:space="preserve"> 2013 Standard</w:t>
      </w:r>
      <w:r w:rsidRPr="00BD0F44">
        <w:tab/>
      </w:r>
      <w:r w:rsidRPr="00BD0F44">
        <w:fldChar w:fldCharType="begin"/>
      </w:r>
      <w:r w:rsidRPr="00BD0F44">
        <w:instrText xml:space="preserve"> PAGEREF _Toc354054989 \h </w:instrText>
      </w:r>
      <w:r w:rsidRPr="00BD0F44">
        <w:fldChar w:fldCharType="separate"/>
      </w:r>
      <w:r w:rsidR="000B627C">
        <w:t>136</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35 </w:t>
      </w:r>
      <w:r w:rsidRPr="00D244F0">
        <w:t>Business Intelligence Appliance 2012</w:t>
      </w:r>
      <w:r w:rsidRPr="00BD0F44">
        <w:tab/>
      </w:r>
      <w:r w:rsidRPr="00BD0F44">
        <w:fldChar w:fldCharType="begin"/>
      </w:r>
      <w:r w:rsidRPr="00BD0F44">
        <w:instrText xml:space="preserve"> PAGEREF _Toc354054990 \h </w:instrText>
      </w:r>
      <w:r w:rsidRPr="00BD0F44">
        <w:fldChar w:fldCharType="separate"/>
      </w:r>
      <w:r w:rsidR="000B627C">
        <w:t>137</w:t>
      </w:r>
      <w:r w:rsidRPr="00BD0F44">
        <w:fldChar w:fldCharType="end"/>
      </w:r>
    </w:p>
    <w:p w:rsidR="00B7356C" w:rsidRPr="00BD0F44" w:rsidRDefault="00B7356C" w:rsidP="00D90898">
      <w:pPr>
        <w:pStyle w:val="TOC3"/>
        <w:ind w:left="187" w:hanging="187"/>
        <w:rPr>
          <w:rFonts w:asciiTheme="minorHAnsi" w:eastAsia="Batang" w:hAnsiTheme="minorHAnsi" w:cstheme="minorBidi"/>
          <w:sz w:val="22"/>
          <w:szCs w:val="22"/>
          <w:lang w:eastAsia="ko-KR"/>
        </w:rPr>
      </w:pPr>
      <w:r w:rsidRPr="00D244F0">
        <w:rPr>
          <w:caps/>
          <w:vertAlign w:val="superscript"/>
        </w:rPr>
        <w:t>36</w:t>
      </w:r>
      <w:r w:rsidRPr="00D244F0">
        <w:t xml:space="preserve"> Core CAL Suite Bridge für Office 365, Core CAL Suite Bridge für Office 365 und </w:t>
      </w:r>
      <w:r w:rsidR="008F06E8" w:rsidRPr="00D244F0">
        <w:br/>
      </w:r>
      <w:r w:rsidRPr="00D244F0">
        <w:t>Windows Intun sowie Core CAL Suite Bridge für Windows Intune</w:t>
      </w:r>
      <w:r w:rsidRPr="00BD0F44">
        <w:tab/>
      </w:r>
      <w:r w:rsidRPr="00BD0F44">
        <w:fldChar w:fldCharType="begin"/>
      </w:r>
      <w:r w:rsidRPr="00BD0F44">
        <w:instrText xml:space="preserve"> PAGEREF _Toc354054991 \h </w:instrText>
      </w:r>
      <w:r w:rsidRPr="00BD0F44">
        <w:fldChar w:fldCharType="separate"/>
      </w:r>
      <w:r w:rsidR="000B627C">
        <w:t>137</w:t>
      </w:r>
      <w:r w:rsidRPr="00BD0F44">
        <w:fldChar w:fldCharType="end"/>
      </w:r>
    </w:p>
    <w:p w:rsidR="00B7356C" w:rsidRPr="00D244F0" w:rsidRDefault="00B7356C" w:rsidP="008F06E8">
      <w:pPr>
        <w:pStyle w:val="TOC3"/>
        <w:rPr>
          <w:rFonts w:asciiTheme="minorHAnsi" w:eastAsia="Batang" w:hAnsiTheme="minorHAnsi" w:cstheme="minorBidi"/>
          <w:sz w:val="22"/>
          <w:szCs w:val="22"/>
          <w:lang w:val="fr-FR" w:eastAsia="ko-KR"/>
        </w:rPr>
      </w:pPr>
      <w:r w:rsidRPr="00D244F0">
        <w:rPr>
          <w:caps/>
          <w:vertAlign w:val="superscript"/>
          <w:lang w:val="fr-FR"/>
        </w:rPr>
        <w:t>37</w:t>
      </w:r>
      <w:r w:rsidRPr="00D244F0">
        <w:rPr>
          <w:lang w:val="fr-FR"/>
        </w:rPr>
        <w:t xml:space="preserve"> Core CAL Suite</w:t>
      </w:r>
      <w:r w:rsidRPr="00D244F0">
        <w:rPr>
          <w:lang w:val="fr-FR"/>
        </w:rPr>
        <w:tab/>
      </w:r>
      <w:r w:rsidRPr="00BD0F44">
        <w:fldChar w:fldCharType="begin"/>
      </w:r>
      <w:r w:rsidRPr="00D244F0">
        <w:rPr>
          <w:lang w:val="fr-FR"/>
        </w:rPr>
        <w:instrText xml:space="preserve"> PAGEREF _Toc354054992 \h </w:instrText>
      </w:r>
      <w:r w:rsidRPr="00BD0F44">
        <w:fldChar w:fldCharType="separate"/>
      </w:r>
      <w:r w:rsidR="000B627C">
        <w:rPr>
          <w:lang w:val="fr-FR"/>
        </w:rPr>
        <w:t>139</w:t>
      </w:r>
      <w:r w:rsidRPr="00BD0F44">
        <w:fldChar w:fldCharType="end"/>
      </w:r>
    </w:p>
    <w:p w:rsidR="00B7356C" w:rsidRPr="00D244F0" w:rsidRDefault="00B7356C" w:rsidP="008F06E8">
      <w:pPr>
        <w:pStyle w:val="TOC3"/>
        <w:rPr>
          <w:rFonts w:asciiTheme="minorHAnsi" w:eastAsia="Batang" w:hAnsiTheme="minorHAnsi" w:cstheme="minorBidi"/>
          <w:sz w:val="22"/>
          <w:szCs w:val="22"/>
          <w:lang w:val="fr-FR" w:eastAsia="ko-KR"/>
        </w:rPr>
      </w:pPr>
      <w:r w:rsidRPr="00D244F0">
        <w:rPr>
          <w:caps/>
          <w:vertAlign w:val="superscript"/>
          <w:lang w:val="fr-FR"/>
        </w:rPr>
        <w:t>38</w:t>
      </w:r>
      <w:r w:rsidRPr="00D244F0">
        <w:rPr>
          <w:lang w:val="fr-FR"/>
        </w:rPr>
        <w:t xml:space="preserve"> Core Infrastructure Server Suite Standard</w:t>
      </w:r>
      <w:r w:rsidRPr="00D244F0">
        <w:rPr>
          <w:lang w:val="fr-FR"/>
        </w:rPr>
        <w:tab/>
      </w:r>
      <w:r w:rsidRPr="00BD0F44">
        <w:fldChar w:fldCharType="begin"/>
      </w:r>
      <w:r w:rsidRPr="00D244F0">
        <w:rPr>
          <w:lang w:val="fr-FR"/>
        </w:rPr>
        <w:instrText xml:space="preserve"> PAGEREF _Toc354054993 \h </w:instrText>
      </w:r>
      <w:r w:rsidRPr="00BD0F44">
        <w:fldChar w:fldCharType="separate"/>
      </w:r>
      <w:r w:rsidR="000B627C">
        <w:rPr>
          <w:lang w:val="fr-FR"/>
        </w:rPr>
        <w:t>139</w:t>
      </w:r>
      <w:r w:rsidRPr="00BD0F44">
        <w:fldChar w:fldCharType="end"/>
      </w:r>
    </w:p>
    <w:p w:rsidR="00B7356C" w:rsidRPr="00D244F0" w:rsidRDefault="00B7356C" w:rsidP="008F06E8">
      <w:pPr>
        <w:pStyle w:val="TOC3"/>
        <w:rPr>
          <w:rFonts w:asciiTheme="minorHAnsi" w:eastAsia="Batang" w:hAnsiTheme="minorHAnsi" w:cstheme="minorBidi"/>
          <w:sz w:val="22"/>
          <w:szCs w:val="22"/>
          <w:lang w:val="fr-FR" w:eastAsia="ko-KR"/>
        </w:rPr>
      </w:pPr>
      <w:r w:rsidRPr="00D244F0">
        <w:rPr>
          <w:caps/>
          <w:vertAlign w:val="superscript"/>
          <w:lang w:val="fr-FR"/>
        </w:rPr>
        <w:t>39</w:t>
      </w:r>
      <w:r w:rsidRPr="00D244F0">
        <w:rPr>
          <w:lang w:val="fr-FR"/>
        </w:rPr>
        <w:t xml:space="preserve"> Core Infrastructure Server Suite Enterprise</w:t>
      </w:r>
      <w:r w:rsidRPr="00D244F0">
        <w:rPr>
          <w:lang w:val="fr-FR"/>
        </w:rPr>
        <w:tab/>
      </w:r>
      <w:r w:rsidRPr="00BD0F44">
        <w:fldChar w:fldCharType="begin"/>
      </w:r>
      <w:r w:rsidRPr="00D244F0">
        <w:rPr>
          <w:lang w:val="fr-FR"/>
        </w:rPr>
        <w:instrText xml:space="preserve"> PAGEREF _Toc354054994 \h </w:instrText>
      </w:r>
      <w:r w:rsidRPr="00BD0F44">
        <w:fldChar w:fldCharType="separate"/>
      </w:r>
      <w:r w:rsidR="000B627C">
        <w:rPr>
          <w:lang w:val="fr-FR"/>
        </w:rPr>
        <w:t>140</w:t>
      </w:r>
      <w:r w:rsidRPr="00BD0F44">
        <w:fldChar w:fldCharType="end"/>
      </w:r>
    </w:p>
    <w:p w:rsidR="00B7356C" w:rsidRPr="00D244F0" w:rsidRDefault="00B7356C" w:rsidP="008F06E8">
      <w:pPr>
        <w:pStyle w:val="TOC3"/>
        <w:rPr>
          <w:rFonts w:asciiTheme="minorHAnsi" w:eastAsia="Batang" w:hAnsiTheme="minorHAnsi" w:cstheme="minorBidi"/>
          <w:sz w:val="22"/>
          <w:szCs w:val="22"/>
          <w:lang w:val="fr-FR" w:eastAsia="ko-KR"/>
        </w:rPr>
      </w:pPr>
      <w:r w:rsidRPr="00D244F0">
        <w:rPr>
          <w:caps/>
          <w:vertAlign w:val="superscript"/>
          <w:lang w:val="fr-FR"/>
        </w:rPr>
        <w:t>40</w:t>
      </w:r>
      <w:r w:rsidRPr="00D244F0">
        <w:rPr>
          <w:lang w:val="fr-FR"/>
        </w:rPr>
        <w:t xml:space="preserve"> Core Infrastructure Server Suite Datacenter</w:t>
      </w:r>
      <w:r w:rsidRPr="00D244F0">
        <w:rPr>
          <w:lang w:val="fr-FR"/>
        </w:rPr>
        <w:tab/>
      </w:r>
      <w:r w:rsidRPr="00BD0F44">
        <w:fldChar w:fldCharType="begin"/>
      </w:r>
      <w:r w:rsidRPr="00D244F0">
        <w:rPr>
          <w:lang w:val="fr-FR"/>
        </w:rPr>
        <w:instrText xml:space="preserve"> PAGEREF _Toc354054995 \h </w:instrText>
      </w:r>
      <w:r w:rsidRPr="00BD0F44">
        <w:fldChar w:fldCharType="separate"/>
      </w:r>
      <w:r w:rsidR="000B627C">
        <w:rPr>
          <w:lang w:val="fr-FR"/>
        </w:rPr>
        <w:t>141</w:t>
      </w:r>
      <w:r w:rsidRPr="00BD0F44">
        <w:fldChar w:fldCharType="end"/>
      </w:r>
    </w:p>
    <w:p w:rsidR="00B7356C" w:rsidRPr="00D244F0" w:rsidRDefault="00B7356C">
      <w:pPr>
        <w:pStyle w:val="TOC2"/>
        <w:rPr>
          <w:rFonts w:asciiTheme="minorHAnsi" w:eastAsia="Batang" w:hAnsiTheme="minorHAnsi" w:cstheme="minorBidi"/>
          <w:sz w:val="22"/>
          <w:szCs w:val="22"/>
          <w:lang w:val="fr-FR" w:eastAsia="ko-KR"/>
        </w:rPr>
      </w:pPr>
      <w:r w:rsidRPr="00D244F0">
        <w:rPr>
          <w:rFonts w:eastAsia="Times New Roman" w:cs="Tahoma"/>
          <w:caps/>
          <w:vertAlign w:val="superscript"/>
          <w:lang w:val="fr-FR"/>
        </w:rPr>
        <w:t xml:space="preserve">41 </w:t>
      </w:r>
      <w:r w:rsidRPr="00D244F0">
        <w:rPr>
          <w:rFonts w:eastAsia="Times New Roman" w:cs="Tahoma"/>
          <w:lang w:val="fr-FR"/>
        </w:rPr>
        <w:t>Duet Enterprise 2.0</w:t>
      </w:r>
      <w:r w:rsidRPr="00D244F0">
        <w:rPr>
          <w:lang w:val="fr-FR"/>
        </w:rPr>
        <w:tab/>
      </w:r>
      <w:r w:rsidRPr="00BD0F44">
        <w:fldChar w:fldCharType="begin"/>
      </w:r>
      <w:r w:rsidRPr="00D244F0">
        <w:rPr>
          <w:lang w:val="fr-FR"/>
        </w:rPr>
        <w:instrText xml:space="preserve"> PAGEREF _Toc354054996 \h </w:instrText>
      </w:r>
      <w:r w:rsidRPr="00BD0F44">
        <w:fldChar w:fldCharType="separate"/>
      </w:r>
      <w:r w:rsidR="000B627C">
        <w:rPr>
          <w:lang w:val="fr-FR"/>
        </w:rPr>
        <w:t>142</w:t>
      </w:r>
      <w:r w:rsidRPr="00BD0F44">
        <w:fldChar w:fldCharType="end"/>
      </w:r>
    </w:p>
    <w:p w:rsidR="00B7356C" w:rsidRPr="00D244F0" w:rsidRDefault="00B7356C" w:rsidP="008F06E8">
      <w:pPr>
        <w:pStyle w:val="TOC3"/>
        <w:rPr>
          <w:rFonts w:asciiTheme="minorHAnsi" w:eastAsia="Batang" w:hAnsiTheme="minorHAnsi" w:cstheme="minorBidi"/>
          <w:sz w:val="22"/>
          <w:szCs w:val="22"/>
          <w:lang w:val="fr-FR" w:eastAsia="ko-KR"/>
        </w:rPr>
      </w:pPr>
      <w:r w:rsidRPr="00D244F0">
        <w:rPr>
          <w:caps/>
          <w:vertAlign w:val="superscript"/>
          <w:lang w:val="fr-FR"/>
        </w:rPr>
        <w:t>42</w:t>
      </w:r>
      <w:r w:rsidRPr="00D244F0">
        <w:rPr>
          <w:lang w:val="fr-FR"/>
        </w:rPr>
        <w:t xml:space="preserve"> Dynamics CRM Online</w:t>
      </w:r>
      <w:r w:rsidRPr="00D244F0">
        <w:rPr>
          <w:lang w:val="fr-FR"/>
        </w:rPr>
        <w:tab/>
      </w:r>
      <w:r w:rsidRPr="00BD0F44">
        <w:fldChar w:fldCharType="begin"/>
      </w:r>
      <w:r w:rsidRPr="00D244F0">
        <w:rPr>
          <w:lang w:val="fr-FR"/>
        </w:rPr>
        <w:instrText xml:space="preserve"> PAGEREF _Toc354054997 \h </w:instrText>
      </w:r>
      <w:r w:rsidRPr="00BD0F44">
        <w:fldChar w:fldCharType="separate"/>
      </w:r>
      <w:r w:rsidR="000B627C">
        <w:rPr>
          <w:lang w:val="fr-FR"/>
        </w:rPr>
        <w:t>142</w:t>
      </w:r>
      <w:r w:rsidRPr="00BD0F44">
        <w:fldChar w:fldCharType="end"/>
      </w:r>
    </w:p>
    <w:p w:rsidR="00B7356C" w:rsidRPr="00D244F0" w:rsidRDefault="00B7356C" w:rsidP="00D90898">
      <w:pPr>
        <w:pStyle w:val="TOC3"/>
        <w:ind w:left="187" w:hanging="187"/>
        <w:rPr>
          <w:rFonts w:asciiTheme="minorHAnsi" w:eastAsia="Batang" w:hAnsiTheme="minorHAnsi" w:cstheme="minorBidi"/>
          <w:sz w:val="22"/>
          <w:szCs w:val="22"/>
          <w:lang w:val="fr-FR" w:eastAsia="ko-KR"/>
        </w:rPr>
      </w:pPr>
      <w:r w:rsidRPr="00D244F0">
        <w:rPr>
          <w:caps/>
          <w:vertAlign w:val="superscript"/>
          <w:lang w:val="fr-FR"/>
        </w:rPr>
        <w:t xml:space="preserve">43 </w:t>
      </w:r>
      <w:r w:rsidRPr="00D244F0">
        <w:rPr>
          <w:lang w:val="fr-FR"/>
        </w:rPr>
        <w:t xml:space="preserve">Enterprise CAL Suite Bridge für Office 365, Enterprise CAL Suite Bridge für Office 365 </w:t>
      </w:r>
      <w:r w:rsidR="00D90898" w:rsidRPr="00D244F0">
        <w:rPr>
          <w:lang w:val="fr-FR"/>
        </w:rPr>
        <w:br/>
      </w:r>
      <w:r w:rsidRPr="00D244F0">
        <w:rPr>
          <w:lang w:val="fr-FR"/>
        </w:rPr>
        <w:t>und Windows Intune und Enterprise CAL Suite Bridge für Windows Intune</w:t>
      </w:r>
      <w:r w:rsidRPr="00D244F0">
        <w:rPr>
          <w:lang w:val="fr-FR"/>
        </w:rPr>
        <w:tab/>
      </w:r>
      <w:r w:rsidRPr="00BD0F44">
        <w:fldChar w:fldCharType="begin"/>
      </w:r>
      <w:r w:rsidRPr="00D244F0">
        <w:rPr>
          <w:lang w:val="fr-FR"/>
        </w:rPr>
        <w:instrText xml:space="preserve"> PAGEREF _Toc354054998 \h </w:instrText>
      </w:r>
      <w:r w:rsidRPr="00BD0F44">
        <w:fldChar w:fldCharType="separate"/>
      </w:r>
      <w:r w:rsidR="000B627C">
        <w:rPr>
          <w:lang w:val="fr-FR"/>
        </w:rPr>
        <w:t>143</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D244F0">
        <w:rPr>
          <w:caps/>
          <w:vertAlign w:val="superscript"/>
          <w:lang w:val="de-DE"/>
        </w:rPr>
        <w:t>44</w:t>
      </w:r>
      <w:r w:rsidRPr="00D244F0">
        <w:rPr>
          <w:lang w:val="de-DE"/>
        </w:rPr>
        <w:t xml:space="preserve"> Enterprise CAL Suite</w:t>
      </w:r>
      <w:r w:rsidRPr="00D244F0">
        <w:rPr>
          <w:lang w:val="de-DE"/>
        </w:rPr>
        <w:tab/>
      </w:r>
      <w:r w:rsidRPr="00BD0F44">
        <w:fldChar w:fldCharType="begin"/>
      </w:r>
      <w:r w:rsidRPr="00D244F0">
        <w:rPr>
          <w:lang w:val="de-DE"/>
        </w:rPr>
        <w:instrText xml:space="preserve"> PAGEREF _Toc354054999 \h </w:instrText>
      </w:r>
      <w:r w:rsidRPr="00BD0F44">
        <w:fldChar w:fldCharType="separate"/>
      </w:r>
      <w:r w:rsidR="000B627C">
        <w:rPr>
          <w:lang w:val="de-DE"/>
        </w:rPr>
        <w:t>144</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vertAlign w:val="superscript"/>
          <w:lang w:val="de-DE"/>
        </w:rPr>
        <w:t>45</w:t>
      </w:r>
      <w:r w:rsidRPr="00BD0F44">
        <w:rPr>
          <w:rFonts w:cs="Tahoma"/>
          <w:lang w:val="de-DE"/>
        </w:rPr>
        <w:t xml:space="preserve"> Exchange Online-Archivierung (Nutzer-AL)</w:t>
      </w:r>
      <w:r w:rsidRPr="00D244F0">
        <w:rPr>
          <w:lang w:val="de-DE"/>
        </w:rPr>
        <w:tab/>
      </w:r>
      <w:r w:rsidRPr="00BD0F44">
        <w:fldChar w:fldCharType="begin"/>
      </w:r>
      <w:r w:rsidRPr="00D244F0">
        <w:rPr>
          <w:lang w:val="de-DE"/>
        </w:rPr>
        <w:instrText xml:space="preserve"> PAGEREF _Toc354055000 \h </w:instrText>
      </w:r>
      <w:r w:rsidRPr="00BD0F44">
        <w:fldChar w:fldCharType="separate"/>
      </w:r>
      <w:r w:rsidR="000B627C">
        <w:rPr>
          <w:lang w:val="de-DE"/>
        </w:rPr>
        <w:t>148</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vertAlign w:val="superscript"/>
        </w:rPr>
        <w:t>46</w:t>
      </w:r>
      <w:r w:rsidRPr="00BD0F44">
        <w:rPr>
          <w:rFonts w:cs="Tahoma"/>
        </w:rPr>
        <w:t xml:space="preserve"> Exchange Hosted Archive (Nutzer-AL), Exchange Hosted Archive Extra Storage (Add-On-AL)</w:t>
      </w:r>
      <w:r w:rsidRPr="00BD0F44">
        <w:tab/>
      </w:r>
      <w:r w:rsidRPr="00BD0F44">
        <w:fldChar w:fldCharType="begin"/>
      </w:r>
      <w:r w:rsidRPr="00BD0F44">
        <w:instrText xml:space="preserve"> PAGEREF _Toc354055001 \h </w:instrText>
      </w:r>
      <w:r w:rsidRPr="00BD0F44">
        <w:fldChar w:fldCharType="separate"/>
      </w:r>
      <w:r w:rsidR="000B627C">
        <w:t>149</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vertAlign w:val="superscript"/>
          <w:lang w:val="de-DE"/>
        </w:rPr>
        <w:t>47</w:t>
      </w:r>
      <w:r w:rsidRPr="00BD0F44">
        <w:rPr>
          <w:rFonts w:cs="Tahoma"/>
          <w:lang w:val="de-DE"/>
        </w:rPr>
        <w:t xml:space="preserve"> Exchange Hosted Encryption (Nutzer-AL)</w:t>
      </w:r>
      <w:r w:rsidRPr="00D244F0">
        <w:rPr>
          <w:lang w:val="de-DE"/>
        </w:rPr>
        <w:tab/>
      </w:r>
      <w:r w:rsidRPr="00BD0F44">
        <w:fldChar w:fldCharType="begin"/>
      </w:r>
      <w:r w:rsidRPr="00D244F0">
        <w:rPr>
          <w:lang w:val="de-DE"/>
        </w:rPr>
        <w:instrText xml:space="preserve"> PAGEREF _Toc354055002 \h </w:instrText>
      </w:r>
      <w:r w:rsidRPr="00BD0F44">
        <w:fldChar w:fldCharType="separate"/>
      </w:r>
      <w:r w:rsidR="000B627C">
        <w:rPr>
          <w:lang w:val="de-DE"/>
        </w:rPr>
        <w:t>150</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48</w:t>
      </w:r>
      <w:r w:rsidRPr="00BD0F44">
        <w:rPr>
          <w:lang w:val="de-DE"/>
        </w:rPr>
        <w:t xml:space="preserve"> Exchange Online Kiosk (Nutzer-AL)</w:t>
      </w:r>
      <w:r w:rsidRPr="00D244F0">
        <w:rPr>
          <w:lang w:val="de-DE"/>
        </w:rPr>
        <w:tab/>
      </w:r>
      <w:r w:rsidRPr="00BD0F44">
        <w:fldChar w:fldCharType="begin"/>
      </w:r>
      <w:r w:rsidRPr="00D244F0">
        <w:rPr>
          <w:lang w:val="de-DE"/>
        </w:rPr>
        <w:instrText xml:space="preserve"> PAGEREF _Toc354055003 \h </w:instrText>
      </w:r>
      <w:r w:rsidRPr="00BD0F44">
        <w:fldChar w:fldCharType="separate"/>
      </w:r>
      <w:r w:rsidR="000B627C">
        <w:rPr>
          <w:lang w:val="de-DE"/>
        </w:rPr>
        <w:t>150</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49</w:t>
      </w:r>
      <w:r w:rsidRPr="00BD0F44">
        <w:rPr>
          <w:lang w:val="de-DE"/>
        </w:rPr>
        <w:t xml:space="preserve"> Exchange Online Plan 1</w:t>
      </w:r>
      <w:r w:rsidRPr="00D244F0">
        <w:rPr>
          <w:lang w:val="de-DE"/>
        </w:rPr>
        <w:tab/>
      </w:r>
      <w:r w:rsidRPr="00BD0F44">
        <w:fldChar w:fldCharType="begin"/>
      </w:r>
      <w:r w:rsidRPr="00D244F0">
        <w:rPr>
          <w:lang w:val="de-DE"/>
        </w:rPr>
        <w:instrText xml:space="preserve"> PAGEREF _Toc354055004 \h </w:instrText>
      </w:r>
      <w:r w:rsidRPr="00BD0F44">
        <w:fldChar w:fldCharType="separate"/>
      </w:r>
      <w:r w:rsidR="000B627C">
        <w:rPr>
          <w:lang w:val="de-DE"/>
        </w:rPr>
        <w:t>150</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50</w:t>
      </w:r>
      <w:r w:rsidRPr="00BD0F44">
        <w:rPr>
          <w:rFonts w:cs="Tahoma"/>
          <w:lang w:val="de-DE"/>
        </w:rPr>
        <w:t xml:space="preserve"> Exchange Online Plan</w:t>
      </w:r>
      <w:r w:rsidRPr="00D244F0">
        <w:rPr>
          <w:lang w:val="de-DE"/>
        </w:rPr>
        <w:tab/>
      </w:r>
      <w:r w:rsidRPr="00BD0F44">
        <w:fldChar w:fldCharType="begin"/>
      </w:r>
      <w:r w:rsidRPr="00D244F0">
        <w:rPr>
          <w:lang w:val="de-DE"/>
        </w:rPr>
        <w:instrText xml:space="preserve"> PAGEREF _Toc354055005 \h </w:instrText>
      </w:r>
      <w:r w:rsidRPr="00BD0F44">
        <w:fldChar w:fldCharType="separate"/>
      </w:r>
      <w:r w:rsidR="000B627C">
        <w:rPr>
          <w:lang w:val="de-DE"/>
        </w:rPr>
        <w:t>151</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 xml:space="preserve">51 </w:t>
      </w:r>
      <w:r w:rsidRPr="00BD0F44">
        <w:rPr>
          <w:rFonts w:cs="Tahoma"/>
          <w:lang w:val="de-DE"/>
        </w:rPr>
        <w:t>Exchange Online Protection (Nutzer-AL)</w:t>
      </w:r>
      <w:r w:rsidRPr="00D244F0">
        <w:rPr>
          <w:lang w:val="de-DE"/>
        </w:rPr>
        <w:tab/>
      </w:r>
      <w:r w:rsidRPr="00BD0F44">
        <w:fldChar w:fldCharType="begin"/>
      </w:r>
      <w:r w:rsidRPr="00D244F0">
        <w:rPr>
          <w:lang w:val="de-DE"/>
        </w:rPr>
        <w:instrText xml:space="preserve"> PAGEREF _Toc354055006 \h </w:instrText>
      </w:r>
      <w:r w:rsidRPr="00BD0F44">
        <w:fldChar w:fldCharType="separate"/>
      </w:r>
      <w:r w:rsidR="000B627C">
        <w:rPr>
          <w:lang w:val="de-DE"/>
        </w:rPr>
        <w:t>151</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 xml:space="preserve">52 </w:t>
      </w:r>
      <w:r w:rsidRPr="00BD0F44">
        <w:rPr>
          <w:rFonts w:cs="Tahoma"/>
          <w:lang w:val="de-DE"/>
        </w:rPr>
        <w:t>Exchange Server 2013 Enterprise und Standard Editions</w:t>
      </w:r>
      <w:r w:rsidRPr="00D244F0">
        <w:rPr>
          <w:lang w:val="de-DE"/>
        </w:rPr>
        <w:tab/>
      </w:r>
      <w:r w:rsidRPr="00BD0F44">
        <w:fldChar w:fldCharType="begin"/>
      </w:r>
      <w:r w:rsidRPr="00D244F0">
        <w:rPr>
          <w:lang w:val="de-DE"/>
        </w:rPr>
        <w:instrText xml:space="preserve"> PAGEREF _Toc354055007 \h </w:instrText>
      </w:r>
      <w:r w:rsidRPr="00BD0F44">
        <w:fldChar w:fldCharType="separate"/>
      </w:r>
      <w:r w:rsidR="000B627C">
        <w:rPr>
          <w:lang w:val="de-DE"/>
        </w:rPr>
        <w:t>151</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53</w:t>
      </w:r>
      <w:r w:rsidRPr="00BD0F44">
        <w:rPr>
          <w:lang w:val="de-DE"/>
        </w:rPr>
        <w:t xml:space="preserve"> Exchange Server 2010 Standard CAL</w:t>
      </w:r>
      <w:r w:rsidRPr="00D244F0">
        <w:rPr>
          <w:lang w:val="de-DE"/>
        </w:rPr>
        <w:tab/>
      </w:r>
      <w:r w:rsidRPr="00BD0F44">
        <w:fldChar w:fldCharType="begin"/>
      </w:r>
      <w:r w:rsidRPr="00D244F0">
        <w:rPr>
          <w:lang w:val="de-DE"/>
        </w:rPr>
        <w:instrText xml:space="preserve"> PAGEREF _Toc354055008 \h </w:instrText>
      </w:r>
      <w:r w:rsidRPr="00BD0F44">
        <w:fldChar w:fldCharType="separate"/>
      </w:r>
      <w:r w:rsidR="000B627C">
        <w:rPr>
          <w:lang w:val="de-DE"/>
        </w:rPr>
        <w:t>152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54</w:t>
      </w:r>
      <w:r w:rsidRPr="00D244F0">
        <w:t xml:space="preserve"> Forefront Endpoint Protection</w:t>
      </w:r>
      <w:r w:rsidRPr="00BD0F44">
        <w:tab/>
      </w:r>
      <w:r w:rsidRPr="00BD0F44">
        <w:fldChar w:fldCharType="begin"/>
      </w:r>
      <w:r w:rsidRPr="00BD0F44">
        <w:instrText xml:space="preserve"> PAGEREF _Toc354055009 \h </w:instrText>
      </w:r>
      <w:r w:rsidRPr="00BD0F44">
        <w:fldChar w:fldCharType="separate"/>
      </w:r>
      <w:r w:rsidR="000B627C">
        <w:t>153</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55 </w:t>
      </w:r>
      <w:r w:rsidRPr="00D244F0">
        <w:t>Forefront Identity Manager 2010 R2</w:t>
      </w:r>
      <w:r w:rsidRPr="00BD0F44">
        <w:tab/>
      </w:r>
      <w:r w:rsidRPr="00BD0F44">
        <w:fldChar w:fldCharType="begin"/>
      </w:r>
      <w:r w:rsidRPr="00BD0F44">
        <w:instrText xml:space="preserve"> PAGEREF _Toc354055010 \h </w:instrText>
      </w:r>
      <w:r w:rsidRPr="00BD0F44">
        <w:fldChar w:fldCharType="separate"/>
      </w:r>
      <w:r w:rsidR="000B627C">
        <w:t>153</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caps/>
          <w:vertAlign w:val="superscript"/>
        </w:rPr>
        <w:t>56</w:t>
      </w:r>
      <w:r w:rsidRPr="00BD0F44">
        <w:rPr>
          <w:rFonts w:cs="Tahoma"/>
        </w:rPr>
        <w:t xml:space="preserve"> Forefront Identity Manager 2010 – Windows Live Edition</w:t>
      </w:r>
      <w:r w:rsidRPr="00BD0F44">
        <w:tab/>
      </w:r>
      <w:r w:rsidRPr="00BD0F44">
        <w:fldChar w:fldCharType="begin"/>
      </w:r>
      <w:r w:rsidRPr="00BD0F44">
        <w:instrText xml:space="preserve"> PAGEREF _Toc354055011 \h </w:instrText>
      </w:r>
      <w:r w:rsidRPr="00BD0F44">
        <w:fldChar w:fldCharType="separate"/>
      </w:r>
      <w:r w:rsidR="000B627C">
        <w:t>153</w:t>
      </w:r>
      <w:r w:rsidRPr="00BD0F44">
        <w:fldChar w:fldCharType="end"/>
      </w:r>
    </w:p>
    <w:p w:rsidR="00B7356C" w:rsidRPr="00BD0F44" w:rsidRDefault="00B7356C" w:rsidP="00D90898">
      <w:pPr>
        <w:pStyle w:val="TOC3"/>
        <w:ind w:left="187" w:hanging="187"/>
        <w:rPr>
          <w:rFonts w:asciiTheme="minorHAnsi" w:eastAsia="Batang" w:hAnsiTheme="minorHAnsi" w:cstheme="minorBidi"/>
          <w:sz w:val="22"/>
          <w:szCs w:val="22"/>
          <w:lang w:eastAsia="ko-KR"/>
        </w:rPr>
      </w:pPr>
      <w:r w:rsidRPr="00BD0F44">
        <w:rPr>
          <w:caps/>
          <w:vertAlign w:val="superscript"/>
        </w:rPr>
        <w:t>57</w:t>
      </w:r>
      <w:r w:rsidRPr="00BD0F44">
        <w:t xml:space="preserve"> Forefront Protection 2010 für Exchange Server (Geräte- und Nutzer-AL), </w:t>
      </w:r>
      <w:r w:rsidR="00D90898">
        <w:br/>
      </w:r>
      <w:r w:rsidRPr="00BD0F44">
        <w:t xml:space="preserve">Forefront Protection 2010 for SharePoint (Geräte- und Nutzer-AL) und </w:t>
      </w:r>
      <w:r w:rsidR="00D90898">
        <w:br/>
      </w:r>
      <w:r w:rsidRPr="00BD0F44">
        <w:t>Forefront Protection 2010 for Internet Sites (Add-On-AL)</w:t>
      </w:r>
      <w:r w:rsidRPr="00BD0F44">
        <w:tab/>
      </w:r>
      <w:r w:rsidRPr="00BD0F44">
        <w:fldChar w:fldCharType="begin"/>
      </w:r>
      <w:r w:rsidRPr="00BD0F44">
        <w:instrText xml:space="preserve"> PAGEREF _Toc354055012 \h </w:instrText>
      </w:r>
      <w:r w:rsidRPr="00BD0F44">
        <w:fldChar w:fldCharType="separate"/>
      </w:r>
      <w:r w:rsidR="000B627C">
        <w:t>153</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58</w:t>
      </w:r>
      <w:r w:rsidRPr="00BD0F44">
        <w:rPr>
          <w:lang w:val="de-DE"/>
        </w:rPr>
        <w:t xml:space="preserve"> Forefront Protection Suite (Gerät und Nutzer)</w:t>
      </w:r>
      <w:r w:rsidRPr="00D244F0">
        <w:rPr>
          <w:lang w:val="de-DE"/>
        </w:rPr>
        <w:tab/>
      </w:r>
      <w:r w:rsidRPr="00BD0F44">
        <w:fldChar w:fldCharType="begin"/>
      </w:r>
      <w:r w:rsidRPr="00D244F0">
        <w:rPr>
          <w:lang w:val="de-DE"/>
        </w:rPr>
        <w:instrText xml:space="preserve"> PAGEREF _Toc354055013 \h </w:instrText>
      </w:r>
      <w:r w:rsidRPr="00BD0F44">
        <w:fldChar w:fldCharType="separate"/>
      </w:r>
      <w:r w:rsidR="000B627C">
        <w:rPr>
          <w:lang w:val="de-DE"/>
        </w:rPr>
        <w:t>154</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BD0F44">
        <w:rPr>
          <w:caps/>
          <w:vertAlign w:val="superscript"/>
        </w:rPr>
        <w:t xml:space="preserve">59 </w:t>
      </w:r>
      <w:r w:rsidRPr="00BD0F44">
        <w:t>Forefront Security for Office Communications Server (Nutzer- und Geräte-AL)</w:t>
      </w:r>
      <w:r w:rsidRPr="00BD0F44">
        <w:tab/>
      </w:r>
      <w:r w:rsidRPr="00BD0F44">
        <w:fldChar w:fldCharType="begin"/>
      </w:r>
      <w:r w:rsidRPr="00BD0F44">
        <w:instrText xml:space="preserve"> PAGEREF _Toc354055014 \h </w:instrText>
      </w:r>
      <w:r w:rsidRPr="00BD0F44">
        <w:fldChar w:fldCharType="separate"/>
      </w:r>
      <w:r w:rsidR="000B627C">
        <w:t>155</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60 </w:t>
      </w:r>
      <w:r w:rsidRPr="00D244F0">
        <w:t>Forefront Threat Management Gateway Web Protection Service</w:t>
      </w:r>
      <w:r w:rsidRPr="00BD0F44">
        <w:tab/>
      </w:r>
      <w:r w:rsidRPr="00BD0F44">
        <w:fldChar w:fldCharType="begin"/>
      </w:r>
      <w:r w:rsidRPr="00BD0F44">
        <w:instrText xml:space="preserve"> PAGEREF _Toc354055015 \h </w:instrText>
      </w:r>
      <w:r w:rsidRPr="00BD0F44">
        <w:fldChar w:fldCharType="separate"/>
      </w:r>
      <w:r w:rsidR="000B627C">
        <w:t>155</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61 </w:t>
      </w:r>
      <w:r w:rsidRPr="00D244F0">
        <w:t>Forefront Unified Access Gateway 2010</w:t>
      </w:r>
      <w:r w:rsidRPr="00BD0F44">
        <w:tab/>
      </w:r>
      <w:r w:rsidRPr="00BD0F44">
        <w:fldChar w:fldCharType="begin"/>
      </w:r>
      <w:r w:rsidRPr="00BD0F44">
        <w:instrText xml:space="preserve"> PAGEREF _Toc354055016 \h </w:instrText>
      </w:r>
      <w:r w:rsidRPr="00BD0F44">
        <w:fldChar w:fldCharType="separate"/>
      </w:r>
      <w:r w:rsidR="000B627C">
        <w:t>155</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62 </w:t>
      </w:r>
      <w:r w:rsidRPr="00D244F0">
        <w:t>HPC Pack 2008 R2 Enterprise</w:t>
      </w:r>
      <w:r w:rsidRPr="00BD0F44">
        <w:tab/>
      </w:r>
      <w:r w:rsidRPr="00BD0F44">
        <w:fldChar w:fldCharType="begin"/>
      </w:r>
      <w:r w:rsidRPr="00BD0F44">
        <w:instrText xml:space="preserve"> PAGEREF _Toc354055017 \h </w:instrText>
      </w:r>
      <w:r w:rsidRPr="00BD0F44">
        <w:fldChar w:fldCharType="separate"/>
      </w:r>
      <w:r w:rsidR="000B627C">
        <w:t>155</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63</w:t>
      </w:r>
      <w:r w:rsidRPr="00BD0F44">
        <w:rPr>
          <w:lang w:val="de-DE"/>
        </w:rPr>
        <w:t xml:space="preserve"> Learning Solutions MCP Prüfungsgutscheine</w:t>
      </w:r>
      <w:r w:rsidRPr="00D244F0">
        <w:rPr>
          <w:lang w:val="de-DE"/>
        </w:rPr>
        <w:tab/>
      </w:r>
      <w:r w:rsidRPr="00BD0F44">
        <w:fldChar w:fldCharType="begin"/>
      </w:r>
      <w:r w:rsidRPr="00D244F0">
        <w:rPr>
          <w:lang w:val="de-DE"/>
        </w:rPr>
        <w:instrText xml:space="preserve"> PAGEREF _Toc354055018 \h </w:instrText>
      </w:r>
      <w:r w:rsidRPr="00BD0F44">
        <w:fldChar w:fldCharType="separate"/>
      </w:r>
      <w:r w:rsidR="000B627C">
        <w:rPr>
          <w:lang w:val="de-DE"/>
        </w:rPr>
        <w:t>156</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64</w:t>
      </w:r>
      <w:r w:rsidRPr="00BD0F44">
        <w:rPr>
          <w:rFonts w:cs="Tahoma"/>
          <w:lang w:val="de-DE"/>
        </w:rPr>
        <w:t xml:space="preserve"> Lync Online Plan 1, 2 und 3</w:t>
      </w:r>
      <w:r w:rsidRPr="00D244F0">
        <w:rPr>
          <w:lang w:val="de-DE"/>
        </w:rPr>
        <w:tab/>
      </w:r>
      <w:r w:rsidRPr="00BD0F44">
        <w:fldChar w:fldCharType="begin"/>
      </w:r>
      <w:r w:rsidRPr="00D244F0">
        <w:rPr>
          <w:lang w:val="de-DE"/>
        </w:rPr>
        <w:instrText xml:space="preserve"> PAGEREF _Toc354055019 \h </w:instrText>
      </w:r>
      <w:r w:rsidRPr="00BD0F44">
        <w:fldChar w:fldCharType="separate"/>
      </w:r>
      <w:r w:rsidR="000B627C">
        <w:rPr>
          <w:lang w:val="de-DE"/>
        </w:rPr>
        <w:t>156</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 xml:space="preserve">65 </w:t>
      </w:r>
      <w:r w:rsidRPr="00BD0F44">
        <w:rPr>
          <w:rFonts w:cs="Tahoma"/>
          <w:lang w:val="de-DE"/>
        </w:rPr>
        <w:t>Lync Server 2013</w:t>
      </w:r>
      <w:r w:rsidRPr="00D244F0">
        <w:rPr>
          <w:lang w:val="de-DE"/>
        </w:rPr>
        <w:tab/>
      </w:r>
      <w:r w:rsidRPr="00BD0F44">
        <w:fldChar w:fldCharType="begin"/>
      </w:r>
      <w:r w:rsidRPr="00D244F0">
        <w:rPr>
          <w:lang w:val="de-DE"/>
        </w:rPr>
        <w:instrText xml:space="preserve"> PAGEREF _Toc354055020 \h </w:instrText>
      </w:r>
      <w:r w:rsidRPr="00BD0F44">
        <w:fldChar w:fldCharType="separate"/>
      </w:r>
      <w:r w:rsidR="000B627C">
        <w:rPr>
          <w:lang w:val="de-DE"/>
        </w:rPr>
        <w:t>157</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vertAlign w:val="superscript"/>
          <w:lang w:val="de-DE"/>
        </w:rPr>
        <w:t>66</w:t>
      </w:r>
      <w:r w:rsidRPr="00BD0F44">
        <w:rPr>
          <w:lang w:val="de-DE"/>
        </w:rPr>
        <w:t xml:space="preserve"> Microsoft Dynamics AX 2012 R2</w:t>
      </w:r>
      <w:r w:rsidRPr="00D244F0">
        <w:rPr>
          <w:lang w:val="de-DE"/>
        </w:rPr>
        <w:tab/>
      </w:r>
      <w:r w:rsidRPr="00BD0F44">
        <w:fldChar w:fldCharType="begin"/>
      </w:r>
      <w:r w:rsidRPr="00D244F0">
        <w:rPr>
          <w:lang w:val="de-DE"/>
        </w:rPr>
        <w:instrText xml:space="preserve"> PAGEREF _Toc354055021 \h </w:instrText>
      </w:r>
      <w:r w:rsidRPr="00BD0F44">
        <w:fldChar w:fldCharType="separate"/>
      </w:r>
      <w:r w:rsidR="000B627C">
        <w:rPr>
          <w:lang w:val="de-DE"/>
        </w:rPr>
        <w:t>158</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vertAlign w:val="superscript"/>
          <w:lang w:val="de-DE"/>
        </w:rPr>
        <w:t>67</w:t>
      </w:r>
      <w:r w:rsidRPr="00BD0F44">
        <w:rPr>
          <w:lang w:val="de-DE"/>
        </w:rPr>
        <w:t xml:space="preserve"> Microsoft Dynamics CRM 2011</w:t>
      </w:r>
      <w:r w:rsidRPr="00D244F0">
        <w:rPr>
          <w:lang w:val="de-DE"/>
        </w:rPr>
        <w:tab/>
      </w:r>
      <w:r w:rsidRPr="00BD0F44">
        <w:fldChar w:fldCharType="begin"/>
      </w:r>
      <w:r w:rsidRPr="00D244F0">
        <w:rPr>
          <w:lang w:val="de-DE"/>
        </w:rPr>
        <w:instrText xml:space="preserve"> PAGEREF _Toc354055022 \h </w:instrText>
      </w:r>
      <w:r w:rsidRPr="00BD0F44">
        <w:fldChar w:fldCharType="separate"/>
      </w:r>
      <w:r w:rsidR="000B627C">
        <w:rPr>
          <w:lang w:val="de-DE"/>
        </w:rPr>
        <w:t>159</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 xml:space="preserve">68 </w:t>
      </w:r>
      <w:r w:rsidRPr="00BD0F44">
        <w:rPr>
          <w:rFonts w:cs="Tahoma"/>
          <w:lang w:val="de-DE"/>
        </w:rPr>
        <w:t>Microsoft Dynamics CRM 2011 Server</w:t>
      </w:r>
      <w:r w:rsidRPr="00D244F0">
        <w:rPr>
          <w:lang w:val="de-DE"/>
        </w:rPr>
        <w:tab/>
      </w:r>
      <w:r w:rsidRPr="00BD0F44">
        <w:fldChar w:fldCharType="begin"/>
      </w:r>
      <w:r w:rsidRPr="00D244F0">
        <w:rPr>
          <w:lang w:val="de-DE"/>
        </w:rPr>
        <w:instrText xml:space="preserve"> PAGEREF _Toc354055023 \h </w:instrText>
      </w:r>
      <w:r w:rsidRPr="00BD0F44">
        <w:fldChar w:fldCharType="separate"/>
      </w:r>
      <w:r w:rsidR="000B627C">
        <w:rPr>
          <w:lang w:val="de-DE"/>
        </w:rPr>
        <w:t>169</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69</w:t>
      </w:r>
      <w:r w:rsidRPr="00BD0F44">
        <w:rPr>
          <w:rFonts w:cs="Tahoma"/>
          <w:lang w:val="de-DE"/>
        </w:rPr>
        <w:t xml:space="preserve"> Office 365 Enterprise E1</w:t>
      </w:r>
      <w:r w:rsidRPr="00D244F0">
        <w:rPr>
          <w:lang w:val="de-DE"/>
        </w:rPr>
        <w:tab/>
      </w:r>
      <w:r w:rsidRPr="00BD0F44">
        <w:fldChar w:fldCharType="begin"/>
      </w:r>
      <w:r w:rsidRPr="00D244F0">
        <w:rPr>
          <w:lang w:val="de-DE"/>
        </w:rPr>
        <w:instrText xml:space="preserve"> PAGEREF _Toc354055024 \h </w:instrText>
      </w:r>
      <w:r w:rsidRPr="00BD0F44">
        <w:fldChar w:fldCharType="separate"/>
      </w:r>
      <w:r w:rsidR="000B627C">
        <w:rPr>
          <w:lang w:val="de-DE"/>
        </w:rPr>
        <w:t>169</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 xml:space="preserve">70 </w:t>
      </w:r>
      <w:r w:rsidRPr="00BD0F44">
        <w:rPr>
          <w:rFonts w:cs="Tahoma"/>
          <w:lang w:val="de-DE"/>
        </w:rPr>
        <w:t>Office 365 Enterprise K1 und K2 (Nutzer-AL)</w:t>
      </w:r>
      <w:r w:rsidRPr="00D244F0">
        <w:rPr>
          <w:lang w:val="de-DE"/>
        </w:rPr>
        <w:tab/>
      </w:r>
      <w:r w:rsidRPr="00BD0F44">
        <w:fldChar w:fldCharType="begin"/>
      </w:r>
      <w:r w:rsidRPr="00D244F0">
        <w:rPr>
          <w:lang w:val="de-DE"/>
        </w:rPr>
        <w:instrText xml:space="preserve"> PAGEREF _Toc354055025 \h </w:instrText>
      </w:r>
      <w:r w:rsidRPr="00BD0F44">
        <w:fldChar w:fldCharType="separate"/>
      </w:r>
      <w:r w:rsidR="000B627C">
        <w:rPr>
          <w:lang w:val="de-DE"/>
        </w:rPr>
        <w:t>170</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caps/>
          <w:vertAlign w:val="superscript"/>
        </w:rPr>
        <w:t>71</w:t>
      </w:r>
      <w:r w:rsidRPr="00D244F0">
        <w:rPr>
          <w:rFonts w:cs="Tahoma"/>
        </w:rPr>
        <w:t xml:space="preserve"> Office 365 Government G1-G4</w:t>
      </w:r>
      <w:r w:rsidRPr="00BD0F44">
        <w:tab/>
      </w:r>
      <w:r w:rsidRPr="00BD0F44">
        <w:fldChar w:fldCharType="begin"/>
      </w:r>
      <w:r w:rsidRPr="00BD0F44">
        <w:instrText xml:space="preserve"> PAGEREF _Toc354055026 \h </w:instrText>
      </w:r>
      <w:r w:rsidRPr="00BD0F44">
        <w:fldChar w:fldCharType="separate"/>
      </w:r>
      <w:r w:rsidR="000B627C">
        <w:t>170</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caps/>
          <w:vertAlign w:val="superscript"/>
        </w:rPr>
        <w:t>72</w:t>
      </w:r>
      <w:r w:rsidRPr="00BD0F44">
        <w:rPr>
          <w:rFonts w:cs="Tahoma"/>
        </w:rPr>
        <w:t xml:space="preserve"> SharePoint Online Plan 1 und 2</w:t>
      </w:r>
      <w:r w:rsidRPr="00BD0F44">
        <w:tab/>
      </w:r>
      <w:r w:rsidRPr="00BD0F44">
        <w:fldChar w:fldCharType="begin"/>
      </w:r>
      <w:r w:rsidRPr="00BD0F44">
        <w:instrText xml:space="preserve"> PAGEREF _Toc354055027 \h </w:instrText>
      </w:r>
      <w:r w:rsidRPr="00BD0F44">
        <w:fldChar w:fldCharType="separate"/>
      </w:r>
      <w:r w:rsidR="000B627C">
        <w:t>171</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caps/>
          <w:vertAlign w:val="superscript"/>
        </w:rPr>
        <w:t xml:space="preserve">73 </w:t>
      </w:r>
      <w:r w:rsidRPr="00D244F0">
        <w:rPr>
          <w:rFonts w:cs="Tahoma"/>
        </w:rPr>
        <w:t>SharePoint Server 2013</w:t>
      </w:r>
      <w:r w:rsidRPr="00BD0F44">
        <w:tab/>
      </w:r>
      <w:r w:rsidRPr="00BD0F44">
        <w:fldChar w:fldCharType="begin"/>
      </w:r>
      <w:r w:rsidRPr="00BD0F44">
        <w:instrText xml:space="preserve"> PAGEREF _Toc354055028 \h </w:instrText>
      </w:r>
      <w:r w:rsidRPr="00BD0F44">
        <w:fldChar w:fldCharType="separate"/>
      </w:r>
      <w:r w:rsidR="000B627C">
        <w:t>172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74</w:t>
      </w:r>
      <w:r w:rsidRPr="00D244F0">
        <w:t xml:space="preserve"> SQL Server</w:t>
      </w:r>
      <w:r w:rsidRPr="00D244F0">
        <w:rPr>
          <w:vertAlign w:val="superscript"/>
        </w:rPr>
        <w:t>®</w:t>
      </w:r>
      <w:r w:rsidRPr="00D244F0">
        <w:t xml:space="preserve"> 2008 R2 Datacenter</w:t>
      </w:r>
      <w:r w:rsidRPr="00BD0F44">
        <w:tab/>
      </w:r>
      <w:r w:rsidRPr="00BD0F44">
        <w:fldChar w:fldCharType="begin"/>
      </w:r>
      <w:r w:rsidRPr="00BD0F44">
        <w:instrText xml:space="preserve"> PAGEREF _Toc354055029 \h </w:instrText>
      </w:r>
      <w:r w:rsidRPr="00BD0F44">
        <w:fldChar w:fldCharType="separate"/>
      </w:r>
      <w:r w:rsidR="000B627C">
        <w:t>173</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75 </w:t>
      </w:r>
      <w:r w:rsidRPr="00D244F0">
        <w:t>SQL Server</w:t>
      </w:r>
      <w:r w:rsidRPr="00D244F0">
        <w:rPr>
          <w:vertAlign w:val="superscript"/>
        </w:rPr>
        <w:t>®</w:t>
      </w:r>
      <w:r w:rsidRPr="00D244F0">
        <w:t xml:space="preserve"> 2008 R2 Small Business</w:t>
      </w:r>
      <w:r w:rsidRPr="00BD0F44">
        <w:tab/>
      </w:r>
      <w:r w:rsidRPr="00BD0F44">
        <w:fldChar w:fldCharType="begin"/>
      </w:r>
      <w:r w:rsidRPr="00BD0F44">
        <w:instrText xml:space="preserve"> PAGEREF _Toc354055030 \h </w:instrText>
      </w:r>
      <w:r w:rsidRPr="00BD0F44">
        <w:fldChar w:fldCharType="separate"/>
      </w:r>
      <w:r w:rsidR="000B627C">
        <w:t>176</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76</w:t>
      </w:r>
      <w:r w:rsidRPr="00D244F0">
        <w:t xml:space="preserve"> SQL Server</w:t>
      </w:r>
      <w:r w:rsidRPr="00D244F0">
        <w:rPr>
          <w:vertAlign w:val="superscript"/>
        </w:rPr>
        <w:t>®</w:t>
      </w:r>
      <w:r w:rsidRPr="00D244F0">
        <w:t xml:space="preserve"> 2008 R2 Web-Prozessor</w:t>
      </w:r>
      <w:r w:rsidRPr="00BD0F44">
        <w:tab/>
      </w:r>
      <w:r w:rsidRPr="00BD0F44">
        <w:fldChar w:fldCharType="begin"/>
      </w:r>
      <w:r w:rsidRPr="00BD0F44">
        <w:instrText xml:space="preserve"> PAGEREF _Toc354055031 \h </w:instrText>
      </w:r>
      <w:r w:rsidRPr="00BD0F44">
        <w:fldChar w:fldCharType="separate"/>
      </w:r>
      <w:r w:rsidR="000B627C">
        <w:t>176</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vertAlign w:val="superscript"/>
        </w:rPr>
        <w:lastRenderedPageBreak/>
        <w:t>77</w:t>
      </w:r>
      <w:r w:rsidRPr="00D244F0">
        <w:t xml:space="preserve"> SQL Server</w:t>
      </w:r>
      <w:r w:rsidRPr="00D244F0">
        <w:rPr>
          <w:vertAlign w:val="superscript"/>
        </w:rPr>
        <w:t>®</w:t>
      </w:r>
      <w:r w:rsidRPr="00D244F0">
        <w:t xml:space="preserve"> 2008 R2 Workgroup (Add-On für 5 Clients)</w:t>
      </w:r>
      <w:r w:rsidRPr="00BD0F44">
        <w:tab/>
      </w:r>
      <w:r w:rsidRPr="00BD0F44">
        <w:fldChar w:fldCharType="begin"/>
      </w:r>
      <w:r w:rsidRPr="00BD0F44">
        <w:instrText xml:space="preserve"> PAGEREF _Toc354055032 \h </w:instrText>
      </w:r>
      <w:r w:rsidRPr="00BD0F44">
        <w:fldChar w:fldCharType="separate"/>
      </w:r>
      <w:r w:rsidR="000B627C">
        <w:t>179</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vertAlign w:val="superscript"/>
        </w:rPr>
        <w:t>78</w:t>
      </w:r>
      <w:r w:rsidRPr="00D244F0">
        <w:t xml:space="preserve"> SQL Server</w:t>
      </w:r>
      <w:r w:rsidRPr="00D244F0">
        <w:rPr>
          <w:vertAlign w:val="superscript"/>
        </w:rPr>
        <w:t>®</w:t>
      </w:r>
      <w:r w:rsidRPr="00D244F0">
        <w:t xml:space="preserve"> 2008 R2 Workgroup Processor</w:t>
      </w:r>
      <w:r w:rsidRPr="00BD0F44">
        <w:tab/>
      </w:r>
      <w:r w:rsidRPr="00BD0F44">
        <w:fldChar w:fldCharType="begin"/>
      </w:r>
      <w:r w:rsidRPr="00BD0F44">
        <w:instrText xml:space="preserve"> PAGEREF _Toc354055033 \h </w:instrText>
      </w:r>
      <w:r w:rsidRPr="00BD0F44">
        <w:fldChar w:fldCharType="separate"/>
      </w:r>
      <w:r w:rsidR="000B627C">
        <w:t>179</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vertAlign w:val="superscript"/>
        </w:rPr>
        <w:t>79</w:t>
      </w:r>
      <w:r w:rsidRPr="00D244F0">
        <w:t xml:space="preserve"> SQL Server</w:t>
      </w:r>
      <w:r w:rsidRPr="00D244F0">
        <w:rPr>
          <w:vertAlign w:val="superscript"/>
        </w:rPr>
        <w:t>®</w:t>
      </w:r>
      <w:r w:rsidRPr="00D244F0">
        <w:t xml:space="preserve"> 2012 Developer</w:t>
      </w:r>
      <w:r w:rsidRPr="00BD0F44">
        <w:tab/>
      </w:r>
      <w:r w:rsidRPr="00BD0F44">
        <w:fldChar w:fldCharType="begin"/>
      </w:r>
      <w:r w:rsidRPr="00BD0F44">
        <w:instrText xml:space="preserve"> PAGEREF _Toc354055034 \h </w:instrText>
      </w:r>
      <w:r w:rsidRPr="00BD0F44">
        <w:fldChar w:fldCharType="separate"/>
      </w:r>
      <w:r w:rsidR="000B627C">
        <w:t>181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vertAlign w:val="superscript"/>
        </w:rPr>
        <w:t>80</w:t>
      </w:r>
      <w:r w:rsidRPr="00D244F0">
        <w:t xml:space="preserve"> SQL Server</w:t>
      </w:r>
      <w:r w:rsidRPr="00D244F0">
        <w:rPr>
          <w:vertAlign w:val="superscript"/>
        </w:rPr>
        <w:t>®</w:t>
      </w:r>
      <w:r w:rsidRPr="00D244F0">
        <w:t xml:space="preserve"> 2012 Enterprise</w:t>
      </w:r>
      <w:r w:rsidRPr="00BD0F44">
        <w:tab/>
      </w:r>
      <w:r w:rsidRPr="00BD0F44">
        <w:fldChar w:fldCharType="begin"/>
      </w:r>
      <w:r w:rsidRPr="00BD0F44">
        <w:instrText xml:space="preserve"> PAGEREF _Toc354055035 \h </w:instrText>
      </w:r>
      <w:r w:rsidRPr="00BD0F44">
        <w:fldChar w:fldCharType="separate"/>
      </w:r>
      <w:r w:rsidR="000B627C">
        <w:t>182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81 </w:t>
      </w:r>
      <w:r w:rsidRPr="00D244F0">
        <w:t>SQL Server</w:t>
      </w:r>
      <w:r w:rsidRPr="00D244F0">
        <w:rPr>
          <w:vertAlign w:val="superscript"/>
        </w:rPr>
        <w:t>®</w:t>
      </w:r>
      <w:r w:rsidRPr="00D244F0">
        <w:t xml:space="preserve"> 2012 Enterprise Core</w:t>
      </w:r>
      <w:r w:rsidRPr="00BD0F44">
        <w:tab/>
      </w:r>
      <w:r w:rsidRPr="00BD0F44">
        <w:fldChar w:fldCharType="begin"/>
      </w:r>
      <w:r w:rsidRPr="00BD0F44">
        <w:instrText xml:space="preserve"> PAGEREF _Toc354055036 \h </w:instrText>
      </w:r>
      <w:r w:rsidRPr="00BD0F44">
        <w:fldChar w:fldCharType="separate"/>
      </w:r>
      <w:r w:rsidR="000B627C">
        <w:t>182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82</w:t>
      </w:r>
      <w:r w:rsidRPr="00D244F0">
        <w:t xml:space="preserve"> SQL Server</w:t>
      </w:r>
      <w:r w:rsidRPr="00D244F0">
        <w:rPr>
          <w:vertAlign w:val="superscript"/>
        </w:rPr>
        <w:t>®</w:t>
      </w:r>
      <w:r w:rsidRPr="00D244F0">
        <w:t xml:space="preserve"> 2012 Parallel Data Warehouse</w:t>
      </w:r>
      <w:r w:rsidRPr="00BD0F44">
        <w:tab/>
      </w:r>
      <w:r w:rsidRPr="00BD0F44">
        <w:fldChar w:fldCharType="begin"/>
      </w:r>
      <w:r w:rsidRPr="00BD0F44">
        <w:instrText xml:space="preserve"> PAGEREF _Toc354055037 \h </w:instrText>
      </w:r>
      <w:r w:rsidRPr="00BD0F44">
        <w:fldChar w:fldCharType="separate"/>
      </w:r>
      <w:r w:rsidR="000B627C">
        <w:t>185</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83</w:t>
      </w:r>
      <w:r w:rsidRPr="00D244F0">
        <w:t xml:space="preserve"> SQL Server</w:t>
      </w:r>
      <w:r w:rsidRPr="00D244F0">
        <w:rPr>
          <w:vertAlign w:val="superscript"/>
        </w:rPr>
        <w:t>®</w:t>
      </w:r>
      <w:r w:rsidRPr="00D244F0">
        <w:t xml:space="preserve"> 2012 Standard</w:t>
      </w:r>
      <w:r w:rsidRPr="00BD0F44">
        <w:tab/>
      </w:r>
      <w:r w:rsidRPr="00BD0F44">
        <w:fldChar w:fldCharType="begin"/>
      </w:r>
      <w:r w:rsidRPr="00BD0F44">
        <w:instrText xml:space="preserve"> PAGEREF _Toc354055038 \h </w:instrText>
      </w:r>
      <w:r w:rsidRPr="00BD0F44">
        <w:fldChar w:fldCharType="separate"/>
      </w:r>
      <w:r w:rsidR="000B627C">
        <w:t>186</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84</w:t>
      </w:r>
      <w:r w:rsidRPr="00D244F0">
        <w:t xml:space="preserve"> SQL Server</w:t>
      </w:r>
      <w:r w:rsidRPr="00D244F0">
        <w:rPr>
          <w:vertAlign w:val="superscript"/>
        </w:rPr>
        <w:t>®</w:t>
      </w:r>
      <w:r w:rsidRPr="00D244F0">
        <w:t xml:space="preserve"> 2012 Standard</w:t>
      </w:r>
      <w:r w:rsidRPr="00D244F0">
        <w:rPr>
          <w:rFonts w:eastAsia="Calibri"/>
        </w:rPr>
        <w:t xml:space="preserve"> Core</w:t>
      </w:r>
      <w:r w:rsidRPr="00BD0F44">
        <w:tab/>
      </w:r>
      <w:r w:rsidRPr="00BD0F44">
        <w:fldChar w:fldCharType="begin"/>
      </w:r>
      <w:r w:rsidRPr="00BD0F44">
        <w:instrText xml:space="preserve"> PAGEREF _Toc354055039 \h </w:instrText>
      </w:r>
      <w:r w:rsidRPr="00BD0F44">
        <w:fldChar w:fldCharType="separate"/>
      </w:r>
      <w:r w:rsidR="000B627C">
        <w:t>186</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85</w:t>
      </w:r>
      <w:r w:rsidRPr="00D244F0">
        <w:t xml:space="preserve"> System Center Essentials 2010</w:t>
      </w:r>
      <w:r w:rsidRPr="00BD0F44">
        <w:tab/>
      </w:r>
      <w:r w:rsidRPr="00BD0F44">
        <w:fldChar w:fldCharType="begin"/>
      </w:r>
      <w:r w:rsidRPr="00BD0F44">
        <w:instrText xml:space="preserve"> PAGEREF _Toc354055040 \h </w:instrText>
      </w:r>
      <w:r w:rsidRPr="00BD0F44">
        <w:fldChar w:fldCharType="separate"/>
      </w:r>
      <w:r w:rsidR="000B627C">
        <w:t>189</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86</w:t>
      </w:r>
      <w:r w:rsidRPr="00D244F0">
        <w:t xml:space="preserve"> System Center Reporting Manager 2006</w:t>
      </w:r>
      <w:r w:rsidRPr="00BD0F44">
        <w:tab/>
      </w:r>
      <w:r w:rsidRPr="00BD0F44">
        <w:fldChar w:fldCharType="begin"/>
      </w:r>
      <w:r w:rsidRPr="00BD0F44">
        <w:instrText xml:space="preserve"> PAGEREF _Toc354055041 \h </w:instrText>
      </w:r>
      <w:r w:rsidRPr="00BD0F44">
        <w:fldChar w:fldCharType="separate"/>
      </w:r>
      <w:r w:rsidR="000B627C">
        <w:t>190</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87 </w:t>
      </w:r>
      <w:r w:rsidRPr="00D244F0">
        <w:t>System Center Server Management Suite Enterprise</w:t>
      </w:r>
      <w:r w:rsidRPr="00BD0F44">
        <w:tab/>
      </w:r>
      <w:r w:rsidRPr="00BD0F44">
        <w:fldChar w:fldCharType="begin"/>
      </w:r>
      <w:r w:rsidRPr="00BD0F44">
        <w:instrText xml:space="preserve"> PAGEREF _Toc354055042 \h </w:instrText>
      </w:r>
      <w:r w:rsidRPr="00BD0F44">
        <w:fldChar w:fldCharType="separate"/>
      </w:r>
      <w:r w:rsidR="000B627C">
        <w:t>191</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88 </w:t>
      </w:r>
      <w:r w:rsidRPr="00D244F0">
        <w:t>System Center Server Management Suite Datacenter</w:t>
      </w:r>
      <w:r w:rsidRPr="00BD0F44">
        <w:tab/>
      </w:r>
      <w:r w:rsidRPr="00BD0F44">
        <w:fldChar w:fldCharType="begin"/>
      </w:r>
      <w:r w:rsidRPr="00BD0F44">
        <w:instrText xml:space="preserve"> PAGEREF _Toc354055043 \h </w:instrText>
      </w:r>
      <w:r w:rsidRPr="00BD0F44">
        <w:fldChar w:fldCharType="separate"/>
      </w:r>
      <w:r w:rsidR="000B627C">
        <w:t>192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89</w:t>
      </w:r>
      <w:r w:rsidRPr="00D244F0">
        <w:t xml:space="preserve"> System Center Virtual Machine Manager 2008 R2 – Client- und Server-Management-Lizenzen</w:t>
      </w:r>
      <w:r w:rsidRPr="00BD0F44">
        <w:tab/>
      </w:r>
      <w:r w:rsidRPr="00BD0F44">
        <w:fldChar w:fldCharType="begin"/>
      </w:r>
      <w:r w:rsidRPr="00BD0F44">
        <w:instrText xml:space="preserve"> PAGEREF _Toc354055044 \h </w:instrText>
      </w:r>
      <w:r w:rsidRPr="00BD0F44">
        <w:fldChar w:fldCharType="separate"/>
      </w:r>
      <w:r w:rsidR="000B627C">
        <w:t>193</w:t>
      </w:r>
      <w:r w:rsidRPr="00BD0F44">
        <w:fldChar w:fldCharType="end"/>
      </w:r>
    </w:p>
    <w:p w:rsidR="00B7356C" w:rsidRPr="00D244F0" w:rsidRDefault="00B7356C" w:rsidP="008F06E8">
      <w:pPr>
        <w:pStyle w:val="TOC3"/>
        <w:rPr>
          <w:rFonts w:asciiTheme="minorHAnsi" w:eastAsia="Batang" w:hAnsiTheme="minorHAnsi" w:cstheme="minorBidi"/>
          <w:sz w:val="22"/>
          <w:szCs w:val="22"/>
          <w:lang w:val="da-DK" w:eastAsia="ko-KR"/>
        </w:rPr>
      </w:pPr>
      <w:r w:rsidRPr="00D244F0">
        <w:rPr>
          <w:caps/>
          <w:vertAlign w:val="superscript"/>
          <w:lang w:val="da-DK"/>
        </w:rPr>
        <w:t>90</w:t>
      </w:r>
      <w:r w:rsidRPr="00D244F0">
        <w:rPr>
          <w:lang w:val="da-DK"/>
        </w:rPr>
        <w:t xml:space="preserve"> System Center 2012</w:t>
      </w:r>
      <w:r w:rsidRPr="00D244F0">
        <w:rPr>
          <w:lang w:val="da-DK"/>
        </w:rPr>
        <w:tab/>
      </w:r>
      <w:r w:rsidRPr="00BD0F44">
        <w:fldChar w:fldCharType="begin"/>
      </w:r>
      <w:r w:rsidRPr="00D244F0">
        <w:rPr>
          <w:lang w:val="da-DK"/>
        </w:rPr>
        <w:instrText xml:space="preserve"> PAGEREF _Toc354055045 \h </w:instrText>
      </w:r>
      <w:r w:rsidRPr="00BD0F44">
        <w:fldChar w:fldCharType="separate"/>
      </w:r>
      <w:r w:rsidR="000B627C">
        <w:rPr>
          <w:lang w:val="da-DK"/>
        </w:rPr>
        <w:t>193</w:t>
      </w:r>
      <w:r w:rsidRPr="00BD0F44">
        <w:fldChar w:fldCharType="end"/>
      </w:r>
    </w:p>
    <w:p w:rsidR="00B7356C" w:rsidRPr="00D244F0" w:rsidRDefault="00B7356C" w:rsidP="008F06E8">
      <w:pPr>
        <w:pStyle w:val="TOC3"/>
        <w:rPr>
          <w:rFonts w:asciiTheme="minorHAnsi" w:eastAsia="Batang" w:hAnsiTheme="minorHAnsi" w:cstheme="minorBidi"/>
          <w:sz w:val="22"/>
          <w:szCs w:val="22"/>
          <w:lang w:val="da-DK" w:eastAsia="ko-KR"/>
        </w:rPr>
      </w:pPr>
      <w:r w:rsidRPr="00D244F0">
        <w:rPr>
          <w:caps/>
          <w:vertAlign w:val="superscript"/>
          <w:lang w:val="da-DK"/>
        </w:rPr>
        <w:t>91</w:t>
      </w:r>
      <w:r w:rsidRPr="00D244F0">
        <w:rPr>
          <w:lang w:val="da-DK"/>
        </w:rPr>
        <w:t xml:space="preserve"> System Center 2012 Endpoint Protection</w:t>
      </w:r>
      <w:r w:rsidRPr="00D244F0">
        <w:rPr>
          <w:lang w:val="da-DK"/>
        </w:rPr>
        <w:tab/>
      </w:r>
      <w:r w:rsidRPr="00BD0F44">
        <w:fldChar w:fldCharType="begin"/>
      </w:r>
      <w:r w:rsidRPr="00D244F0">
        <w:rPr>
          <w:lang w:val="da-DK"/>
        </w:rPr>
        <w:instrText xml:space="preserve"> PAGEREF _Toc354055046 \h </w:instrText>
      </w:r>
      <w:r w:rsidRPr="00BD0F44">
        <w:fldChar w:fldCharType="separate"/>
      </w:r>
      <w:r w:rsidR="000B627C">
        <w:rPr>
          <w:lang w:val="da-DK"/>
        </w:rPr>
        <w:t>196</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92</w:t>
      </w:r>
      <w:r w:rsidRPr="00D244F0">
        <w:t xml:space="preserve"> TechNet Plus Single User</w:t>
      </w:r>
      <w:r w:rsidRPr="00BD0F44">
        <w:tab/>
      </w:r>
      <w:r w:rsidRPr="00BD0F44">
        <w:fldChar w:fldCharType="begin"/>
      </w:r>
      <w:r w:rsidRPr="00BD0F44">
        <w:instrText xml:space="preserve"> PAGEREF _Toc354055047 \h </w:instrText>
      </w:r>
      <w:r w:rsidRPr="00BD0F44">
        <w:fldChar w:fldCharType="separate"/>
      </w:r>
      <w:r w:rsidR="000B627C">
        <w:t>196</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93 </w:t>
      </w:r>
      <w:r w:rsidRPr="00D244F0">
        <w:t>VDI Standard and Premium Suites</w:t>
      </w:r>
      <w:r w:rsidRPr="00BD0F44">
        <w:tab/>
      </w:r>
      <w:r w:rsidRPr="00BD0F44">
        <w:fldChar w:fldCharType="begin"/>
      </w:r>
      <w:r w:rsidRPr="00BD0F44">
        <w:instrText xml:space="preserve"> PAGEREF _Toc354055048 \h </w:instrText>
      </w:r>
      <w:r w:rsidRPr="00BD0F44">
        <w:fldChar w:fldCharType="separate"/>
      </w:r>
      <w:r w:rsidR="000B627C">
        <w:t>197</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 xml:space="preserve">94 </w:t>
      </w:r>
      <w:r w:rsidRPr="00BD0F44">
        <w:rPr>
          <w:lang w:val="de-DE"/>
        </w:rPr>
        <w:t>Vexcel Server und Vexcel Server mit Erweitertem Inhaltspaket</w:t>
      </w:r>
      <w:r w:rsidRPr="00D244F0">
        <w:rPr>
          <w:lang w:val="de-DE"/>
        </w:rPr>
        <w:tab/>
      </w:r>
      <w:r w:rsidRPr="00BD0F44">
        <w:fldChar w:fldCharType="begin"/>
      </w:r>
      <w:r w:rsidRPr="00D244F0">
        <w:rPr>
          <w:lang w:val="de-DE"/>
        </w:rPr>
        <w:instrText xml:space="preserve"> PAGEREF _Toc354055049 \h </w:instrText>
      </w:r>
      <w:r w:rsidRPr="00BD0F44">
        <w:fldChar w:fldCharType="separate"/>
      </w:r>
      <w:r w:rsidR="000B627C">
        <w:rPr>
          <w:lang w:val="de-DE"/>
        </w:rPr>
        <w:t>197</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BD0F44">
        <w:rPr>
          <w:rFonts w:cs="Tahoma"/>
          <w:caps/>
          <w:vertAlign w:val="superscript"/>
          <w:lang w:val="de-DE"/>
        </w:rPr>
        <w:t xml:space="preserve">95 </w:t>
      </w:r>
      <w:r w:rsidRPr="00BD0F44">
        <w:rPr>
          <w:rFonts w:cs="Tahoma"/>
          <w:lang w:val="de-DE"/>
        </w:rPr>
        <w:t>Windows Azure-Dienste</w:t>
      </w:r>
      <w:r w:rsidRPr="00D244F0">
        <w:rPr>
          <w:lang w:val="de-DE"/>
        </w:rPr>
        <w:tab/>
      </w:r>
      <w:r w:rsidRPr="00BD0F44">
        <w:fldChar w:fldCharType="begin"/>
      </w:r>
      <w:r w:rsidRPr="00D244F0">
        <w:rPr>
          <w:lang w:val="de-DE"/>
        </w:rPr>
        <w:instrText xml:space="preserve"> PAGEREF _Toc354055050 \h </w:instrText>
      </w:r>
      <w:r w:rsidRPr="00BD0F44">
        <w:fldChar w:fldCharType="separate"/>
      </w:r>
      <w:r w:rsidR="000B627C">
        <w:rPr>
          <w:lang w:val="de-DE"/>
        </w:rPr>
        <w:t>197</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caps/>
          <w:vertAlign w:val="superscript"/>
          <w:lang w:val="de-DE"/>
        </w:rPr>
        <w:t>96</w:t>
      </w:r>
      <w:r w:rsidRPr="00D244F0">
        <w:rPr>
          <w:rFonts w:cs="Tahoma"/>
          <w:lang w:val="de-DE"/>
        </w:rPr>
        <w:t xml:space="preserve"> Windows Embedded Device Manager 2011 – Management Server-Lizenz</w:t>
      </w:r>
      <w:r w:rsidRPr="00D244F0">
        <w:rPr>
          <w:lang w:val="de-DE"/>
        </w:rPr>
        <w:tab/>
      </w:r>
      <w:r w:rsidRPr="00BD0F44">
        <w:fldChar w:fldCharType="begin"/>
      </w:r>
      <w:r w:rsidRPr="00D244F0">
        <w:rPr>
          <w:lang w:val="de-DE"/>
        </w:rPr>
        <w:instrText xml:space="preserve"> PAGEREF _Toc354055051 \h </w:instrText>
      </w:r>
      <w:r w:rsidRPr="00BD0F44">
        <w:fldChar w:fldCharType="separate"/>
      </w:r>
      <w:r w:rsidR="000B627C">
        <w:rPr>
          <w:lang w:val="de-DE"/>
        </w:rPr>
        <w:t>197</w:t>
      </w:r>
      <w:r w:rsidRPr="00BD0F44">
        <w:fldChar w:fldCharType="end"/>
      </w:r>
    </w:p>
    <w:p w:rsidR="00B7356C" w:rsidRPr="00D244F0" w:rsidRDefault="00B7356C">
      <w:pPr>
        <w:pStyle w:val="TOC2"/>
        <w:rPr>
          <w:rFonts w:asciiTheme="minorHAnsi" w:eastAsia="Batang" w:hAnsiTheme="minorHAnsi" w:cstheme="minorBidi"/>
          <w:sz w:val="22"/>
          <w:szCs w:val="22"/>
          <w:lang w:val="de-DE" w:eastAsia="ko-KR"/>
        </w:rPr>
      </w:pPr>
      <w:r w:rsidRPr="00D244F0">
        <w:rPr>
          <w:rFonts w:cs="Tahoma"/>
          <w:caps/>
          <w:vertAlign w:val="superscript"/>
          <w:lang w:val="de-DE"/>
        </w:rPr>
        <w:t>97</w:t>
      </w:r>
      <w:r w:rsidRPr="00D244F0">
        <w:rPr>
          <w:rFonts w:cs="Tahoma"/>
          <w:lang w:val="de-DE"/>
        </w:rPr>
        <w:t xml:space="preserve"> Windows Embedded Device Manager 2011 – Client Management-Lizenz</w:t>
      </w:r>
      <w:r w:rsidRPr="00D244F0">
        <w:rPr>
          <w:lang w:val="de-DE"/>
        </w:rPr>
        <w:tab/>
      </w:r>
      <w:r w:rsidRPr="00BD0F44">
        <w:fldChar w:fldCharType="begin"/>
      </w:r>
      <w:r w:rsidRPr="00D244F0">
        <w:rPr>
          <w:lang w:val="de-DE"/>
        </w:rPr>
        <w:instrText xml:space="preserve"> PAGEREF _Toc354055052 \h </w:instrText>
      </w:r>
      <w:r w:rsidRPr="00BD0F44">
        <w:fldChar w:fldCharType="separate"/>
      </w:r>
      <w:r w:rsidR="000B627C">
        <w:rPr>
          <w:lang w:val="de-DE"/>
        </w:rPr>
        <w:t>198</w:t>
      </w:r>
      <w:r w:rsidRPr="00BD0F44">
        <w:fldChar w:fldCharType="end"/>
      </w:r>
    </w:p>
    <w:p w:rsidR="00B7356C" w:rsidRPr="00D244F0" w:rsidRDefault="00B7356C" w:rsidP="008F06E8">
      <w:pPr>
        <w:pStyle w:val="TOC3"/>
        <w:rPr>
          <w:rFonts w:asciiTheme="minorHAnsi" w:eastAsia="Batang" w:hAnsiTheme="minorHAnsi" w:cstheme="minorBidi"/>
          <w:sz w:val="22"/>
          <w:szCs w:val="22"/>
          <w:lang w:val="de-DE" w:eastAsia="ko-KR"/>
        </w:rPr>
      </w:pPr>
      <w:r w:rsidRPr="00BD0F44">
        <w:rPr>
          <w:caps/>
          <w:vertAlign w:val="superscript"/>
          <w:lang w:val="de-DE"/>
        </w:rPr>
        <w:t xml:space="preserve">98 </w:t>
      </w:r>
      <w:r w:rsidRPr="00BD0F44">
        <w:rPr>
          <w:lang w:val="de-DE"/>
        </w:rPr>
        <w:t>Windows EBS 2008 Standard und EBS 2008 Premium</w:t>
      </w:r>
      <w:r w:rsidRPr="00D244F0">
        <w:rPr>
          <w:lang w:val="de-DE"/>
        </w:rPr>
        <w:tab/>
      </w:r>
      <w:r w:rsidRPr="00BD0F44">
        <w:fldChar w:fldCharType="begin"/>
      </w:r>
      <w:r w:rsidRPr="00D244F0">
        <w:rPr>
          <w:lang w:val="de-DE"/>
        </w:rPr>
        <w:instrText xml:space="preserve"> PAGEREF _Toc354055053 \h </w:instrText>
      </w:r>
      <w:r w:rsidRPr="00BD0F44">
        <w:fldChar w:fldCharType="separate"/>
      </w:r>
      <w:r w:rsidR="000B627C">
        <w:rPr>
          <w:lang w:val="de-DE"/>
        </w:rPr>
        <w:t>199</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99 </w:t>
      </w:r>
      <w:r w:rsidRPr="00D244F0">
        <w:t>Windows HPC Server 2008 R2 Suite</w:t>
      </w:r>
      <w:r w:rsidRPr="00BD0F44">
        <w:tab/>
      </w:r>
      <w:r w:rsidRPr="00BD0F44">
        <w:fldChar w:fldCharType="begin"/>
      </w:r>
      <w:r w:rsidRPr="00BD0F44">
        <w:instrText xml:space="preserve"> PAGEREF _Toc354055054 \h </w:instrText>
      </w:r>
      <w:r w:rsidRPr="00BD0F44">
        <w:fldChar w:fldCharType="separate"/>
      </w:r>
      <w:r w:rsidR="000B627C">
        <w:t>201</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caps/>
          <w:vertAlign w:val="superscript"/>
        </w:rPr>
        <w:t xml:space="preserve">100 </w:t>
      </w:r>
      <w:r w:rsidRPr="00D244F0">
        <w:rPr>
          <w:rFonts w:cs="Tahoma"/>
        </w:rPr>
        <w:t>Windows Multipoint Server 2012 Standard</w:t>
      </w:r>
      <w:r w:rsidRPr="00BD0F44">
        <w:tab/>
      </w:r>
      <w:r w:rsidRPr="00BD0F44">
        <w:fldChar w:fldCharType="begin"/>
      </w:r>
      <w:r w:rsidRPr="00BD0F44">
        <w:instrText xml:space="preserve"> PAGEREF _Toc354055055 \h </w:instrText>
      </w:r>
      <w:r w:rsidRPr="00BD0F44">
        <w:fldChar w:fldCharType="separate"/>
      </w:r>
      <w:r w:rsidR="000B627C">
        <w:t>202</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caps/>
          <w:vertAlign w:val="superscript"/>
        </w:rPr>
        <w:t xml:space="preserve">101 </w:t>
      </w:r>
      <w:r w:rsidRPr="00D244F0">
        <w:rPr>
          <w:rFonts w:cs="Tahoma"/>
        </w:rPr>
        <w:t>Windows Multipoint Server 2012 Premium</w:t>
      </w:r>
      <w:r w:rsidRPr="00BD0F44">
        <w:tab/>
      </w:r>
      <w:r w:rsidRPr="00BD0F44">
        <w:fldChar w:fldCharType="begin"/>
      </w:r>
      <w:r w:rsidRPr="00BD0F44">
        <w:instrText xml:space="preserve"> PAGEREF _Toc354055056 \h </w:instrText>
      </w:r>
      <w:r w:rsidRPr="00BD0F44">
        <w:fldChar w:fldCharType="separate"/>
      </w:r>
      <w:r w:rsidR="000B627C">
        <w:t>202</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caps/>
          <w:vertAlign w:val="superscript"/>
        </w:rPr>
        <w:t>102</w:t>
      </w:r>
      <w:r w:rsidRPr="00BD0F44">
        <w:rPr>
          <w:rFonts w:cs="Tahoma"/>
        </w:rPr>
        <w:t xml:space="preserve"> CAL für Windows Multipoint Server 2012</w:t>
      </w:r>
      <w:r w:rsidRPr="00BD0F44">
        <w:tab/>
      </w:r>
      <w:r w:rsidRPr="00BD0F44">
        <w:fldChar w:fldCharType="begin"/>
      </w:r>
      <w:r w:rsidRPr="00BD0F44">
        <w:instrText xml:space="preserve"> PAGEREF _Toc354055057 \h </w:instrText>
      </w:r>
      <w:r w:rsidRPr="00BD0F44">
        <w:fldChar w:fldCharType="separate"/>
      </w:r>
      <w:r w:rsidR="000B627C">
        <w:t>202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103</w:t>
      </w:r>
      <w:r w:rsidRPr="00D244F0">
        <w:t xml:space="preserve"> Windows Server 2008 R2 HPC Edition</w:t>
      </w:r>
      <w:r w:rsidRPr="00BD0F44">
        <w:tab/>
      </w:r>
      <w:r w:rsidRPr="00BD0F44">
        <w:fldChar w:fldCharType="begin"/>
      </w:r>
      <w:r w:rsidRPr="00BD0F44">
        <w:instrText xml:space="preserve"> PAGEREF _Toc354055058 \h </w:instrText>
      </w:r>
      <w:r w:rsidRPr="00BD0F44">
        <w:fldChar w:fldCharType="separate"/>
      </w:r>
      <w:r w:rsidR="000B627C">
        <w:t>202</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104</w:t>
      </w:r>
      <w:r w:rsidRPr="00D244F0">
        <w:t xml:space="preserve"> Windows Server 2008 R2 Enterprise</w:t>
      </w:r>
      <w:r w:rsidRPr="00BD0F44">
        <w:tab/>
      </w:r>
      <w:r w:rsidRPr="00BD0F44">
        <w:fldChar w:fldCharType="begin"/>
      </w:r>
      <w:r w:rsidRPr="00BD0F44">
        <w:instrText xml:space="preserve"> PAGEREF _Toc354055059 \h </w:instrText>
      </w:r>
      <w:r w:rsidRPr="00BD0F44">
        <w:fldChar w:fldCharType="separate"/>
      </w:r>
      <w:r w:rsidR="000B627C">
        <w:t>203</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105</w:t>
      </w:r>
      <w:r w:rsidRPr="00D244F0">
        <w:t xml:space="preserve"> Windows Server 2008 R2 für Itanium-basierte Systeme</w:t>
      </w:r>
      <w:r w:rsidRPr="00BD0F44">
        <w:tab/>
      </w:r>
      <w:r w:rsidRPr="00BD0F44">
        <w:fldChar w:fldCharType="begin"/>
      </w:r>
      <w:r w:rsidRPr="00BD0F44">
        <w:instrText xml:space="preserve"> PAGEREF _Toc354055060 \h </w:instrText>
      </w:r>
      <w:r w:rsidRPr="00BD0F44">
        <w:fldChar w:fldCharType="separate"/>
      </w:r>
      <w:r w:rsidR="000B627C">
        <w:t>204</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106 </w:t>
      </w:r>
      <w:r w:rsidRPr="00D244F0">
        <w:t>CAL für Windows Server 2012</w:t>
      </w:r>
      <w:r w:rsidRPr="00BD0F44">
        <w:tab/>
      </w:r>
      <w:r w:rsidRPr="00BD0F44">
        <w:fldChar w:fldCharType="begin"/>
      </w:r>
      <w:r w:rsidRPr="00BD0F44">
        <w:instrText xml:space="preserve"> PAGEREF _Toc354055061 \h </w:instrText>
      </w:r>
      <w:r w:rsidRPr="00BD0F44">
        <w:fldChar w:fldCharType="separate"/>
      </w:r>
      <w:r w:rsidR="000B627C">
        <w:t>204</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107 </w:t>
      </w:r>
      <w:r w:rsidRPr="00D244F0">
        <w:t>Windows Server 2008 R2 Datacenter</w:t>
      </w:r>
      <w:r w:rsidRPr="00BD0F44">
        <w:tab/>
      </w:r>
      <w:r w:rsidRPr="00BD0F44">
        <w:fldChar w:fldCharType="begin"/>
      </w:r>
      <w:r w:rsidRPr="00BD0F44">
        <w:instrText xml:space="preserve"> PAGEREF _Toc354055062 \h </w:instrText>
      </w:r>
      <w:r w:rsidRPr="00BD0F44">
        <w:fldChar w:fldCharType="separate"/>
      </w:r>
      <w:r w:rsidR="000B627C">
        <w:t>205</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 xml:space="preserve">108 </w:t>
      </w:r>
      <w:r w:rsidRPr="00D244F0">
        <w:t>Windows Server 2008 R2 Standard</w:t>
      </w:r>
      <w:r w:rsidRPr="00BD0F44">
        <w:tab/>
      </w:r>
      <w:r w:rsidRPr="00BD0F44">
        <w:fldChar w:fldCharType="begin"/>
      </w:r>
      <w:r w:rsidRPr="00BD0F44">
        <w:instrText xml:space="preserve"> PAGEREF _Toc354055063 \h </w:instrText>
      </w:r>
      <w:r w:rsidRPr="00BD0F44">
        <w:fldChar w:fldCharType="separate"/>
      </w:r>
      <w:r w:rsidR="000B627C">
        <w:t>206</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D244F0">
        <w:rPr>
          <w:caps/>
          <w:vertAlign w:val="superscript"/>
        </w:rPr>
        <w:t>109</w:t>
      </w:r>
      <w:r w:rsidRPr="00D244F0">
        <w:t xml:space="preserve"> Windows Web Server</w:t>
      </w:r>
      <w:r w:rsidRPr="00D244F0">
        <w:rPr>
          <w:vertAlign w:val="superscript"/>
        </w:rPr>
        <w:t>®</w:t>
      </w:r>
      <w:r w:rsidRPr="00D244F0">
        <w:t xml:space="preserve"> 2008 R2</w:t>
      </w:r>
      <w:r w:rsidRPr="00BD0F44">
        <w:tab/>
      </w:r>
      <w:r w:rsidRPr="00BD0F44">
        <w:fldChar w:fldCharType="begin"/>
      </w:r>
      <w:r w:rsidRPr="00BD0F44">
        <w:instrText xml:space="preserve"> PAGEREF _Toc354055064 \h </w:instrText>
      </w:r>
      <w:r w:rsidRPr="00BD0F44">
        <w:fldChar w:fldCharType="separate"/>
      </w:r>
      <w:r w:rsidR="000B627C">
        <w:t>207</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D244F0">
        <w:rPr>
          <w:rFonts w:cs="Tahoma"/>
          <w:caps/>
          <w:vertAlign w:val="superscript"/>
        </w:rPr>
        <w:t>110</w:t>
      </w:r>
      <w:r w:rsidRPr="00D244F0">
        <w:rPr>
          <w:rFonts w:cs="Tahoma"/>
        </w:rPr>
        <w:t xml:space="preserve"> Windows Small Business Server (SBS) 2008 Premium</w:t>
      </w:r>
      <w:r w:rsidRPr="00BD0F44">
        <w:tab/>
      </w:r>
      <w:r w:rsidRPr="00BD0F44">
        <w:fldChar w:fldCharType="begin"/>
      </w:r>
      <w:r w:rsidRPr="00BD0F44">
        <w:instrText xml:space="preserve"> PAGEREF _Toc354055065 \h </w:instrText>
      </w:r>
      <w:r w:rsidRPr="00BD0F44">
        <w:fldChar w:fldCharType="separate"/>
      </w:r>
      <w:r w:rsidR="000B627C">
        <w:t>207</w:t>
      </w:r>
      <w:r w:rsidRPr="00BD0F44">
        <w:fldChar w:fldCharType="end"/>
      </w:r>
    </w:p>
    <w:p w:rsidR="00B7356C" w:rsidRPr="00BD0F44" w:rsidRDefault="00B7356C" w:rsidP="008F06E8">
      <w:pPr>
        <w:pStyle w:val="TOC3"/>
        <w:rPr>
          <w:rFonts w:asciiTheme="minorHAnsi" w:eastAsia="Batang" w:hAnsiTheme="minorHAnsi" w:cstheme="minorBidi"/>
          <w:sz w:val="22"/>
          <w:szCs w:val="22"/>
          <w:lang w:eastAsia="ko-KR"/>
        </w:rPr>
      </w:pPr>
      <w:r w:rsidRPr="00BD0F44">
        <w:rPr>
          <w:caps/>
          <w:vertAlign w:val="superscript"/>
        </w:rPr>
        <w:t>111</w:t>
      </w:r>
      <w:r w:rsidRPr="00BD0F44">
        <w:t xml:space="preserve"> Windows Small Business Server (SBS) 2011 Standard</w:t>
      </w:r>
      <w:r w:rsidRPr="00BD0F44">
        <w:tab/>
      </w:r>
      <w:r w:rsidRPr="00BD0F44">
        <w:fldChar w:fldCharType="begin"/>
      </w:r>
      <w:r w:rsidRPr="00BD0F44">
        <w:instrText xml:space="preserve"> PAGEREF _Toc354055066 \h </w:instrText>
      </w:r>
      <w:r w:rsidRPr="00BD0F44">
        <w:fldChar w:fldCharType="separate"/>
      </w:r>
      <w:r w:rsidR="000B627C">
        <w:t>208</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caps/>
          <w:vertAlign w:val="superscript"/>
        </w:rPr>
        <w:t xml:space="preserve">112 </w:t>
      </w:r>
      <w:r w:rsidRPr="00BD0F44">
        <w:rPr>
          <w:rFonts w:cs="Tahoma"/>
        </w:rPr>
        <w:t>CAL-Suite für Windows Small Business Server (SBS) 2011</w:t>
      </w:r>
      <w:r w:rsidRPr="00BD0F44">
        <w:tab/>
      </w:r>
      <w:r w:rsidRPr="00BD0F44">
        <w:fldChar w:fldCharType="begin"/>
      </w:r>
      <w:r w:rsidRPr="00BD0F44">
        <w:instrText xml:space="preserve"> PAGEREF _Toc354055067 \h </w:instrText>
      </w:r>
      <w:r w:rsidRPr="00BD0F44">
        <w:fldChar w:fldCharType="separate"/>
      </w:r>
      <w:r w:rsidR="000B627C">
        <w:t>209</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caps/>
          <w:vertAlign w:val="superscript"/>
        </w:rPr>
        <w:t xml:space="preserve">113 </w:t>
      </w:r>
      <w:r w:rsidRPr="00BD0F44">
        <w:rPr>
          <w:rFonts w:cs="Tahoma"/>
        </w:rPr>
        <w:t>Windows Small Business Server (SBS) 2011 Premium Add-On</w:t>
      </w:r>
      <w:r w:rsidRPr="00BD0F44">
        <w:tab/>
      </w:r>
      <w:r w:rsidRPr="00BD0F44">
        <w:fldChar w:fldCharType="begin"/>
      </w:r>
      <w:r w:rsidRPr="00BD0F44">
        <w:instrText xml:space="preserve"> PAGEREF _Toc354055068 \h </w:instrText>
      </w:r>
      <w:r w:rsidRPr="00BD0F44">
        <w:fldChar w:fldCharType="separate"/>
      </w:r>
      <w:r w:rsidR="000B627C">
        <w:t>210</w:t>
      </w:r>
      <w:r w:rsidRPr="00BD0F44">
        <w:fldChar w:fldCharType="end"/>
      </w:r>
    </w:p>
    <w:p w:rsidR="00B7356C" w:rsidRPr="00BD0F44" w:rsidRDefault="00B7356C">
      <w:pPr>
        <w:pStyle w:val="TOC2"/>
        <w:rPr>
          <w:rFonts w:asciiTheme="minorHAnsi" w:eastAsia="Batang" w:hAnsiTheme="minorHAnsi" w:cstheme="minorBidi"/>
          <w:sz w:val="22"/>
          <w:szCs w:val="22"/>
          <w:lang w:eastAsia="ko-KR"/>
        </w:rPr>
      </w:pPr>
      <w:r w:rsidRPr="00BD0F44">
        <w:rPr>
          <w:rFonts w:cs="Tahoma"/>
          <w:caps/>
          <w:vertAlign w:val="superscript"/>
        </w:rPr>
        <w:t>114</w:t>
      </w:r>
      <w:r w:rsidRPr="00BD0F44">
        <w:rPr>
          <w:rFonts w:cs="Tahoma"/>
        </w:rPr>
        <w:t xml:space="preserve"> Windows Small Business Server (SBS) 2011 Premium Add-on CAL Suite</w:t>
      </w:r>
      <w:r w:rsidRPr="00BD0F44">
        <w:tab/>
      </w:r>
      <w:r w:rsidRPr="00BD0F44">
        <w:fldChar w:fldCharType="begin"/>
      </w:r>
      <w:r w:rsidRPr="00BD0F44">
        <w:instrText xml:space="preserve"> PAGEREF _Toc354055069 \h </w:instrText>
      </w:r>
      <w:r w:rsidRPr="00BD0F44">
        <w:fldChar w:fldCharType="separate"/>
      </w:r>
      <w:r w:rsidR="000B627C">
        <w:t>211</w:t>
      </w:r>
      <w:r w:rsidRPr="00BD0F44">
        <w:fldChar w:fldCharType="end"/>
      </w:r>
    </w:p>
    <w:p w:rsidR="00B7356C" w:rsidRDefault="00B7356C">
      <w:pPr>
        <w:pStyle w:val="TOC2"/>
        <w:rPr>
          <w:rFonts w:asciiTheme="minorHAnsi" w:eastAsia="Batang" w:hAnsiTheme="minorHAnsi" w:cstheme="minorBidi"/>
          <w:sz w:val="22"/>
          <w:szCs w:val="22"/>
          <w:lang w:eastAsia="ko-KR"/>
        </w:rPr>
      </w:pPr>
      <w:r w:rsidRPr="00D244F0">
        <w:rPr>
          <w:rFonts w:cs="Tahoma"/>
          <w:vertAlign w:val="superscript"/>
        </w:rPr>
        <w:t xml:space="preserve">115 </w:t>
      </w:r>
      <w:r w:rsidRPr="00D244F0">
        <w:rPr>
          <w:rFonts w:cs="Tahoma"/>
        </w:rPr>
        <w:t>Windows Small Business Server 2011 Essentials</w:t>
      </w:r>
      <w:r>
        <w:tab/>
      </w:r>
      <w:r>
        <w:fldChar w:fldCharType="begin"/>
      </w:r>
      <w:r>
        <w:instrText xml:space="preserve"> PAGEREF _Toc354055070 \h </w:instrText>
      </w:r>
      <w:r>
        <w:fldChar w:fldCharType="separate"/>
      </w:r>
      <w:r w:rsidR="000B627C">
        <w:t>212</w:t>
      </w:r>
      <w:r>
        <w:fldChar w:fldCharType="end"/>
      </w:r>
    </w:p>
    <w:p w:rsidR="007E0CC6" w:rsidRPr="00106A7D" w:rsidRDefault="00955428" w:rsidP="00461CA9">
      <w:pPr>
        <w:pStyle w:val="TOC4"/>
        <w:tabs>
          <w:tab w:val="clear" w:pos="9360"/>
          <w:tab w:val="center" w:pos="4680"/>
        </w:tabs>
      </w:pPr>
      <w:r w:rsidRPr="00106A7D">
        <w:rPr>
          <w:rFonts w:cs="Tahoma"/>
          <w:szCs w:val="18"/>
        </w:rPr>
        <w:fldChar w:fldCharType="end"/>
      </w:r>
    </w:p>
    <w:p w:rsidR="00023FE7" w:rsidRPr="00621662" w:rsidRDefault="00ED3854" w:rsidP="007E0CC6">
      <w:pPr>
        <w:pStyle w:val="Heading2"/>
        <w:rPr>
          <w:rFonts w:ascii="Tahoma" w:hAnsi="Tahoma" w:cs="Tahoma"/>
          <w:sz w:val="36"/>
          <w:lang w:val="de-DE"/>
        </w:rPr>
      </w:pPr>
      <w:bookmarkStart w:id="6" w:name="_Toc246850065"/>
      <w:r w:rsidRPr="0059130A">
        <w:rPr>
          <w:rFonts w:ascii="Tahoma" w:hAnsi="Tahoma" w:cs="Tahoma"/>
          <w:sz w:val="36"/>
          <w:lang w:val="de-DE"/>
        </w:rPr>
        <w:br w:type="page"/>
      </w:r>
      <w:bookmarkStart w:id="7" w:name="_Toc336337840"/>
      <w:bookmarkStart w:id="8" w:name="_Toc354054536"/>
      <w:r w:rsidRPr="00621662">
        <w:rPr>
          <w:rFonts w:ascii="Tahoma" w:hAnsi="Tahoma" w:cs="Tahoma"/>
          <w:sz w:val="36"/>
          <w:lang w:val="de-DE"/>
        </w:rPr>
        <w:lastRenderedPageBreak/>
        <w:t>Tabellenlegende</w:t>
      </w:r>
      <w:bookmarkEnd w:id="6"/>
      <w:bookmarkEnd w:id="7"/>
      <w:bookmarkEnd w:id="8"/>
    </w:p>
    <w:p w:rsidR="000A39DC" w:rsidRPr="00621662" w:rsidRDefault="000A39DC" w:rsidP="000A39DC">
      <w:pPr>
        <w:pStyle w:val="ChartKeyHeadings"/>
        <w:ind w:right="-180"/>
        <w:rPr>
          <w:rFonts w:ascii="Tahoma" w:hAnsi="Tahoma" w:cs="Tahoma"/>
          <w:sz w:val="18"/>
          <w:szCs w:val="18"/>
          <w:lang w:val="de-DE"/>
        </w:rPr>
      </w:pPr>
    </w:p>
    <w:p w:rsidR="00023FE7" w:rsidRPr="00621662" w:rsidRDefault="00023FE7">
      <w:pPr>
        <w:pStyle w:val="ChartKeyHeadings"/>
        <w:ind w:right="-180"/>
        <w:rPr>
          <w:rFonts w:ascii="Tahoma" w:hAnsi="Tahoma" w:cs="Tahoma"/>
          <w:szCs w:val="24"/>
          <w:lang w:val="de-DE"/>
        </w:rPr>
      </w:pPr>
      <w:r w:rsidRPr="00621662">
        <w:rPr>
          <w:rFonts w:ascii="Tahoma" w:hAnsi="Tahoma" w:cs="Tahoma"/>
          <w:szCs w:val="24"/>
          <w:lang w:val="de-DE"/>
        </w:rPr>
        <w:t>Spaltenüberschriften</w:t>
      </w:r>
    </w:p>
    <w:p w:rsidR="000A39DC" w:rsidRPr="00621662" w:rsidRDefault="000A39DC" w:rsidP="000A39DC">
      <w:pPr>
        <w:pStyle w:val="ChartKeyHeadings"/>
        <w:rPr>
          <w:rFonts w:ascii="Tahoma" w:hAnsi="Tahoma" w:cs="Tahoma"/>
          <w:sz w:val="18"/>
          <w:szCs w:val="18"/>
          <w:lang w:val="de-DE"/>
        </w:rPr>
      </w:pPr>
    </w:p>
    <w:p w:rsidR="00664EE9" w:rsidRPr="00BB5519" w:rsidRDefault="00664EE9" w:rsidP="000A39DC">
      <w:pPr>
        <w:pStyle w:val="Bodywithspace"/>
        <w:spacing w:before="0" w:after="0" w:line="276" w:lineRule="auto"/>
        <w:ind w:right="-180"/>
        <w:rPr>
          <w:lang w:val="de-DE"/>
        </w:rPr>
      </w:pPr>
      <w:r w:rsidRPr="00BB5519">
        <w:rPr>
          <w:rStyle w:val="BodyChar"/>
          <w:rFonts w:ascii="Tahoma" w:hAnsi="Tahoma" w:cs="Tahoma"/>
          <w:b/>
          <w:color w:val="000000"/>
          <w:sz w:val="18"/>
          <w:szCs w:val="18"/>
          <w:lang w:val="de-DE"/>
        </w:rPr>
        <w:t>Campus- und School-Einheiten =</w:t>
      </w:r>
      <w:r w:rsidRPr="00BB5519">
        <w:rPr>
          <w:rFonts w:ascii="Tahoma" w:hAnsi="Tahoma" w:cs="Tahoma"/>
          <w:color w:val="000000"/>
          <w:sz w:val="18"/>
          <w:szCs w:val="18"/>
          <w:lang w:val="de-DE"/>
        </w:rPr>
        <w:t xml:space="preserve"> Die in dieser Spalte angegebenen Zahlen stehen für die Anzahl der vorgesehenen Einheiten, wenn Software über den School-Beitritt unter dem Campus- und School-Vertrag angeboten wird. Wenn die CA/SA-Spalte keine Angaben enthält, werden die Produkte nicht im Rahmen dieser</w:t>
      </w:r>
      <w:r w:rsidR="000A39DC" w:rsidRPr="00BB5519">
        <w:rPr>
          <w:rFonts w:ascii="Tahoma" w:hAnsi="Tahoma" w:cs="Tahoma"/>
          <w:color w:val="000000"/>
          <w:sz w:val="18"/>
          <w:szCs w:val="18"/>
          <w:lang w:val="de-DE"/>
        </w:rPr>
        <w:t> </w:t>
      </w:r>
      <w:r w:rsidRPr="00BB5519">
        <w:rPr>
          <w:rFonts w:ascii="Tahoma" w:hAnsi="Tahoma" w:cs="Tahoma"/>
          <w:color w:val="000000"/>
          <w:sz w:val="18"/>
          <w:szCs w:val="18"/>
          <w:lang w:val="de-DE"/>
        </w:rPr>
        <w:t>Programme angeboten.</w:t>
      </w:r>
    </w:p>
    <w:p w:rsidR="00023FE7" w:rsidRPr="00BB5519" w:rsidRDefault="00023FE7" w:rsidP="000A39DC">
      <w:pPr>
        <w:pStyle w:val="Bodywithspace"/>
        <w:spacing w:before="0" w:after="0" w:line="276" w:lineRule="auto"/>
        <w:ind w:right="-180"/>
        <w:rPr>
          <w:lang w:val="de-DE"/>
        </w:rPr>
      </w:pPr>
      <w:r w:rsidRPr="00BB5519">
        <w:rPr>
          <w:rStyle w:val="BodyChar"/>
          <w:rFonts w:ascii="Tahoma" w:hAnsi="Tahoma" w:cs="Tahoma"/>
          <w:b/>
          <w:sz w:val="18"/>
          <w:szCs w:val="18"/>
          <w:lang w:val="de-DE"/>
        </w:rPr>
        <w:t>Verfügbarkeitsdatum =</w:t>
      </w:r>
      <w:r w:rsidRPr="00BB5519">
        <w:rPr>
          <w:rStyle w:val="BodyChar"/>
          <w:rFonts w:ascii="Tahoma" w:hAnsi="Tahoma" w:cs="Tahoma"/>
          <w:bCs/>
          <w:sz w:val="18"/>
          <w:szCs w:val="18"/>
          <w:lang w:val="de-DE"/>
        </w:rPr>
        <w:t xml:space="preserve"> </w:t>
      </w:r>
      <w:r w:rsidRPr="00BB5519">
        <w:rPr>
          <w:rStyle w:val="BodyChar"/>
          <w:rFonts w:ascii="Tahoma" w:hAnsi="Tahoma" w:cs="Tahoma"/>
          <w:sz w:val="18"/>
          <w:szCs w:val="18"/>
          <w:lang w:val="de-DE"/>
        </w:rPr>
        <w:t>Datum, an dem ein Produkt erstmals verfügbar ist</w:t>
      </w:r>
      <w:r w:rsidRPr="00BB5519">
        <w:rPr>
          <w:rStyle w:val="BodyChar"/>
          <w:rFonts w:ascii="Tahoma" w:hAnsi="Tahoma" w:cs="Tahoma"/>
          <w:color w:val="000000"/>
          <w:sz w:val="18"/>
          <w:szCs w:val="18"/>
          <w:lang w:val="de-DE"/>
        </w:rPr>
        <w:t xml:space="preserve"> (Monat/Jahr). </w:t>
      </w:r>
      <w:r w:rsidRPr="00BB5519">
        <w:rPr>
          <w:rStyle w:val="BodyChar"/>
          <w:rFonts w:ascii="Tahoma" w:hAnsi="Tahoma" w:cs="Tahoma"/>
          <w:sz w:val="18"/>
          <w:szCs w:val="18"/>
          <w:lang w:val="de-DE"/>
        </w:rPr>
        <w:t>Dies ist entweder</w:t>
      </w:r>
      <w:r w:rsidR="000A39DC" w:rsidRPr="00BB5519">
        <w:rPr>
          <w:rStyle w:val="BodyChar"/>
          <w:rFonts w:ascii="Tahoma" w:hAnsi="Tahoma" w:cs="Tahoma"/>
          <w:sz w:val="18"/>
          <w:szCs w:val="18"/>
          <w:lang w:val="de-DE"/>
        </w:rPr>
        <w:t> </w:t>
      </w:r>
      <w:r w:rsidRPr="00BB5519">
        <w:rPr>
          <w:rStyle w:val="BodyChar"/>
          <w:rFonts w:ascii="Tahoma" w:hAnsi="Tahoma" w:cs="Tahoma"/>
          <w:sz w:val="18"/>
          <w:szCs w:val="18"/>
          <w:lang w:val="de-DE"/>
        </w:rPr>
        <w:t>das Datum, an dem Microsoft Lizenzen für das jeweilige Produkt zur Bestellung oder Software für das jeweilige Produkt zum Download aus dem Center für Volumenlizenz-Services (VLSC) verfügbar macht, wobei das frühere Datum maßgeblich ist.</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EA (Enterprise Agreement, Konzernvertrag) =</w:t>
      </w:r>
      <w:r w:rsidRPr="00BB5519">
        <w:rPr>
          <w:rFonts w:ascii="Tahoma" w:hAnsi="Tahoma" w:cs="Tahoma"/>
          <w:sz w:val="18"/>
          <w:szCs w:val="18"/>
          <w:lang w:val="de-DE"/>
        </w:rPr>
        <w:t xml:space="preserve"> Konzernvertrag 20xx.</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EA Sub (Konzern-Abonnement-Vertrag) =</w:t>
      </w:r>
      <w:r w:rsidRPr="00BB5519">
        <w:rPr>
          <w:rStyle w:val="BodyChar"/>
          <w:rFonts w:ascii="Tahoma" w:hAnsi="Tahoma" w:cs="Tahoma"/>
          <w:bCs/>
          <w:sz w:val="18"/>
          <w:szCs w:val="18"/>
          <w:lang w:val="de-DE"/>
        </w:rPr>
        <w:t xml:space="preserve"> </w:t>
      </w:r>
      <w:r w:rsidRPr="00BB5519">
        <w:rPr>
          <w:rFonts w:ascii="Tahoma" w:hAnsi="Tahoma" w:cs="Tahoma"/>
          <w:sz w:val="18"/>
          <w:szCs w:val="18"/>
          <w:lang w:val="de-DE"/>
        </w:rPr>
        <w:t>Konzern-Abonnement-Vertrag 200x.</w:t>
      </w:r>
      <w:r w:rsidR="009E4976" w:rsidRPr="00BB5519">
        <w:rPr>
          <w:rFonts w:ascii="Tahoma" w:hAnsi="Tahoma" w:cs="Tahoma"/>
          <w:sz w:val="18"/>
          <w:szCs w:val="18"/>
          <w:lang w:val="de-DE"/>
        </w:rPr>
        <w:t xml:space="preserve"> </w:t>
      </w:r>
    </w:p>
    <w:p w:rsidR="00456002" w:rsidRPr="00BB5519" w:rsidRDefault="00456002" w:rsidP="00456002">
      <w:pPr>
        <w:pStyle w:val="Bodywithspace"/>
        <w:spacing w:before="0" w:after="0" w:line="276" w:lineRule="auto"/>
        <w:ind w:right="-180"/>
        <w:rPr>
          <w:lang w:val="de-DE"/>
        </w:rPr>
      </w:pPr>
      <w:r w:rsidRPr="00BB5519">
        <w:rPr>
          <w:rStyle w:val="BodyChar"/>
          <w:rFonts w:ascii="Tahoma" w:hAnsi="Tahoma" w:cs="Tahoma"/>
          <w:b/>
          <w:sz w:val="18"/>
          <w:szCs w:val="18"/>
          <w:lang w:val="de-DE"/>
        </w:rPr>
        <w:t>Mindestmenge bei Open-Programmen =</w:t>
      </w:r>
      <w:r w:rsidRPr="00BB5519">
        <w:rPr>
          <w:rFonts w:ascii="Tahoma" w:hAnsi="Tahoma" w:cs="Tahoma"/>
          <w:sz w:val="18"/>
          <w:szCs w:val="18"/>
          <w:lang w:val="de-DE"/>
        </w:rPr>
        <w:t xml:space="preserve"> Jede Lizenz zählt nur als 5 Lizenzen für den Zweck der Mindestmenge der Anfangsbestellung in Open-Lizenz- und/oder Open Value-Programmen. Der Wert gibt an, für welches Programm dies gilt.</w:t>
      </w:r>
    </w:p>
    <w:p w:rsidR="00456002" w:rsidRPr="00BB5519" w:rsidRDefault="00456002" w:rsidP="000A39DC">
      <w:pPr>
        <w:pStyle w:val="Bodywithspace"/>
        <w:spacing w:before="0" w:after="0" w:line="276" w:lineRule="auto"/>
        <w:ind w:right="-180"/>
        <w:rPr>
          <w:lang w:val="de-DE"/>
        </w:rPr>
      </w:pPr>
      <w:r w:rsidRPr="00BB5519">
        <w:rPr>
          <w:rStyle w:val="BodyChar"/>
          <w:rFonts w:ascii="Tahoma" w:hAnsi="Tahoma" w:cs="Tahoma"/>
          <w:b/>
          <w:sz w:val="18"/>
          <w:szCs w:val="18"/>
          <w:lang w:val="de-DE"/>
        </w:rPr>
        <w:t>Open-Lizenz =</w:t>
      </w:r>
      <w:r w:rsidRPr="00BB5519">
        <w:rPr>
          <w:rFonts w:ascii="Tahoma" w:hAnsi="Tahoma" w:cs="Tahoma"/>
          <w:sz w:val="18"/>
          <w:szCs w:val="18"/>
          <w:lang w:val="de-DE"/>
        </w:rPr>
        <w:t xml:space="preserve"> Die auf Open-Lizenz beschränkte Komponente der Open-Programme. Zu Open-Lizenz gehören, sofern verfügbar, Open-Lizenz, Open-Lizenz für Forschung &amp; Lehre, Open-Lizenz für Verwaltung und</w:t>
      </w:r>
      <w:r w:rsidR="000A39DC" w:rsidRPr="00BB5519">
        <w:rPr>
          <w:rFonts w:ascii="Tahoma" w:hAnsi="Tahoma" w:cs="Tahoma"/>
          <w:sz w:val="18"/>
          <w:szCs w:val="18"/>
          <w:lang w:val="de-DE"/>
        </w:rPr>
        <w:t> </w:t>
      </w:r>
      <w:r w:rsidRPr="00BB5519">
        <w:rPr>
          <w:rFonts w:ascii="Tahoma" w:hAnsi="Tahoma" w:cs="Tahoma"/>
          <w:sz w:val="18"/>
          <w:szCs w:val="18"/>
          <w:lang w:val="de-DE"/>
        </w:rPr>
        <w:t>Charity Open-Lizenz.</w:t>
      </w:r>
    </w:p>
    <w:p w:rsidR="00456002" w:rsidRPr="00BB5519" w:rsidRDefault="00456002" w:rsidP="00456002">
      <w:pPr>
        <w:pStyle w:val="Bodywithspace"/>
        <w:spacing w:before="0" w:after="0" w:line="276" w:lineRule="auto"/>
        <w:ind w:right="-180"/>
        <w:rPr>
          <w:lang w:val="de-DE"/>
        </w:rPr>
      </w:pPr>
      <w:r w:rsidRPr="00BB5519">
        <w:rPr>
          <w:rStyle w:val="BodyChar"/>
          <w:rFonts w:ascii="Tahoma" w:hAnsi="Tahoma" w:cs="Tahoma"/>
          <w:b/>
          <w:sz w:val="18"/>
          <w:szCs w:val="18"/>
          <w:lang w:val="de-DE"/>
        </w:rPr>
        <w:t>Open Value (OV)</w:t>
      </w:r>
      <w:r w:rsidR="000A39DC" w:rsidRPr="00BB5519">
        <w:rPr>
          <w:rStyle w:val="BodyChar"/>
          <w:rFonts w:ascii="Tahoma" w:hAnsi="Tahoma" w:cs="Tahoma"/>
          <w:b/>
          <w:sz w:val="18"/>
          <w:szCs w:val="18"/>
          <w:lang w:val="de-DE"/>
        </w:rPr>
        <w:t xml:space="preserve"> </w:t>
      </w:r>
      <w:r w:rsidRPr="00BB5519">
        <w:rPr>
          <w:rStyle w:val="BodyChar"/>
          <w:rFonts w:ascii="Tahoma" w:hAnsi="Tahoma" w:cs="Tahoma"/>
          <w:b/>
          <w:sz w:val="18"/>
          <w:szCs w:val="18"/>
          <w:lang w:val="de-DE"/>
        </w:rPr>
        <w:t>=</w:t>
      </w:r>
      <w:r w:rsidRPr="00BB5519">
        <w:rPr>
          <w:rFonts w:ascii="Tahoma" w:hAnsi="Tahoma" w:cs="Tahoma"/>
          <w:sz w:val="18"/>
          <w:szCs w:val="18"/>
          <w:lang w:val="de-DE"/>
        </w:rPr>
        <w:t xml:space="preserve"> Zu Open Value gehören Open Value und Open Value für Verwaltung.</w:t>
      </w:r>
    </w:p>
    <w:p w:rsidR="00456002" w:rsidRPr="00BB5519" w:rsidRDefault="00456002" w:rsidP="000A39DC">
      <w:pPr>
        <w:pStyle w:val="Bodywithspace"/>
        <w:spacing w:before="0" w:after="0" w:line="276" w:lineRule="auto"/>
        <w:ind w:right="-180"/>
        <w:rPr>
          <w:lang w:val="de-DE"/>
        </w:rPr>
      </w:pPr>
      <w:r w:rsidRPr="00BB5519">
        <w:rPr>
          <w:rStyle w:val="BodyChar"/>
          <w:rFonts w:ascii="Tahoma" w:hAnsi="Tahoma" w:cs="Tahoma"/>
          <w:b/>
          <w:sz w:val="18"/>
          <w:szCs w:val="18"/>
          <w:lang w:val="de-DE"/>
        </w:rPr>
        <w:t>Open Value Subscription (OVS)</w:t>
      </w:r>
      <w:r w:rsidR="000A39DC" w:rsidRPr="00BB5519">
        <w:rPr>
          <w:rStyle w:val="BodyChar"/>
          <w:rFonts w:ascii="Tahoma" w:hAnsi="Tahoma" w:cs="Tahoma"/>
          <w:b/>
          <w:sz w:val="18"/>
          <w:szCs w:val="18"/>
          <w:lang w:val="de-DE"/>
        </w:rPr>
        <w:t xml:space="preserve"> </w:t>
      </w:r>
      <w:r w:rsidRPr="00BB5519">
        <w:rPr>
          <w:rStyle w:val="BodyChar"/>
          <w:rFonts w:ascii="Tahoma" w:hAnsi="Tahoma" w:cs="Tahoma"/>
          <w:b/>
          <w:sz w:val="18"/>
          <w:szCs w:val="18"/>
          <w:lang w:val="de-DE"/>
        </w:rPr>
        <w:t>=</w:t>
      </w:r>
      <w:r w:rsidRPr="00BB5519">
        <w:rPr>
          <w:rFonts w:ascii="Tahoma" w:hAnsi="Tahoma" w:cs="Tahoma"/>
          <w:sz w:val="18"/>
          <w:szCs w:val="18"/>
          <w:lang w:val="de-DE"/>
        </w:rPr>
        <w:t xml:space="preserve"> Zu Open Value Subscription gehören Open Value Subscription und Open</w:t>
      </w:r>
      <w:r w:rsidR="000A39DC" w:rsidRPr="00BB5519">
        <w:rPr>
          <w:rFonts w:ascii="Tahoma" w:hAnsi="Tahoma" w:cs="Tahoma"/>
          <w:sz w:val="18"/>
          <w:szCs w:val="18"/>
          <w:lang w:val="de-DE"/>
        </w:rPr>
        <w:t> </w:t>
      </w:r>
      <w:r w:rsidRPr="00BB5519">
        <w:rPr>
          <w:rFonts w:ascii="Tahoma" w:hAnsi="Tahoma" w:cs="Tahoma"/>
          <w:sz w:val="18"/>
          <w:szCs w:val="18"/>
          <w:lang w:val="de-DE"/>
        </w:rPr>
        <w:t xml:space="preserve">Value Subscription für Verwaltung. </w:t>
      </w:r>
    </w:p>
    <w:p w:rsidR="00456002" w:rsidRPr="00BB5519" w:rsidRDefault="00456002" w:rsidP="00456002">
      <w:pPr>
        <w:pStyle w:val="Bodywithspace"/>
        <w:spacing w:before="0" w:after="0" w:line="276" w:lineRule="auto"/>
        <w:ind w:right="-180"/>
        <w:rPr>
          <w:lang w:val="de-DE"/>
        </w:rPr>
      </w:pPr>
      <w:r w:rsidRPr="00BB5519">
        <w:rPr>
          <w:rStyle w:val="BodyChar"/>
          <w:rFonts w:ascii="Tahoma" w:hAnsi="Tahoma" w:cs="Tahoma"/>
          <w:b/>
          <w:sz w:val="18"/>
          <w:szCs w:val="18"/>
          <w:lang w:val="de-DE"/>
        </w:rPr>
        <w:t>EES/OVS-ES =</w:t>
      </w:r>
      <w:r w:rsidRPr="00BB5519">
        <w:rPr>
          <w:rStyle w:val="BodyChar"/>
          <w:rFonts w:ascii="Tahoma" w:hAnsi="Tahoma" w:cs="Tahoma"/>
          <w:bCs/>
          <w:sz w:val="18"/>
          <w:szCs w:val="18"/>
          <w:lang w:val="de-DE"/>
        </w:rPr>
        <w:t xml:space="preserve"> </w:t>
      </w:r>
      <w:r w:rsidRPr="00BB5519">
        <w:rPr>
          <w:rStyle w:val="BodyChar"/>
          <w:rFonts w:ascii="Tahoma" w:hAnsi="Tahoma" w:cs="Tahoma"/>
          <w:sz w:val="18"/>
          <w:szCs w:val="18"/>
          <w:lang w:val="de-DE"/>
        </w:rPr>
        <w:t>Beitritt für Bildungslösungen/Open Value Subscription – Bildungslösungen</w:t>
      </w:r>
    </w:p>
    <w:p w:rsidR="00456002" w:rsidRPr="00BB5519" w:rsidRDefault="00456002" w:rsidP="00456002">
      <w:pPr>
        <w:pStyle w:val="Bodywithspace"/>
        <w:spacing w:before="0" w:after="0" w:line="276" w:lineRule="auto"/>
        <w:ind w:right="-180"/>
        <w:rPr>
          <w:lang w:val="de-DE"/>
        </w:rPr>
      </w:pPr>
      <w:r w:rsidRPr="00BB5519">
        <w:rPr>
          <w:rStyle w:val="BodyChar"/>
          <w:rFonts w:ascii="Tahoma" w:hAnsi="Tahoma" w:cs="Tahoma"/>
          <w:b/>
          <w:sz w:val="18"/>
          <w:szCs w:val="18"/>
          <w:lang w:val="de-DE"/>
        </w:rPr>
        <w:t>Promos &amp; Migrationen =</w:t>
      </w:r>
      <w:r w:rsidRPr="00BB5519">
        <w:rPr>
          <w:rFonts w:ascii="Tahoma" w:hAnsi="Tahoma" w:cs="Tahoma"/>
          <w:sz w:val="18"/>
          <w:szCs w:val="18"/>
          <w:lang w:val="de-DE"/>
        </w:rPr>
        <w:t xml:space="preserve"> Eine Promotion oder Softwaremigration steht zur Verfügung.</w:t>
      </w:r>
    </w:p>
    <w:p w:rsidR="00456002" w:rsidRPr="00BB5519" w:rsidRDefault="00456002" w:rsidP="00456002">
      <w:pPr>
        <w:pStyle w:val="Bodywithspace"/>
        <w:spacing w:before="0" w:after="0" w:line="276" w:lineRule="auto"/>
        <w:ind w:right="-180"/>
        <w:rPr>
          <w:lang w:val="de-DE"/>
        </w:rPr>
      </w:pPr>
      <w:r w:rsidRPr="00BB5519">
        <w:rPr>
          <w:rStyle w:val="BodyChar"/>
          <w:rFonts w:ascii="Tahoma" w:hAnsi="Tahoma" w:cs="Tahoma"/>
          <w:b/>
          <w:sz w:val="18"/>
          <w:szCs w:val="18"/>
          <w:lang w:val="de-DE"/>
        </w:rPr>
        <w:t>SAV =</w:t>
      </w:r>
      <w:r w:rsidRPr="00BB5519">
        <w:rPr>
          <w:rFonts w:ascii="Tahoma" w:hAnsi="Tahoma" w:cs="Tahoma"/>
          <w:sz w:val="18"/>
          <w:szCs w:val="18"/>
          <w:lang w:val="de-DE"/>
        </w:rPr>
        <w:t xml:space="preserve"> Für berechtigte Kunden dieser Software gibt es Software Assurance-Vergünstigungen.</w:t>
      </w:r>
    </w:p>
    <w:p w:rsidR="00456002" w:rsidRPr="00BB5519" w:rsidRDefault="00456002" w:rsidP="00456002">
      <w:pPr>
        <w:pStyle w:val="Bodywithspace"/>
        <w:spacing w:before="0" w:after="0" w:line="276" w:lineRule="auto"/>
        <w:ind w:right="-180"/>
        <w:rPr>
          <w:lang w:val="de-DE"/>
        </w:rPr>
      </w:pPr>
      <w:r w:rsidRPr="00BB5519">
        <w:rPr>
          <w:rStyle w:val="BodyChar"/>
          <w:rFonts w:ascii="Tahoma" w:hAnsi="Tahoma" w:cs="Tahoma"/>
          <w:b/>
          <w:sz w:val="18"/>
          <w:szCs w:val="18"/>
          <w:lang w:val="de-DE"/>
        </w:rPr>
        <w:t>Select =</w:t>
      </w:r>
      <w:r w:rsidRPr="00BB5519">
        <w:rPr>
          <w:rFonts w:ascii="Tahoma" w:hAnsi="Tahoma" w:cs="Tahoma"/>
          <w:sz w:val="18"/>
          <w:szCs w:val="18"/>
          <w:lang w:val="de-DE"/>
        </w:rPr>
        <w:t xml:space="preserve"> Select 20xx. Hierzu zählen auch Select für Forschung &amp; Lehre und Select für Verwaltung.</w:t>
      </w:r>
    </w:p>
    <w:p w:rsidR="00456002" w:rsidRPr="00BB5519" w:rsidRDefault="00456002" w:rsidP="00456002">
      <w:pPr>
        <w:pStyle w:val="Bodywithspace"/>
        <w:spacing w:before="0" w:after="0" w:line="276" w:lineRule="auto"/>
        <w:ind w:right="-180"/>
        <w:rPr>
          <w:lang w:val="de-DE"/>
        </w:rPr>
      </w:pPr>
      <w:r w:rsidRPr="00BB5519">
        <w:rPr>
          <w:rStyle w:val="BodyChar"/>
          <w:rFonts w:ascii="Tahoma" w:hAnsi="Tahoma" w:cs="Tahoma"/>
          <w:b/>
          <w:sz w:val="18"/>
          <w:szCs w:val="18"/>
          <w:lang w:val="fr-FR"/>
        </w:rPr>
        <w:t>Select Plus</w:t>
      </w:r>
      <w:r w:rsidRPr="00BB5519">
        <w:rPr>
          <w:rStyle w:val="BodyChar"/>
          <w:rFonts w:ascii="Tahoma" w:hAnsi="Tahoma" w:cs="Tahoma"/>
          <w:sz w:val="18"/>
          <w:szCs w:val="18"/>
          <w:lang w:val="fr-FR"/>
        </w:rPr>
        <w:t xml:space="preserve"> = Select Plus 20xx .</w:t>
      </w:r>
      <w:r w:rsidR="009E4976" w:rsidRPr="00BB5519">
        <w:rPr>
          <w:rStyle w:val="BodyChar"/>
          <w:rFonts w:ascii="Tahoma" w:hAnsi="Tahoma" w:cs="Tahoma"/>
          <w:sz w:val="18"/>
          <w:szCs w:val="18"/>
          <w:lang w:val="fr-FR"/>
        </w:rPr>
        <w:t xml:space="preserve"> </w:t>
      </w:r>
      <w:r w:rsidRPr="00BB5519">
        <w:rPr>
          <w:rStyle w:val="BodyChar"/>
          <w:rFonts w:ascii="Tahoma" w:hAnsi="Tahoma" w:cs="Tahoma"/>
          <w:sz w:val="18"/>
          <w:szCs w:val="18"/>
          <w:lang w:val="de-DE"/>
        </w:rPr>
        <w:t>Hierzu zählen auch Select Plus für Forschung &amp; Lehre und Select Plus für Verwaltung.</w:t>
      </w:r>
    </w:p>
    <w:p w:rsidR="000A39DC" w:rsidRPr="00621662" w:rsidRDefault="000A39DC" w:rsidP="000A39DC">
      <w:pPr>
        <w:pStyle w:val="Bodywithspace"/>
        <w:spacing w:before="0" w:after="0"/>
        <w:ind w:right="-180"/>
        <w:rPr>
          <w:rFonts w:ascii="Tahoma" w:hAnsi="Tahoma" w:cs="Tahoma"/>
          <w:sz w:val="18"/>
          <w:szCs w:val="18"/>
          <w:lang w:val="de-DE"/>
        </w:rPr>
      </w:pPr>
    </w:p>
    <w:p w:rsidR="00023FE7" w:rsidRPr="00621662" w:rsidRDefault="00023FE7">
      <w:pPr>
        <w:pStyle w:val="ChartKeyHeadings"/>
        <w:ind w:right="-180"/>
        <w:rPr>
          <w:rFonts w:ascii="Tahoma" w:hAnsi="Tahoma" w:cs="Tahoma"/>
          <w:szCs w:val="28"/>
          <w:lang w:val="de-DE"/>
        </w:rPr>
      </w:pPr>
      <w:r w:rsidRPr="00621662">
        <w:rPr>
          <w:rFonts w:ascii="Tahoma" w:hAnsi="Tahoma" w:cs="Tahoma"/>
          <w:szCs w:val="28"/>
          <w:lang w:val="de-DE"/>
        </w:rPr>
        <w:t>Spaltenwerte</w:t>
      </w:r>
    </w:p>
    <w:p w:rsidR="000A39DC" w:rsidRPr="00621662" w:rsidRDefault="000A39DC" w:rsidP="000A39DC">
      <w:pPr>
        <w:pStyle w:val="ChartKeyHeadings"/>
        <w:ind w:right="-180"/>
        <w:rPr>
          <w:rFonts w:ascii="Tahoma" w:hAnsi="Tahoma" w:cs="Tahoma"/>
          <w:sz w:val="18"/>
          <w:szCs w:val="18"/>
          <w:lang w:val="de-DE"/>
        </w:rPr>
      </w:pP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1 Jahr =</w:t>
      </w:r>
      <w:r w:rsidRPr="00BB5519">
        <w:rPr>
          <w:rStyle w:val="BodyChar"/>
          <w:rFonts w:ascii="Tahoma" w:hAnsi="Tahoma" w:cs="Tahoma"/>
          <w:bCs/>
          <w:sz w:val="18"/>
          <w:szCs w:val="18"/>
          <w:lang w:val="de-DE"/>
        </w:rPr>
        <w:t xml:space="preserve"> </w:t>
      </w:r>
      <w:r w:rsidRPr="00BB5519">
        <w:rPr>
          <w:rFonts w:ascii="Tahoma" w:hAnsi="Tahoma" w:cs="Tahoma"/>
          <w:sz w:val="18"/>
          <w:szCs w:val="18"/>
          <w:lang w:val="de-DE"/>
        </w:rPr>
        <w:t>(verbleibende Vertragslaufzeit von 1 Jahr).</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2 Jahre =</w:t>
      </w:r>
      <w:r w:rsidRPr="00BB5519">
        <w:rPr>
          <w:rFonts w:ascii="Tahoma" w:hAnsi="Tahoma" w:cs="Tahoma"/>
          <w:sz w:val="18"/>
          <w:szCs w:val="18"/>
          <w:lang w:val="de-DE"/>
        </w:rPr>
        <w:t xml:space="preserve"> (verbleibende Vertragslaufzeit von 2 Jahren).</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3 Jahre =</w:t>
      </w:r>
      <w:r w:rsidRPr="00BB5519">
        <w:rPr>
          <w:rFonts w:ascii="Tahoma" w:hAnsi="Tahoma" w:cs="Tahoma"/>
          <w:sz w:val="18"/>
          <w:szCs w:val="18"/>
          <w:lang w:val="de-DE"/>
        </w:rPr>
        <w:t xml:space="preserve"> (verbleibende Vertragslaufzeit von 3 Jahren).</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A =</w:t>
      </w:r>
      <w:r w:rsidRPr="00BB5519">
        <w:rPr>
          <w:rFonts w:ascii="Tahoma" w:hAnsi="Tahoma" w:cs="Tahoma"/>
          <w:sz w:val="18"/>
          <w:szCs w:val="18"/>
          <w:lang w:val="de-DE"/>
        </w:rPr>
        <w:t xml:space="preserve"> Gibt an, dass die Software als zusätzliches Produkt angeboten wird.</w:t>
      </w:r>
    </w:p>
    <w:p w:rsidR="009E22D0" w:rsidRPr="00BB5519" w:rsidRDefault="009E22D0" w:rsidP="000A39DC">
      <w:pPr>
        <w:pStyle w:val="Bodywithspace"/>
        <w:spacing w:before="0" w:after="0" w:line="276" w:lineRule="auto"/>
        <w:ind w:right="-180"/>
        <w:rPr>
          <w:lang w:val="de-DE"/>
        </w:rPr>
      </w:pPr>
      <w:r w:rsidRPr="00BB5519">
        <w:rPr>
          <w:rStyle w:val="BodyChar"/>
          <w:rFonts w:ascii="Tahoma" w:hAnsi="Tahoma" w:cs="Tahoma"/>
          <w:b/>
          <w:sz w:val="18"/>
          <w:szCs w:val="18"/>
          <w:lang w:val="de-DE"/>
        </w:rPr>
        <w:t>AO</w:t>
      </w:r>
      <w:r w:rsidRPr="00BB5519">
        <w:rPr>
          <w:rStyle w:val="BodyChar"/>
          <w:rFonts w:ascii="Tahoma" w:hAnsi="Tahoma" w:cs="Tahoma"/>
          <w:b/>
          <w:bCs/>
          <w:sz w:val="18"/>
          <w:szCs w:val="18"/>
          <w:lang w:val="de-DE"/>
        </w:rPr>
        <w:t xml:space="preserve"> </w:t>
      </w:r>
      <w:r w:rsidR="000A39DC" w:rsidRPr="00BB5519">
        <w:rPr>
          <w:rStyle w:val="BodyChar"/>
          <w:rFonts w:ascii="Tahoma" w:hAnsi="Tahoma" w:cs="Tahoma"/>
          <w:b/>
          <w:sz w:val="18"/>
          <w:szCs w:val="18"/>
          <w:lang w:val="de-DE"/>
        </w:rPr>
        <w:t>=</w:t>
      </w:r>
      <w:r w:rsidRPr="00BB5519">
        <w:rPr>
          <w:rStyle w:val="BodyChar"/>
          <w:rFonts w:ascii="Tahoma" w:hAnsi="Tahoma" w:cs="Tahoma"/>
          <w:bCs/>
          <w:sz w:val="18"/>
          <w:szCs w:val="18"/>
          <w:lang w:val="de-DE"/>
        </w:rPr>
        <w:t xml:space="preserve"> </w:t>
      </w:r>
      <w:r w:rsidRPr="00BB5519">
        <w:rPr>
          <w:rFonts w:ascii="Tahoma" w:hAnsi="Tahoma" w:cs="Tahoma"/>
          <w:sz w:val="18"/>
          <w:szCs w:val="18"/>
          <w:lang w:val="de-DE"/>
        </w:rPr>
        <w:t>Gibt an, dass die Software als organisationsweit bestellbares zusätzliches Produkt angeboten wird.</w:t>
      </w:r>
    </w:p>
    <w:p w:rsidR="009F5F37" w:rsidRPr="00BB5519" w:rsidRDefault="009F5F37">
      <w:pPr>
        <w:pStyle w:val="Bodywithspace"/>
        <w:spacing w:before="0" w:after="0" w:line="276" w:lineRule="auto"/>
        <w:ind w:right="-180"/>
        <w:rPr>
          <w:lang w:val="de-DE"/>
        </w:rPr>
      </w:pPr>
      <w:r w:rsidRPr="00BB5519">
        <w:rPr>
          <w:rStyle w:val="BodyChar"/>
          <w:rFonts w:ascii="Tahoma" w:hAnsi="Tahoma" w:cs="Tahoma"/>
          <w:b/>
          <w:sz w:val="18"/>
          <w:szCs w:val="18"/>
          <w:lang w:val="de-DE"/>
        </w:rPr>
        <w:t xml:space="preserve">C = </w:t>
      </w:r>
      <w:r w:rsidRPr="00BB5519">
        <w:rPr>
          <w:rFonts w:ascii="Tahoma" w:hAnsi="Tahoma" w:cs="Tahoma"/>
          <w:sz w:val="18"/>
          <w:szCs w:val="18"/>
          <w:lang w:val="de-DE"/>
        </w:rPr>
        <w:t>Gibt an, dass die Software als Core Infrastructure-Produkt angeboten wird.</w:t>
      </w:r>
    </w:p>
    <w:p w:rsidR="009F5F37" w:rsidRPr="00BB5519" w:rsidRDefault="009F5F37" w:rsidP="009F5F37">
      <w:pPr>
        <w:pStyle w:val="ListParagraph"/>
        <w:rPr>
          <w:lang w:val="de-DE"/>
        </w:rPr>
      </w:pPr>
      <w:r w:rsidRPr="00BB5519">
        <w:rPr>
          <w:rStyle w:val="BodyChar"/>
          <w:rFonts w:ascii="Tahoma" w:hAnsi="Tahoma" w:cs="Tahoma"/>
          <w:b/>
          <w:sz w:val="18"/>
          <w:szCs w:val="18"/>
          <w:lang w:val="de-DE"/>
        </w:rPr>
        <w:t xml:space="preserve">D = </w:t>
      </w:r>
      <w:r w:rsidRPr="00BB5519">
        <w:rPr>
          <w:rFonts w:ascii="Tahoma" w:hAnsi="Tahoma" w:cs="Tahoma"/>
          <w:sz w:val="18"/>
          <w:szCs w:val="18"/>
          <w:lang w:val="de-DE"/>
        </w:rPr>
        <w:t>Gibt an, dass die Software als Produkt des Industry Device-Programms angeboten wird.</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DT =</w:t>
      </w:r>
      <w:r w:rsidRPr="00BB5519">
        <w:rPr>
          <w:rFonts w:ascii="Tahoma" w:hAnsi="Tahoma" w:cs="Tahoma"/>
          <w:sz w:val="18"/>
          <w:szCs w:val="18"/>
          <w:lang w:val="de-DE"/>
        </w:rPr>
        <w:t xml:space="preserve"> Software Assurance-Vergünstigungen für Desktop-Angebote. </w:t>
      </w:r>
    </w:p>
    <w:p w:rsidR="00F90F21" w:rsidRPr="00BB5519" w:rsidRDefault="009055B7">
      <w:pPr>
        <w:pStyle w:val="Bodywithspace"/>
        <w:spacing w:before="0" w:after="0" w:line="276" w:lineRule="auto"/>
        <w:ind w:right="-180"/>
        <w:rPr>
          <w:lang w:val="de-DE"/>
        </w:rPr>
      </w:pPr>
      <w:r w:rsidRPr="00BB5519">
        <w:rPr>
          <w:rFonts w:ascii="Tahoma" w:hAnsi="Tahoma" w:cs="Times New Roman"/>
          <w:b/>
          <w:color w:val="000000"/>
          <w:sz w:val="18"/>
          <w:szCs w:val="22"/>
          <w:lang w:val="de-DE"/>
        </w:rPr>
        <w:t>E</w:t>
      </w:r>
      <w:r w:rsidRPr="00BB5519">
        <w:rPr>
          <w:rFonts w:ascii="Tahoma" w:hAnsi="Tahoma" w:cs="Times New Roman"/>
          <w:b/>
          <w:bCs/>
          <w:color w:val="000000"/>
          <w:sz w:val="18"/>
          <w:szCs w:val="22"/>
          <w:lang w:val="de-DE"/>
        </w:rPr>
        <w:t xml:space="preserve"> </w:t>
      </w:r>
      <w:r w:rsidRPr="00BB5519">
        <w:rPr>
          <w:rFonts w:ascii="Tahoma" w:hAnsi="Tahoma" w:cs="Times New Roman"/>
          <w:color w:val="000000"/>
          <w:sz w:val="18"/>
          <w:szCs w:val="22"/>
          <w:lang w:val="de-DE"/>
        </w:rPr>
        <w:t>= Gibt an, dass das Produkt als Konzernprodukt oder als Desktop-Plattformprodukt angeboten wird.</w:t>
      </w:r>
    </w:p>
    <w:p w:rsidR="00B23BE6" w:rsidRPr="00BB5519" w:rsidRDefault="00B23BE6" w:rsidP="00B23BE6">
      <w:pPr>
        <w:spacing w:line="276" w:lineRule="auto"/>
        <w:ind w:left="720" w:right="-180"/>
        <w:rPr>
          <w:lang w:val="de-DE"/>
        </w:rPr>
      </w:pPr>
      <w:r w:rsidRPr="00BB5519">
        <w:rPr>
          <w:b/>
          <w:color w:val="000000"/>
          <w:lang w:val="de-DE"/>
        </w:rPr>
        <w:t>EOLS =</w:t>
      </w:r>
      <w:r w:rsidRPr="00BB5519">
        <w:rPr>
          <w:color w:val="000000"/>
          <w:lang w:val="de-DE"/>
        </w:rPr>
        <w:t xml:space="preserve"> Gibt an, dass das Produkt als Konzern-Onlinedienst oder Plattform-Onlinedienst angeboten wird.</w:t>
      </w:r>
    </w:p>
    <w:p w:rsidR="00E97819" w:rsidRPr="00BB5519" w:rsidRDefault="00E97819">
      <w:pPr>
        <w:pStyle w:val="Bodywithspace"/>
        <w:spacing w:before="0" w:after="0" w:line="276" w:lineRule="auto"/>
        <w:ind w:right="-180"/>
        <w:rPr>
          <w:lang w:val="de-DE"/>
        </w:rPr>
      </w:pPr>
      <w:r w:rsidRPr="00BB5519">
        <w:rPr>
          <w:rFonts w:ascii="Tahoma" w:hAnsi="Tahoma" w:cs="Times New Roman"/>
          <w:b/>
          <w:color w:val="000000"/>
          <w:sz w:val="18"/>
          <w:szCs w:val="22"/>
          <w:lang w:val="de-DE"/>
        </w:rPr>
        <w:t>ST =</w:t>
      </w:r>
      <w:r w:rsidRPr="00BB5519">
        <w:rPr>
          <w:rFonts w:ascii="Tahoma" w:hAnsi="Tahoma" w:cs="Times New Roman"/>
          <w:bCs/>
          <w:color w:val="000000"/>
          <w:sz w:val="18"/>
          <w:szCs w:val="22"/>
          <w:lang w:val="de-DE"/>
        </w:rPr>
        <w:t xml:space="preserve"> </w:t>
      </w:r>
      <w:r w:rsidRPr="00BB5519">
        <w:rPr>
          <w:rFonts w:ascii="Tahoma" w:hAnsi="Tahoma" w:cs="Times New Roman"/>
          <w:color w:val="000000"/>
          <w:sz w:val="18"/>
          <w:szCs w:val="22"/>
          <w:lang w:val="de-DE"/>
        </w:rPr>
        <w:t>Gibt an, dass die Software als Studentenangebot angeboten wird und für die volle Studentenanzahl bestellt werden muss.</w:t>
      </w:r>
    </w:p>
    <w:p w:rsidR="00023FE7" w:rsidRPr="00BB5519" w:rsidRDefault="00023FE7" w:rsidP="000A39DC">
      <w:pPr>
        <w:pStyle w:val="Bodywithspace"/>
        <w:spacing w:before="0" w:after="0" w:line="276" w:lineRule="auto"/>
        <w:ind w:right="-180"/>
        <w:rPr>
          <w:lang w:val="de-DE"/>
        </w:rPr>
      </w:pPr>
      <w:r w:rsidRPr="00BB5519">
        <w:rPr>
          <w:rStyle w:val="BodyChar"/>
          <w:rFonts w:ascii="Tahoma" w:hAnsi="Tahoma" w:cs="Tahoma"/>
          <w:b/>
          <w:sz w:val="18"/>
          <w:szCs w:val="18"/>
          <w:lang w:val="de-DE"/>
        </w:rPr>
        <w:t>L (License) =</w:t>
      </w:r>
      <w:r w:rsidRPr="00BB5519">
        <w:rPr>
          <w:rFonts w:ascii="Tahoma" w:hAnsi="Tahoma" w:cs="Tahoma"/>
          <w:sz w:val="18"/>
          <w:szCs w:val="18"/>
          <w:lang w:val="de-DE"/>
        </w:rPr>
        <w:t xml:space="preserve"> Vorgesehener Punktwert, wenn für die angegebene Software eine Standardlizenz angeboten</w:t>
      </w:r>
      <w:r w:rsidR="000A39DC" w:rsidRPr="00BB5519">
        <w:rPr>
          <w:rFonts w:ascii="Tahoma" w:hAnsi="Tahoma" w:cs="Tahoma"/>
          <w:sz w:val="18"/>
          <w:szCs w:val="18"/>
          <w:lang w:val="de-DE"/>
        </w:rPr>
        <w:t> </w:t>
      </w:r>
      <w:r w:rsidRPr="00BB5519">
        <w:rPr>
          <w:rFonts w:ascii="Tahoma" w:hAnsi="Tahoma" w:cs="Tahoma"/>
          <w:sz w:val="18"/>
          <w:szCs w:val="18"/>
          <w:lang w:val="de-DE"/>
        </w:rPr>
        <w:t>wird.</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L&amp;SA (Lizenz und Software Assurance) =</w:t>
      </w:r>
      <w:r w:rsidRPr="00BB5519">
        <w:rPr>
          <w:rFonts w:ascii="Tahoma" w:hAnsi="Tahoma" w:cs="Tahoma"/>
          <w:sz w:val="18"/>
          <w:szCs w:val="18"/>
          <w:lang w:val="de-DE"/>
        </w:rPr>
        <w:t xml:space="preserve"> Vorgesehener Punktwert, wenn für die angegebene Software Lizenz und Software Assurance angeboten wird.</w:t>
      </w:r>
    </w:p>
    <w:p w:rsidR="00023FE7" w:rsidRPr="00BB5519" w:rsidRDefault="00023FE7">
      <w:pPr>
        <w:pStyle w:val="Bodywithspace"/>
        <w:spacing w:before="0" w:after="0" w:line="276" w:lineRule="auto"/>
        <w:rPr>
          <w:lang w:val="de-DE"/>
        </w:rPr>
      </w:pPr>
      <w:r w:rsidRPr="00BB5519">
        <w:rPr>
          <w:rStyle w:val="BodyChar"/>
          <w:rFonts w:ascii="Tahoma" w:hAnsi="Tahoma" w:cs="Tahoma"/>
          <w:b/>
          <w:bCs/>
          <w:color w:val="000000"/>
          <w:sz w:val="18"/>
          <w:szCs w:val="18"/>
          <w:lang w:val="de-DE"/>
        </w:rPr>
        <w:t>OL =</w:t>
      </w:r>
      <w:r w:rsidRPr="00BB5519">
        <w:rPr>
          <w:rFonts w:ascii="Tahoma" w:hAnsi="Tahoma" w:cs="Tahoma"/>
          <w:color w:val="000000"/>
          <w:sz w:val="18"/>
          <w:szCs w:val="18"/>
          <w:lang w:val="de-DE"/>
        </w:rPr>
        <w:t xml:space="preserve"> Im Rahmen von Open-Lizenz verfügbar.</w:t>
      </w:r>
    </w:p>
    <w:p w:rsidR="001D3F04" w:rsidRPr="00BB5519" w:rsidRDefault="001D3F04" w:rsidP="000A39DC">
      <w:pPr>
        <w:pStyle w:val="Bodywithspace"/>
        <w:keepNext/>
        <w:keepLines/>
        <w:spacing w:before="0" w:after="0" w:line="276" w:lineRule="auto"/>
        <w:ind w:right="-187"/>
        <w:rPr>
          <w:lang w:val="de-DE"/>
        </w:rPr>
      </w:pPr>
      <w:r w:rsidRPr="00BB5519">
        <w:rPr>
          <w:rStyle w:val="BodyChar"/>
          <w:rFonts w:ascii="Tahoma" w:hAnsi="Tahoma" w:cs="Tahoma"/>
          <w:b/>
          <w:sz w:val="18"/>
          <w:szCs w:val="18"/>
          <w:lang w:val="de-DE"/>
        </w:rPr>
        <w:lastRenderedPageBreak/>
        <w:t xml:space="preserve">OSB </w:t>
      </w:r>
      <w:r w:rsidRPr="00BB5519">
        <w:rPr>
          <w:rStyle w:val="BodyChar"/>
          <w:rFonts w:ascii="Tahoma" w:hAnsi="Tahoma" w:cs="Tahoma"/>
          <w:sz w:val="18"/>
          <w:szCs w:val="18"/>
          <w:lang w:val="de-DE"/>
        </w:rPr>
        <w:t>= Onlinedienste-Vergünstigungen für berechtigte Kunden.</w:t>
      </w:r>
      <w:r w:rsidR="009E4976" w:rsidRPr="00BB5519">
        <w:rPr>
          <w:rStyle w:val="BodyChar"/>
          <w:rFonts w:ascii="Tahoma" w:hAnsi="Tahoma" w:cs="Tahoma"/>
          <w:sz w:val="18"/>
          <w:szCs w:val="18"/>
          <w:lang w:val="de-DE"/>
        </w:rPr>
        <w:t xml:space="preserve"> </w:t>
      </w:r>
      <w:r w:rsidRPr="00BB5519">
        <w:rPr>
          <w:rStyle w:val="BodyChar"/>
          <w:rFonts w:ascii="Tahoma" w:hAnsi="Tahoma" w:cs="Tahoma"/>
          <w:sz w:val="18"/>
          <w:szCs w:val="18"/>
          <w:lang w:val="de-DE"/>
        </w:rPr>
        <w:t>Beachten Sie, dass P</w:t>
      </w:r>
      <w:r w:rsidRPr="00BB5519">
        <w:rPr>
          <w:rFonts w:ascii="Tahoma" w:hAnsi="Tahoma" w:cs="Tahoma"/>
          <w:sz w:val="18"/>
          <w:szCs w:val="18"/>
          <w:lang w:val="de-DE"/>
        </w:rPr>
        <w:t>rodukte, die für Onlinedienste-Vergünstigungen berechtigt sind, in mehreren Produkt-Pool-Tabellen aufgeführt werden können.</w:t>
      </w:r>
      <w:r w:rsidR="000A39DC" w:rsidRPr="00BB5519">
        <w:rPr>
          <w:rFonts w:ascii="Tahoma" w:hAnsi="Tahoma" w:cs="Tahoma"/>
          <w:sz w:val="18"/>
          <w:szCs w:val="18"/>
          <w:lang w:val="de-DE"/>
        </w:rPr>
        <w:t> </w:t>
      </w:r>
      <w:r w:rsidRPr="00BB5519">
        <w:rPr>
          <w:rFonts w:ascii="Tahoma" w:hAnsi="Tahoma" w:cs="Tahoma"/>
          <w:sz w:val="18"/>
          <w:szCs w:val="18"/>
          <w:lang w:val="de-DE"/>
        </w:rPr>
        <w:t>Dadurch soll lediglich wiedergegeben werden, dass diese Angebote zu Software Assurance-Vergünstigungen in Verbindung mit mehreren Produkt-Pools berechtigt sind, und Sie müssen sich nicht zwischen den Vergünstigungen eines bestimmten Pools entscheiden.</w:t>
      </w:r>
    </w:p>
    <w:p w:rsidR="00023FE7" w:rsidRPr="00BB5519" w:rsidRDefault="00023FE7">
      <w:pPr>
        <w:pStyle w:val="Bodywithspace"/>
        <w:spacing w:before="0" w:after="0" w:line="276" w:lineRule="auto"/>
        <w:rPr>
          <w:lang w:val="de-DE"/>
        </w:rPr>
      </w:pPr>
      <w:r w:rsidRPr="00BB5519">
        <w:rPr>
          <w:rStyle w:val="BodyChar"/>
          <w:rFonts w:ascii="Tahoma" w:hAnsi="Tahoma" w:cs="Tahoma"/>
          <w:b/>
          <w:bCs/>
          <w:color w:val="000000"/>
          <w:sz w:val="18"/>
          <w:szCs w:val="18"/>
          <w:lang w:val="de-DE"/>
        </w:rPr>
        <w:t>OL/SA =</w:t>
      </w:r>
      <w:r w:rsidRPr="00BB5519">
        <w:rPr>
          <w:rStyle w:val="BodyChar"/>
          <w:rFonts w:ascii="Tahoma" w:hAnsi="Tahoma" w:cs="Tahoma"/>
          <w:color w:val="000000"/>
          <w:sz w:val="18"/>
          <w:szCs w:val="18"/>
          <w:lang w:val="de-DE"/>
        </w:rPr>
        <w:t xml:space="preserve"> Nur im Rahmen von Open-Lizenz für L&amp;SA und SA verfügbar.</w:t>
      </w:r>
    </w:p>
    <w:p w:rsidR="00023FE7" w:rsidRPr="00BB5519" w:rsidRDefault="00023FE7">
      <w:pPr>
        <w:pStyle w:val="Bodywithspace"/>
        <w:spacing w:before="0" w:after="0" w:line="276" w:lineRule="auto"/>
        <w:rPr>
          <w:lang w:val="de-DE"/>
        </w:rPr>
      </w:pPr>
      <w:r w:rsidRPr="00BB5519">
        <w:rPr>
          <w:rStyle w:val="BodyChar"/>
          <w:rFonts w:ascii="Tahoma" w:hAnsi="Tahoma" w:cs="Tahoma"/>
          <w:b/>
          <w:bCs/>
          <w:color w:val="000000"/>
          <w:sz w:val="18"/>
          <w:szCs w:val="18"/>
          <w:lang w:val="de-DE"/>
        </w:rPr>
        <w:t>OSP =</w:t>
      </w:r>
      <w:r w:rsidRPr="00BB5519">
        <w:rPr>
          <w:rStyle w:val="BodyChar"/>
          <w:rFonts w:ascii="Tahoma" w:hAnsi="Tahoma" w:cs="Tahoma"/>
          <w:color w:val="000000"/>
          <w:sz w:val="18"/>
          <w:szCs w:val="18"/>
          <w:lang w:val="de-DE"/>
        </w:rPr>
        <w:t xml:space="preserve"> </w:t>
      </w:r>
      <w:r w:rsidRPr="00BB5519">
        <w:rPr>
          <w:rStyle w:val="BodyChar"/>
          <w:rFonts w:ascii="Tahoma" w:hAnsi="Tahoma" w:cs="Tahoma"/>
          <w:bCs/>
          <w:color w:val="000000"/>
          <w:sz w:val="18"/>
          <w:szCs w:val="18"/>
          <w:lang w:val="de-DE"/>
        </w:rPr>
        <w:t>Im Online Subscription-Programm verfügbar.</w:t>
      </w:r>
    </w:p>
    <w:p w:rsidR="00023FE7" w:rsidRPr="00BB5519" w:rsidRDefault="00023FE7">
      <w:pPr>
        <w:pStyle w:val="Bodywithspace"/>
        <w:spacing w:before="0" w:after="0" w:line="276" w:lineRule="auto"/>
        <w:rPr>
          <w:lang w:val="de-DE"/>
        </w:rPr>
      </w:pPr>
      <w:r w:rsidRPr="00BB5519">
        <w:rPr>
          <w:rStyle w:val="BodyChar"/>
          <w:rFonts w:ascii="Tahoma" w:hAnsi="Tahoma" w:cs="Tahoma"/>
          <w:b/>
          <w:bCs/>
          <w:color w:val="000000"/>
          <w:sz w:val="18"/>
          <w:szCs w:val="18"/>
          <w:lang w:val="de-DE"/>
        </w:rPr>
        <w:t>OV/OVS =</w:t>
      </w:r>
      <w:r w:rsidRPr="00BB5519">
        <w:rPr>
          <w:rFonts w:ascii="Tahoma" w:hAnsi="Tahoma" w:cs="Tahoma"/>
          <w:color w:val="000000"/>
          <w:sz w:val="18"/>
          <w:szCs w:val="18"/>
          <w:lang w:val="de-DE"/>
        </w:rPr>
        <w:t xml:space="preserve"> Im Open Value- und Open Value Subscription-Programm verfügbar.</w:t>
      </w:r>
    </w:p>
    <w:p w:rsidR="00023FE7" w:rsidRPr="00BB5519" w:rsidRDefault="00023FE7" w:rsidP="000A39DC">
      <w:pPr>
        <w:pStyle w:val="Bodywithspace"/>
        <w:spacing w:before="0" w:after="0" w:line="276" w:lineRule="auto"/>
        <w:ind w:right="-180"/>
        <w:rPr>
          <w:lang w:val="de-DE"/>
        </w:rPr>
      </w:pPr>
      <w:r w:rsidRPr="00BB5519">
        <w:rPr>
          <w:rStyle w:val="BodyChar"/>
          <w:rFonts w:ascii="Tahoma" w:hAnsi="Tahoma" w:cs="Tahoma"/>
          <w:b/>
          <w:sz w:val="18"/>
          <w:szCs w:val="18"/>
          <w:lang w:val="de-DE"/>
        </w:rPr>
        <w:t>P =</w:t>
      </w:r>
      <w:r w:rsidRPr="00BB5519">
        <w:rPr>
          <w:rFonts w:ascii="Tahoma" w:hAnsi="Tahoma" w:cs="Tahoma"/>
          <w:sz w:val="18"/>
          <w:szCs w:val="18"/>
          <w:lang w:val="de-DE"/>
        </w:rPr>
        <w:t xml:space="preserve"> Kennzeichnet Software, die auf nicht unternehmensweiter Basis im Rahmen von Open Value angeboten</w:t>
      </w:r>
      <w:r w:rsidR="000A39DC" w:rsidRPr="00BB5519">
        <w:rPr>
          <w:rFonts w:ascii="Tahoma" w:hAnsi="Tahoma" w:cs="Tahoma"/>
          <w:sz w:val="18"/>
          <w:szCs w:val="18"/>
          <w:lang w:val="de-DE"/>
        </w:rPr>
        <w:t> </w:t>
      </w:r>
      <w:r w:rsidRPr="00BB5519">
        <w:rPr>
          <w:rFonts w:ascii="Tahoma" w:hAnsi="Tahoma" w:cs="Tahoma"/>
          <w:sz w:val="18"/>
          <w:szCs w:val="18"/>
          <w:lang w:val="de-DE"/>
        </w:rPr>
        <w:t xml:space="preserve">wird. </w:t>
      </w:r>
    </w:p>
    <w:p w:rsidR="009F5F37" w:rsidRPr="00BB5519" w:rsidRDefault="009F5F37">
      <w:pPr>
        <w:pStyle w:val="Bodywithspace"/>
        <w:spacing w:before="0" w:after="0" w:line="276" w:lineRule="auto"/>
        <w:rPr>
          <w:lang w:val="de-DE"/>
        </w:rPr>
      </w:pPr>
      <w:r w:rsidRPr="00BB5519">
        <w:rPr>
          <w:rStyle w:val="BodyChar"/>
          <w:rFonts w:ascii="Tahoma" w:hAnsi="Tahoma" w:cs="Tahoma"/>
          <w:b/>
          <w:sz w:val="18"/>
          <w:szCs w:val="18"/>
          <w:lang w:val="de-DE"/>
        </w:rPr>
        <w:t>S =</w:t>
      </w:r>
      <w:r w:rsidRPr="00BB5519">
        <w:rPr>
          <w:rStyle w:val="BodyChar"/>
          <w:rFonts w:ascii="Tahoma" w:hAnsi="Tahoma" w:cs="Tahoma"/>
          <w:bCs/>
          <w:sz w:val="18"/>
          <w:szCs w:val="18"/>
          <w:lang w:val="de-DE"/>
        </w:rPr>
        <w:t xml:space="preserve"> </w:t>
      </w:r>
      <w:r w:rsidRPr="00BB5519">
        <w:rPr>
          <w:rFonts w:ascii="Tahoma" w:hAnsi="Tahoma" w:cs="Tahoma"/>
          <w:sz w:val="18"/>
          <w:szCs w:val="18"/>
          <w:lang w:val="de-DE"/>
        </w:rPr>
        <w:t>Gibt an, dass die Software als Anwendungsplattform-Produkt angeboten wird.</w:t>
      </w:r>
    </w:p>
    <w:p w:rsidR="00023FE7" w:rsidRPr="00BB5519" w:rsidRDefault="00023FE7">
      <w:pPr>
        <w:pStyle w:val="Bodywithspace"/>
        <w:spacing w:before="0" w:after="0" w:line="276" w:lineRule="auto"/>
        <w:rPr>
          <w:lang w:val="de-DE"/>
        </w:rPr>
      </w:pPr>
      <w:r w:rsidRPr="00BB5519">
        <w:rPr>
          <w:rStyle w:val="BodyChar"/>
          <w:rFonts w:ascii="Tahoma" w:hAnsi="Tahoma" w:cs="Tahoma"/>
          <w:b/>
          <w:sz w:val="18"/>
          <w:szCs w:val="18"/>
          <w:lang w:val="de-DE"/>
        </w:rPr>
        <w:t>SA (Software Assurance) =</w:t>
      </w:r>
      <w:r w:rsidRPr="00BB5519">
        <w:rPr>
          <w:rFonts w:ascii="Tahoma" w:hAnsi="Tahoma" w:cs="Tahoma"/>
          <w:sz w:val="18"/>
          <w:szCs w:val="18"/>
          <w:lang w:val="de-DE"/>
        </w:rPr>
        <w:t xml:space="preserve"> Vorgesehener Punktwert, wenn für die angegebene Software Software Assurance angeboten wird. </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SRV =</w:t>
      </w:r>
      <w:r w:rsidRPr="00BB5519">
        <w:rPr>
          <w:rFonts w:ascii="Tahoma" w:hAnsi="Tahoma" w:cs="Tahoma"/>
          <w:sz w:val="18"/>
          <w:szCs w:val="18"/>
          <w:lang w:val="de-DE"/>
        </w:rPr>
        <w:t xml:space="preserve"> Software Assurance-Vergünstigungen für Server-Pool-Angebote. </w:t>
      </w:r>
    </w:p>
    <w:p w:rsidR="00023FE7" w:rsidRPr="00BB5519" w:rsidRDefault="00023FE7">
      <w:pPr>
        <w:pStyle w:val="Bodywithspace"/>
        <w:tabs>
          <w:tab w:val="left" w:pos="9360"/>
        </w:tabs>
        <w:spacing w:before="0" w:after="0" w:line="276" w:lineRule="auto"/>
        <w:ind w:right="-180"/>
        <w:rPr>
          <w:lang w:val="de-DE"/>
        </w:rPr>
      </w:pPr>
      <w:r w:rsidRPr="00BB5519">
        <w:rPr>
          <w:rStyle w:val="BodyChar"/>
          <w:rFonts w:ascii="Tahoma" w:hAnsi="Tahoma" w:cs="Tahoma"/>
          <w:b/>
          <w:sz w:val="18"/>
          <w:szCs w:val="18"/>
          <w:lang w:val="de-DE"/>
        </w:rPr>
        <w:t>U (Upgrade License) =</w:t>
      </w:r>
      <w:r w:rsidRPr="00BB5519">
        <w:rPr>
          <w:rFonts w:ascii="Tahoma" w:hAnsi="Tahoma" w:cs="Tahoma"/>
          <w:sz w:val="18"/>
          <w:szCs w:val="18"/>
          <w:lang w:val="de-DE"/>
        </w:rPr>
        <w:t xml:space="preserve"> Vorgesehener Punktwert, wenn für die angegebene Software ein Upgrade angeboten wird.</w:t>
      </w:r>
    </w:p>
    <w:p w:rsidR="00023FE7" w:rsidRPr="00BB5519" w:rsidRDefault="00023FE7">
      <w:pPr>
        <w:pStyle w:val="Bodywithspace"/>
        <w:spacing w:before="0" w:after="0" w:line="276" w:lineRule="auto"/>
        <w:ind w:right="-180"/>
        <w:rPr>
          <w:lang w:val="de-DE"/>
        </w:rPr>
      </w:pPr>
      <w:r w:rsidRPr="00BB5519">
        <w:rPr>
          <w:rStyle w:val="BodyChar"/>
          <w:rFonts w:ascii="Tahoma" w:hAnsi="Tahoma" w:cs="Tahoma"/>
          <w:b/>
          <w:sz w:val="18"/>
          <w:szCs w:val="18"/>
          <w:lang w:val="de-DE"/>
        </w:rPr>
        <w:t>U &amp; SA (Upgrade und Software Assurance)</w:t>
      </w:r>
      <w:r w:rsidRPr="00BB5519">
        <w:rPr>
          <w:rFonts w:ascii="Tahoma" w:hAnsi="Tahoma" w:cs="Tahoma"/>
          <w:b/>
          <w:bCs/>
          <w:sz w:val="18"/>
          <w:szCs w:val="18"/>
          <w:lang w:val="de-DE"/>
        </w:rPr>
        <w:t xml:space="preserve"> </w:t>
      </w:r>
      <w:r w:rsidRPr="00BB5519">
        <w:rPr>
          <w:rFonts w:ascii="Tahoma" w:hAnsi="Tahoma" w:cs="Tahoma"/>
          <w:sz w:val="18"/>
          <w:szCs w:val="18"/>
          <w:lang w:val="de-DE"/>
        </w:rPr>
        <w:t>= Vorgesehener Punktwert, wenn für die angegebene Software Upgrade und Software Assurance angeboten wird.</w:t>
      </w:r>
    </w:p>
    <w:p w:rsidR="00023FE7" w:rsidRPr="00BB5519" w:rsidRDefault="00023FE7" w:rsidP="00B0065F">
      <w:pPr>
        <w:pStyle w:val="Heading1"/>
      </w:pPr>
      <w:r w:rsidRPr="00621662">
        <w:rPr>
          <w:lang w:val="de-DE"/>
        </w:rPr>
        <w:br w:type="page"/>
      </w:r>
      <w:bookmarkStart w:id="9" w:name="_Toc336337841"/>
      <w:bookmarkStart w:id="10" w:name="_Toc354054537"/>
      <w:r w:rsidRPr="00BB5519">
        <w:lastRenderedPageBreak/>
        <w:t>Produktliste</w:t>
      </w:r>
      <w:bookmarkEnd w:id="9"/>
      <w:bookmarkEnd w:id="10"/>
    </w:p>
    <w:p w:rsidR="00BB5519" w:rsidRPr="00BB5519" w:rsidRDefault="00BB5519" w:rsidP="00BB5519">
      <w:pPr>
        <w:pStyle w:val="Heading3"/>
        <w:rPr>
          <w:rFonts w:ascii="Tahoma" w:hAnsi="Tahoma" w:cs="Tahoma"/>
          <w:b w:val="0"/>
          <w:sz w:val="18"/>
          <w:szCs w:val="22"/>
        </w:rPr>
      </w:pPr>
      <w:bookmarkStart w:id="11" w:name="_Toc300391149"/>
      <w:bookmarkStart w:id="12" w:name="_Toc312398873"/>
      <w:bookmarkStart w:id="13" w:name="_Toc336337842"/>
    </w:p>
    <w:p w:rsidR="00BB5519" w:rsidRPr="00BB5519" w:rsidRDefault="00BB5519" w:rsidP="00BB5519"/>
    <w:p w:rsidR="00023FE7" w:rsidRPr="00BB5519" w:rsidRDefault="00023FE7" w:rsidP="004E292A">
      <w:pPr>
        <w:pStyle w:val="Heading3"/>
        <w:rPr>
          <w:rFonts w:ascii="Tahoma" w:hAnsi="Tahoma" w:cs="Tahoma"/>
          <w:sz w:val="22"/>
          <w:szCs w:val="22"/>
        </w:rPr>
      </w:pPr>
      <w:bookmarkStart w:id="14" w:name="_Toc354054538"/>
      <w:r w:rsidRPr="00BB5519">
        <w:rPr>
          <w:rFonts w:ascii="Tahoma" w:hAnsi="Tahoma" w:cs="Tahoma"/>
          <w:sz w:val="22"/>
          <w:szCs w:val="22"/>
        </w:rPr>
        <w:t>ANWENDUNGS-POOL</w:t>
      </w:r>
      <w:bookmarkEnd w:id="11"/>
      <w:bookmarkEnd w:id="12"/>
      <w:bookmarkEnd w:id="13"/>
      <w:bookmarkEnd w:id="14"/>
    </w:p>
    <w:p w:rsidR="006949F0" w:rsidRPr="00BB5519" w:rsidRDefault="006949F0" w:rsidP="006949F0"/>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85"/>
        <w:gridCol w:w="450"/>
        <w:gridCol w:w="461"/>
        <w:gridCol w:w="429"/>
        <w:gridCol w:w="429"/>
        <w:gridCol w:w="429"/>
        <w:gridCol w:w="429"/>
        <w:gridCol w:w="429"/>
        <w:gridCol w:w="429"/>
        <w:gridCol w:w="429"/>
        <w:gridCol w:w="429"/>
        <w:gridCol w:w="429"/>
        <w:gridCol w:w="429"/>
        <w:gridCol w:w="429"/>
        <w:gridCol w:w="490"/>
        <w:gridCol w:w="368"/>
        <w:gridCol w:w="429"/>
        <w:gridCol w:w="514"/>
        <w:gridCol w:w="514"/>
      </w:tblGrid>
      <w:tr w:rsidR="00B27742" w:rsidRPr="00BB5519" w:rsidTr="004B1599">
        <w:trPr>
          <w:cantSplit/>
          <w:trHeight w:val="1403"/>
          <w:tblHeader/>
        </w:trPr>
        <w:tc>
          <w:tcPr>
            <w:tcW w:w="2585" w:type="dxa"/>
            <w:tcBorders>
              <w:top w:val="single" w:sz="4" w:space="0" w:color="FFFFFF"/>
              <w:left w:val="nil"/>
              <w:bottom w:val="nil"/>
            </w:tcBorders>
          </w:tcPr>
          <w:p w:rsidR="00B27742" w:rsidRPr="00BB5519" w:rsidRDefault="00B27742">
            <w:pPr>
              <w:widowControl w:val="0"/>
              <w:ind w:left="-360"/>
              <w:rPr>
                <w:rFonts w:cs="Tahoma"/>
              </w:rPr>
            </w:pPr>
          </w:p>
        </w:tc>
        <w:tc>
          <w:tcPr>
            <w:tcW w:w="450" w:type="dxa"/>
            <w:textDirection w:val="btLr"/>
            <w:vAlign w:val="center"/>
          </w:tcPr>
          <w:p w:rsidR="00B27742" w:rsidRPr="00BB5519" w:rsidRDefault="00B27742" w:rsidP="00575426">
            <w:pPr>
              <w:pStyle w:val="TableVerticalText"/>
              <w:widowControl w:val="0"/>
              <w:rPr>
                <w:rFonts w:ascii="Tahoma" w:hAnsi="Tahoma" w:cs="Tahoma"/>
              </w:rPr>
            </w:pPr>
            <w:r w:rsidRPr="00BB5519">
              <w:rPr>
                <w:rFonts w:ascii="Tahoma" w:hAnsi="Tahoma" w:cs="Tahoma"/>
              </w:rPr>
              <w:t>Produkthinweise</w:t>
            </w:r>
          </w:p>
        </w:tc>
        <w:tc>
          <w:tcPr>
            <w:tcW w:w="461" w:type="dxa"/>
            <w:textDirection w:val="btLr"/>
          </w:tcPr>
          <w:p w:rsidR="00B27742" w:rsidRPr="00BB5519" w:rsidRDefault="00B27742">
            <w:pPr>
              <w:pStyle w:val="TableVerticalText"/>
              <w:widowControl w:val="0"/>
              <w:rPr>
                <w:rFonts w:ascii="Tahoma" w:hAnsi="Tahoma" w:cs="Tahoma"/>
              </w:rPr>
            </w:pPr>
            <w:r w:rsidRPr="00BB5519">
              <w:rPr>
                <w:rFonts w:ascii="Tahoma" w:hAnsi="Tahoma" w:cs="Tahoma"/>
              </w:rPr>
              <w:t>Verfügbarkeitsdatum</w:t>
            </w:r>
          </w:p>
        </w:tc>
        <w:tc>
          <w:tcPr>
            <w:tcW w:w="429" w:type="dxa"/>
            <w:tcBorders>
              <w:right w:val="single" w:sz="18" w:space="0" w:color="auto"/>
            </w:tcBorders>
            <w:textDirection w:val="btLr"/>
            <w:vAlign w:val="center"/>
          </w:tcPr>
          <w:p w:rsidR="00B27742" w:rsidRPr="00BB5519" w:rsidRDefault="00B27742">
            <w:pPr>
              <w:pStyle w:val="TableVerticalText"/>
              <w:widowControl w:val="0"/>
              <w:rPr>
                <w:rFonts w:ascii="Tahoma" w:hAnsi="Tahoma" w:cs="Tahoma"/>
              </w:rPr>
            </w:pPr>
            <w:r w:rsidRPr="00BB5519">
              <w:rPr>
                <w:rFonts w:ascii="Tahoma" w:hAnsi="Tahoma" w:cs="Tahoma"/>
              </w:rPr>
              <w:t>SAV</w:t>
            </w:r>
          </w:p>
        </w:tc>
        <w:tc>
          <w:tcPr>
            <w:tcW w:w="3003" w:type="dxa"/>
            <w:gridSpan w:val="7"/>
            <w:tcBorders>
              <w:left w:val="single" w:sz="18" w:space="0" w:color="auto"/>
              <w:right w:val="single" w:sz="18" w:space="0" w:color="auto"/>
            </w:tcBorders>
            <w:vAlign w:val="center"/>
          </w:tcPr>
          <w:p w:rsidR="00B27742" w:rsidRPr="00BB5519" w:rsidRDefault="00B27742">
            <w:pPr>
              <w:pStyle w:val="TableHeadingsBlack"/>
              <w:widowControl w:val="0"/>
              <w:rPr>
                <w:rFonts w:ascii="Tahoma" w:hAnsi="Tahoma" w:cs="Tahoma"/>
              </w:rPr>
            </w:pPr>
            <w:r w:rsidRPr="00BB5519">
              <w:rPr>
                <w:rFonts w:ascii="Tahoma" w:hAnsi="Tahoma" w:cs="Tahoma"/>
              </w:rPr>
              <w:t>Select/Select Plus*</w:t>
            </w:r>
          </w:p>
        </w:tc>
        <w:tc>
          <w:tcPr>
            <w:tcW w:w="1287" w:type="dxa"/>
            <w:gridSpan w:val="3"/>
            <w:tcBorders>
              <w:left w:val="single" w:sz="18" w:space="0" w:color="auto"/>
              <w:right w:val="single" w:sz="18" w:space="0" w:color="auto"/>
            </w:tcBorders>
            <w:vAlign w:val="center"/>
          </w:tcPr>
          <w:p w:rsidR="00B27742" w:rsidRPr="00BB5519" w:rsidRDefault="00B27742">
            <w:pPr>
              <w:pStyle w:val="TableHeadingsBlack"/>
              <w:widowControl w:val="0"/>
              <w:rPr>
                <w:rFonts w:ascii="Tahoma" w:hAnsi="Tahoma" w:cs="Tahoma"/>
              </w:rPr>
            </w:pPr>
            <w:r w:rsidRPr="00BB5519">
              <w:rPr>
                <w:rFonts w:ascii="Tahoma" w:hAnsi="Tahoma" w:cs="Tahoma"/>
              </w:rPr>
              <w:t>Open-Lizenz</w:t>
            </w:r>
          </w:p>
        </w:tc>
        <w:tc>
          <w:tcPr>
            <w:tcW w:w="490" w:type="dxa"/>
            <w:tcBorders>
              <w:left w:val="single" w:sz="18" w:space="0" w:color="auto"/>
            </w:tcBorders>
            <w:textDirection w:val="btLr"/>
            <w:vAlign w:val="center"/>
          </w:tcPr>
          <w:p w:rsidR="00B27742" w:rsidRPr="00BB5519" w:rsidRDefault="00B27742">
            <w:pPr>
              <w:pStyle w:val="TableVerticalText"/>
              <w:widowControl w:val="0"/>
              <w:rPr>
                <w:rFonts w:ascii="Tahoma" w:hAnsi="Tahoma" w:cs="Tahoma"/>
              </w:rPr>
            </w:pPr>
            <w:r w:rsidRPr="00BB5519">
              <w:rPr>
                <w:rFonts w:ascii="Tahoma" w:hAnsi="Tahoma" w:cs="Tahoma"/>
              </w:rPr>
              <w:t>Campus- und School-Einheiten</w:t>
            </w:r>
          </w:p>
        </w:tc>
        <w:tc>
          <w:tcPr>
            <w:tcW w:w="368" w:type="dxa"/>
            <w:tcBorders>
              <w:right w:val="single" w:sz="18" w:space="0" w:color="auto"/>
            </w:tcBorders>
            <w:textDirection w:val="btLr"/>
            <w:vAlign w:val="center"/>
          </w:tcPr>
          <w:p w:rsidR="00B27742" w:rsidRPr="00BB5519" w:rsidRDefault="00B27742">
            <w:pPr>
              <w:pStyle w:val="TableVerticalText"/>
              <w:widowControl w:val="0"/>
              <w:rPr>
                <w:rFonts w:ascii="Tahoma" w:hAnsi="Tahoma" w:cs="Tahoma"/>
              </w:rPr>
            </w:pPr>
            <w:r w:rsidRPr="00BB5519">
              <w:rPr>
                <w:rFonts w:ascii="Tahoma" w:hAnsi="Tahoma" w:cs="Tahoma"/>
              </w:rPr>
              <w:t>EA und EA Abo</w:t>
            </w:r>
          </w:p>
        </w:tc>
        <w:tc>
          <w:tcPr>
            <w:tcW w:w="429" w:type="dxa"/>
            <w:tcBorders>
              <w:left w:val="single" w:sz="18" w:space="0" w:color="auto"/>
              <w:right w:val="single" w:sz="18" w:space="0" w:color="auto"/>
            </w:tcBorders>
            <w:textDirection w:val="btLr"/>
            <w:vAlign w:val="center"/>
          </w:tcPr>
          <w:p w:rsidR="00B27742" w:rsidRPr="00BB5519" w:rsidRDefault="00B27742">
            <w:pPr>
              <w:pStyle w:val="TableVerticalText"/>
              <w:widowControl w:val="0"/>
              <w:rPr>
                <w:rFonts w:ascii="Tahoma" w:hAnsi="Tahoma" w:cs="Tahoma"/>
              </w:rPr>
            </w:pPr>
            <w:r w:rsidRPr="00BB5519">
              <w:rPr>
                <w:rFonts w:ascii="Tahoma" w:hAnsi="Tahoma" w:cs="Tahoma"/>
              </w:rPr>
              <w:t>OV/OVS</w:t>
            </w:r>
          </w:p>
        </w:tc>
        <w:tc>
          <w:tcPr>
            <w:tcW w:w="514" w:type="dxa"/>
            <w:textDirection w:val="btLr"/>
          </w:tcPr>
          <w:p w:rsidR="00B27742" w:rsidRPr="00BB5519" w:rsidRDefault="00B0036E" w:rsidP="00E67091">
            <w:pPr>
              <w:pStyle w:val="TableVerticalText"/>
              <w:widowControl w:val="0"/>
              <w:spacing w:before="120"/>
              <w:rPr>
                <w:rFonts w:ascii="Tahoma" w:hAnsi="Tahoma" w:cs="Tahoma"/>
              </w:rPr>
            </w:pPr>
            <w:r w:rsidRPr="00BB5519">
              <w:rPr>
                <w:rFonts w:ascii="Tahoma" w:hAnsi="Tahoma" w:cs="Tahoma"/>
              </w:rPr>
              <w:t>EES/OVS-ES</w:t>
            </w:r>
          </w:p>
        </w:tc>
        <w:tc>
          <w:tcPr>
            <w:tcW w:w="514" w:type="dxa"/>
            <w:textDirection w:val="btLr"/>
            <w:vAlign w:val="center"/>
          </w:tcPr>
          <w:p w:rsidR="00B27742" w:rsidRPr="00BB5519" w:rsidRDefault="00B27742" w:rsidP="00456002">
            <w:pPr>
              <w:pStyle w:val="TableVerticalText"/>
              <w:widowControl w:val="0"/>
              <w:rPr>
                <w:rFonts w:ascii="Tahoma" w:hAnsi="Tahoma" w:cs="Tahoma"/>
              </w:rPr>
            </w:pPr>
            <w:r w:rsidRPr="00BB5519">
              <w:rPr>
                <w:rFonts w:ascii="Tahoma" w:hAnsi="Tahoma" w:cs="Tahoma"/>
              </w:rPr>
              <w:t>Mindestmenge bei Open-Programmen</w:t>
            </w:r>
          </w:p>
        </w:tc>
      </w:tr>
      <w:tr w:rsidR="00B27742" w:rsidRPr="00BB5519" w:rsidTr="004B1599">
        <w:trPr>
          <w:cantSplit/>
          <w:trHeight w:val="271"/>
          <w:tblHeader/>
        </w:trPr>
        <w:tc>
          <w:tcPr>
            <w:tcW w:w="2585" w:type="dxa"/>
            <w:vMerge w:val="restart"/>
            <w:tcBorders>
              <w:top w:val="nil"/>
              <w:left w:val="nil"/>
            </w:tcBorders>
          </w:tcPr>
          <w:p w:rsidR="00B27742" w:rsidRPr="00BB5519" w:rsidRDefault="00B27742">
            <w:pPr>
              <w:widowControl w:val="0"/>
              <w:rPr>
                <w:rFonts w:cs="Tahoma"/>
                <w:b/>
              </w:rPr>
            </w:pPr>
          </w:p>
        </w:tc>
        <w:tc>
          <w:tcPr>
            <w:tcW w:w="450" w:type="dxa"/>
            <w:vMerge w:val="restart"/>
          </w:tcPr>
          <w:p w:rsidR="00B27742" w:rsidRPr="00BB5519" w:rsidRDefault="00B27742">
            <w:pPr>
              <w:keepNext/>
              <w:widowControl w:val="0"/>
              <w:spacing w:before="200" w:after="120"/>
              <w:jc w:val="center"/>
              <w:outlineLvl w:val="0"/>
              <w:rPr>
                <w:rFonts w:cs="Tahoma"/>
                <w:b/>
                <w:color w:val="0000FF"/>
                <w:sz w:val="10"/>
              </w:rPr>
            </w:pPr>
            <w:r w:rsidRPr="00BB5519">
              <w:rPr>
                <w:rFonts w:cs="Tahoma"/>
                <w:b/>
                <w:color w:val="0000FF"/>
                <w:sz w:val="10"/>
              </w:rPr>
              <w:t>(Strg + Klick)</w:t>
            </w:r>
          </w:p>
        </w:tc>
        <w:tc>
          <w:tcPr>
            <w:tcW w:w="461" w:type="dxa"/>
            <w:vMerge w:val="restart"/>
          </w:tcPr>
          <w:p w:rsidR="00B27742" w:rsidRPr="00BB5519" w:rsidRDefault="00B27742">
            <w:pPr>
              <w:widowControl w:val="0"/>
              <w:rPr>
                <w:rFonts w:cs="Tahoma"/>
              </w:rPr>
            </w:pPr>
          </w:p>
        </w:tc>
        <w:tc>
          <w:tcPr>
            <w:tcW w:w="429" w:type="dxa"/>
            <w:vMerge w:val="restart"/>
            <w:tcBorders>
              <w:right w:val="single" w:sz="18" w:space="0" w:color="auto"/>
            </w:tcBorders>
          </w:tcPr>
          <w:p w:rsidR="00B27742" w:rsidRPr="00BB5519" w:rsidRDefault="00B27742">
            <w:pPr>
              <w:widowControl w:val="0"/>
              <w:rPr>
                <w:rFonts w:cs="Tahoma"/>
              </w:rPr>
            </w:pPr>
          </w:p>
        </w:tc>
        <w:tc>
          <w:tcPr>
            <w:tcW w:w="429" w:type="dxa"/>
            <w:vMerge w:val="restart"/>
            <w:tcBorders>
              <w:left w:val="single" w:sz="18" w:space="0" w:color="auto"/>
            </w:tcBorders>
            <w:vAlign w:val="center"/>
          </w:tcPr>
          <w:p w:rsidR="00B27742" w:rsidRPr="00BB5519" w:rsidRDefault="00B27742">
            <w:pPr>
              <w:pStyle w:val="TableHeadingsRed"/>
              <w:widowControl w:val="0"/>
              <w:rPr>
                <w:rFonts w:ascii="Tahoma" w:hAnsi="Tahoma" w:cs="Tahoma"/>
              </w:rPr>
            </w:pPr>
            <w:r w:rsidRPr="00BB5519">
              <w:rPr>
                <w:rFonts w:ascii="Tahoma" w:hAnsi="Tahoma" w:cs="Tahoma"/>
              </w:rPr>
              <w:t>L</w:t>
            </w:r>
          </w:p>
        </w:tc>
        <w:tc>
          <w:tcPr>
            <w:tcW w:w="1287" w:type="dxa"/>
            <w:gridSpan w:val="3"/>
            <w:vAlign w:val="center"/>
          </w:tcPr>
          <w:p w:rsidR="00B27742" w:rsidRPr="00BB5519" w:rsidRDefault="00B27742">
            <w:pPr>
              <w:pStyle w:val="TableHeadingsGreen"/>
              <w:widowControl w:val="0"/>
              <w:rPr>
                <w:rFonts w:ascii="Tahoma" w:hAnsi="Tahoma" w:cs="Tahoma"/>
              </w:rPr>
            </w:pPr>
            <w:r w:rsidRPr="00BB5519">
              <w:rPr>
                <w:rFonts w:ascii="Tahoma" w:hAnsi="Tahoma" w:cs="Tahoma"/>
              </w:rPr>
              <w:t>L&amp;SA</w:t>
            </w:r>
          </w:p>
        </w:tc>
        <w:tc>
          <w:tcPr>
            <w:tcW w:w="1287" w:type="dxa"/>
            <w:gridSpan w:val="3"/>
            <w:tcBorders>
              <w:right w:val="single" w:sz="18" w:space="0" w:color="auto"/>
            </w:tcBorders>
            <w:vAlign w:val="center"/>
          </w:tcPr>
          <w:p w:rsidR="00B27742" w:rsidRPr="00BB5519" w:rsidRDefault="00B27742">
            <w:pPr>
              <w:pStyle w:val="TableHeadingsBlue"/>
              <w:widowControl w:val="0"/>
              <w:rPr>
                <w:rFonts w:ascii="Tahoma" w:hAnsi="Tahoma" w:cs="Tahoma"/>
              </w:rPr>
            </w:pPr>
            <w:r w:rsidRPr="00BB5519">
              <w:rPr>
                <w:rFonts w:ascii="Tahoma" w:hAnsi="Tahoma" w:cs="Tahoma"/>
              </w:rPr>
              <w:t>SA</w:t>
            </w:r>
          </w:p>
        </w:tc>
        <w:tc>
          <w:tcPr>
            <w:tcW w:w="429" w:type="dxa"/>
            <w:vMerge w:val="restart"/>
            <w:tcBorders>
              <w:left w:val="single" w:sz="18" w:space="0" w:color="auto"/>
            </w:tcBorders>
            <w:vAlign w:val="center"/>
          </w:tcPr>
          <w:p w:rsidR="00B27742" w:rsidRPr="00BB5519" w:rsidRDefault="00B27742">
            <w:pPr>
              <w:pStyle w:val="TableHeadingsRed"/>
              <w:widowControl w:val="0"/>
              <w:rPr>
                <w:rFonts w:ascii="Tahoma" w:hAnsi="Tahoma" w:cs="Tahoma"/>
              </w:rPr>
            </w:pPr>
            <w:r w:rsidRPr="00BB5519">
              <w:rPr>
                <w:rFonts w:ascii="Tahoma" w:hAnsi="Tahoma" w:cs="Tahoma"/>
              </w:rPr>
              <w:t>L</w:t>
            </w:r>
          </w:p>
        </w:tc>
        <w:tc>
          <w:tcPr>
            <w:tcW w:w="429" w:type="dxa"/>
            <w:vAlign w:val="center"/>
          </w:tcPr>
          <w:p w:rsidR="00B27742" w:rsidRPr="00BB5519" w:rsidRDefault="00B27742">
            <w:pPr>
              <w:pStyle w:val="TableHeadingsGreen"/>
              <w:widowControl w:val="0"/>
              <w:rPr>
                <w:rFonts w:ascii="Tahoma" w:hAnsi="Tahoma" w:cs="Tahoma"/>
              </w:rPr>
            </w:pPr>
            <w:r w:rsidRPr="00BB5519">
              <w:rPr>
                <w:rFonts w:ascii="Tahoma" w:hAnsi="Tahoma" w:cs="Tahoma"/>
              </w:rPr>
              <w:t>L&amp;SA</w:t>
            </w:r>
          </w:p>
        </w:tc>
        <w:tc>
          <w:tcPr>
            <w:tcW w:w="429" w:type="dxa"/>
            <w:vMerge w:val="restart"/>
            <w:tcBorders>
              <w:right w:val="single" w:sz="18" w:space="0" w:color="auto"/>
            </w:tcBorders>
            <w:vAlign w:val="center"/>
          </w:tcPr>
          <w:p w:rsidR="00B27742" w:rsidRPr="00BB5519" w:rsidRDefault="00B27742">
            <w:pPr>
              <w:pStyle w:val="TableHeadingsBlue"/>
              <w:widowControl w:val="0"/>
              <w:rPr>
                <w:rFonts w:ascii="Tahoma" w:hAnsi="Tahoma" w:cs="Tahoma"/>
              </w:rPr>
            </w:pPr>
            <w:r w:rsidRPr="00BB5519">
              <w:rPr>
                <w:rFonts w:ascii="Tahoma" w:hAnsi="Tahoma" w:cs="Tahoma"/>
              </w:rPr>
              <w:t>SA</w:t>
            </w:r>
          </w:p>
        </w:tc>
        <w:tc>
          <w:tcPr>
            <w:tcW w:w="490" w:type="dxa"/>
            <w:vMerge w:val="restart"/>
            <w:tcBorders>
              <w:left w:val="single" w:sz="18" w:space="0" w:color="auto"/>
            </w:tcBorders>
          </w:tcPr>
          <w:p w:rsidR="00B27742" w:rsidRPr="00BB5519" w:rsidRDefault="00B27742" w:rsidP="00097B90">
            <w:pPr>
              <w:widowControl w:val="0"/>
              <w:rPr>
                <w:rFonts w:cs="Tahoma"/>
              </w:rPr>
            </w:pPr>
          </w:p>
        </w:tc>
        <w:tc>
          <w:tcPr>
            <w:tcW w:w="368" w:type="dxa"/>
            <w:vMerge w:val="restart"/>
            <w:tcBorders>
              <w:right w:val="single" w:sz="18" w:space="0" w:color="auto"/>
            </w:tcBorders>
          </w:tcPr>
          <w:p w:rsidR="00B27742" w:rsidRPr="00BB5519" w:rsidRDefault="00B27742">
            <w:pPr>
              <w:widowControl w:val="0"/>
              <w:rPr>
                <w:rFonts w:cs="Tahoma"/>
              </w:rPr>
            </w:pPr>
          </w:p>
        </w:tc>
        <w:tc>
          <w:tcPr>
            <w:tcW w:w="429" w:type="dxa"/>
            <w:vMerge w:val="restart"/>
            <w:tcBorders>
              <w:left w:val="single" w:sz="18" w:space="0" w:color="auto"/>
              <w:right w:val="single" w:sz="18" w:space="0" w:color="auto"/>
            </w:tcBorders>
          </w:tcPr>
          <w:p w:rsidR="00B27742" w:rsidRPr="00BB5519" w:rsidRDefault="00B27742">
            <w:pPr>
              <w:widowControl w:val="0"/>
              <w:rPr>
                <w:rFonts w:cs="Tahoma"/>
              </w:rPr>
            </w:pPr>
          </w:p>
        </w:tc>
        <w:tc>
          <w:tcPr>
            <w:tcW w:w="514" w:type="dxa"/>
            <w:vMerge w:val="restart"/>
          </w:tcPr>
          <w:p w:rsidR="00B27742" w:rsidRPr="00BB5519" w:rsidRDefault="00B27742">
            <w:pPr>
              <w:widowControl w:val="0"/>
              <w:rPr>
                <w:rFonts w:cs="Tahoma"/>
              </w:rPr>
            </w:pPr>
          </w:p>
        </w:tc>
        <w:tc>
          <w:tcPr>
            <w:tcW w:w="514" w:type="dxa"/>
            <w:vMerge w:val="restart"/>
          </w:tcPr>
          <w:p w:rsidR="00B27742" w:rsidRPr="00BB5519" w:rsidRDefault="00B27742">
            <w:pPr>
              <w:widowControl w:val="0"/>
              <w:rPr>
                <w:rFonts w:cs="Tahoma"/>
              </w:rPr>
            </w:pPr>
          </w:p>
        </w:tc>
      </w:tr>
      <w:tr w:rsidR="00B27742" w:rsidRPr="00BB5519" w:rsidTr="004B1599">
        <w:trPr>
          <w:cantSplit/>
          <w:trHeight w:val="413"/>
          <w:tblHeader/>
        </w:trPr>
        <w:tc>
          <w:tcPr>
            <w:tcW w:w="2585" w:type="dxa"/>
            <w:vMerge/>
            <w:tcBorders>
              <w:top w:val="single" w:sz="4" w:space="0" w:color="auto"/>
              <w:left w:val="nil"/>
              <w:bottom w:val="single" w:sz="4" w:space="0" w:color="auto"/>
            </w:tcBorders>
          </w:tcPr>
          <w:p w:rsidR="00B27742" w:rsidRPr="00BB5519" w:rsidRDefault="00B27742">
            <w:pPr>
              <w:widowControl w:val="0"/>
              <w:rPr>
                <w:rFonts w:cs="Tahoma"/>
              </w:rPr>
            </w:pPr>
          </w:p>
        </w:tc>
        <w:tc>
          <w:tcPr>
            <w:tcW w:w="450" w:type="dxa"/>
            <w:vMerge/>
            <w:tcBorders>
              <w:bottom w:val="single" w:sz="4" w:space="0" w:color="auto"/>
            </w:tcBorders>
          </w:tcPr>
          <w:p w:rsidR="00B27742" w:rsidRPr="00BB5519" w:rsidRDefault="00B27742">
            <w:pPr>
              <w:keepNext/>
              <w:widowControl w:val="0"/>
              <w:spacing w:before="200" w:after="120"/>
              <w:outlineLvl w:val="0"/>
              <w:rPr>
                <w:rFonts w:cs="Tahoma"/>
                <w:b/>
              </w:rPr>
            </w:pPr>
          </w:p>
        </w:tc>
        <w:tc>
          <w:tcPr>
            <w:tcW w:w="461" w:type="dxa"/>
            <w:vMerge/>
            <w:tcBorders>
              <w:bottom w:val="single" w:sz="4" w:space="0" w:color="auto"/>
            </w:tcBorders>
          </w:tcPr>
          <w:p w:rsidR="00B27742" w:rsidRPr="00BB5519" w:rsidRDefault="00B27742">
            <w:pPr>
              <w:widowControl w:val="0"/>
              <w:rPr>
                <w:rFonts w:cs="Tahoma"/>
              </w:rPr>
            </w:pPr>
          </w:p>
        </w:tc>
        <w:tc>
          <w:tcPr>
            <w:tcW w:w="429" w:type="dxa"/>
            <w:vMerge/>
            <w:tcBorders>
              <w:bottom w:val="single" w:sz="4" w:space="0" w:color="auto"/>
              <w:right w:val="single" w:sz="18" w:space="0" w:color="auto"/>
            </w:tcBorders>
          </w:tcPr>
          <w:p w:rsidR="00B27742" w:rsidRPr="00BB5519"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BB5519" w:rsidRDefault="00B27742">
            <w:pPr>
              <w:widowControl w:val="0"/>
              <w:jc w:val="center"/>
              <w:rPr>
                <w:rFonts w:cs="Tahoma"/>
              </w:rPr>
            </w:pPr>
          </w:p>
        </w:tc>
        <w:tc>
          <w:tcPr>
            <w:tcW w:w="429" w:type="dxa"/>
            <w:tcBorders>
              <w:bottom w:val="single" w:sz="4" w:space="0" w:color="auto"/>
            </w:tcBorders>
            <w:vAlign w:val="center"/>
          </w:tcPr>
          <w:p w:rsidR="00B27742" w:rsidRPr="00BB5519" w:rsidRDefault="00B27742">
            <w:pPr>
              <w:pStyle w:val="TableHeadingsGreen"/>
              <w:widowControl w:val="0"/>
              <w:rPr>
                <w:rFonts w:ascii="Tahoma" w:hAnsi="Tahoma" w:cs="Tahoma"/>
              </w:rPr>
            </w:pPr>
            <w:r w:rsidRPr="00BB5519">
              <w:rPr>
                <w:rFonts w:ascii="Tahoma" w:hAnsi="Tahoma" w:cs="Tahoma"/>
              </w:rPr>
              <w:t>3 Jahre</w:t>
            </w:r>
          </w:p>
        </w:tc>
        <w:tc>
          <w:tcPr>
            <w:tcW w:w="429" w:type="dxa"/>
            <w:tcBorders>
              <w:bottom w:val="single" w:sz="4" w:space="0" w:color="auto"/>
            </w:tcBorders>
            <w:vAlign w:val="center"/>
          </w:tcPr>
          <w:p w:rsidR="00B27742" w:rsidRPr="00BB5519" w:rsidRDefault="00B27742">
            <w:pPr>
              <w:pStyle w:val="TableHeadingsGreen"/>
              <w:widowControl w:val="0"/>
              <w:rPr>
                <w:rFonts w:ascii="Tahoma" w:hAnsi="Tahoma" w:cs="Tahoma"/>
              </w:rPr>
            </w:pPr>
            <w:r w:rsidRPr="00BB5519">
              <w:rPr>
                <w:rFonts w:ascii="Tahoma" w:hAnsi="Tahoma" w:cs="Tahoma"/>
              </w:rPr>
              <w:t>2 Jahre</w:t>
            </w:r>
          </w:p>
        </w:tc>
        <w:tc>
          <w:tcPr>
            <w:tcW w:w="429" w:type="dxa"/>
            <w:tcBorders>
              <w:bottom w:val="single" w:sz="4" w:space="0" w:color="auto"/>
            </w:tcBorders>
            <w:vAlign w:val="center"/>
          </w:tcPr>
          <w:p w:rsidR="00B27742" w:rsidRPr="00BB5519" w:rsidRDefault="00B27742">
            <w:pPr>
              <w:pStyle w:val="TableHeadingsGreen"/>
              <w:widowControl w:val="0"/>
              <w:rPr>
                <w:rFonts w:ascii="Tahoma" w:hAnsi="Tahoma" w:cs="Tahoma"/>
              </w:rPr>
            </w:pPr>
            <w:r w:rsidRPr="00BB5519">
              <w:rPr>
                <w:rFonts w:ascii="Tahoma" w:hAnsi="Tahoma" w:cs="Tahoma"/>
              </w:rPr>
              <w:t>1 Jahr</w:t>
            </w:r>
          </w:p>
        </w:tc>
        <w:tc>
          <w:tcPr>
            <w:tcW w:w="429" w:type="dxa"/>
            <w:tcBorders>
              <w:bottom w:val="single" w:sz="4" w:space="0" w:color="auto"/>
            </w:tcBorders>
            <w:vAlign w:val="center"/>
          </w:tcPr>
          <w:p w:rsidR="00B27742" w:rsidRPr="00BB5519" w:rsidRDefault="00B27742">
            <w:pPr>
              <w:pStyle w:val="TableHeadingsBlue"/>
              <w:widowControl w:val="0"/>
              <w:rPr>
                <w:rFonts w:ascii="Tahoma" w:hAnsi="Tahoma" w:cs="Tahoma"/>
              </w:rPr>
            </w:pPr>
            <w:r w:rsidRPr="00BB5519">
              <w:rPr>
                <w:rFonts w:ascii="Tahoma" w:hAnsi="Tahoma" w:cs="Tahoma"/>
              </w:rPr>
              <w:t>3 Jahre</w:t>
            </w:r>
          </w:p>
        </w:tc>
        <w:tc>
          <w:tcPr>
            <w:tcW w:w="429" w:type="dxa"/>
            <w:tcBorders>
              <w:bottom w:val="single" w:sz="4" w:space="0" w:color="auto"/>
            </w:tcBorders>
            <w:vAlign w:val="center"/>
          </w:tcPr>
          <w:p w:rsidR="00B27742" w:rsidRPr="00BB5519" w:rsidRDefault="00B27742">
            <w:pPr>
              <w:pStyle w:val="TableHeadingsBlue"/>
              <w:widowControl w:val="0"/>
              <w:rPr>
                <w:rFonts w:ascii="Tahoma" w:hAnsi="Tahoma" w:cs="Tahoma"/>
              </w:rPr>
            </w:pPr>
            <w:r w:rsidRPr="00BB5519">
              <w:rPr>
                <w:rFonts w:ascii="Tahoma" w:hAnsi="Tahoma" w:cs="Tahoma"/>
              </w:rPr>
              <w:t>2 Jahre</w:t>
            </w:r>
          </w:p>
        </w:tc>
        <w:tc>
          <w:tcPr>
            <w:tcW w:w="429" w:type="dxa"/>
            <w:tcBorders>
              <w:bottom w:val="single" w:sz="4" w:space="0" w:color="auto"/>
              <w:right w:val="single" w:sz="18" w:space="0" w:color="auto"/>
            </w:tcBorders>
            <w:vAlign w:val="center"/>
          </w:tcPr>
          <w:p w:rsidR="00B27742" w:rsidRPr="00BB5519" w:rsidRDefault="00B27742">
            <w:pPr>
              <w:pStyle w:val="TableHeadingsBlue"/>
              <w:widowControl w:val="0"/>
              <w:rPr>
                <w:rFonts w:ascii="Tahoma" w:hAnsi="Tahoma" w:cs="Tahoma"/>
              </w:rPr>
            </w:pPr>
            <w:r w:rsidRPr="00BB5519">
              <w:rPr>
                <w:rFonts w:ascii="Tahoma" w:hAnsi="Tahoma" w:cs="Tahoma"/>
              </w:rPr>
              <w:t>1 Jahr</w:t>
            </w:r>
          </w:p>
        </w:tc>
        <w:tc>
          <w:tcPr>
            <w:tcW w:w="429" w:type="dxa"/>
            <w:vMerge/>
            <w:tcBorders>
              <w:left w:val="single" w:sz="18" w:space="0" w:color="auto"/>
              <w:bottom w:val="single" w:sz="4" w:space="0" w:color="auto"/>
            </w:tcBorders>
            <w:vAlign w:val="center"/>
          </w:tcPr>
          <w:p w:rsidR="00B27742" w:rsidRPr="00BB5519" w:rsidRDefault="00B27742">
            <w:pPr>
              <w:widowControl w:val="0"/>
              <w:jc w:val="center"/>
              <w:rPr>
                <w:rFonts w:cs="Tahoma"/>
              </w:rPr>
            </w:pPr>
          </w:p>
        </w:tc>
        <w:tc>
          <w:tcPr>
            <w:tcW w:w="429" w:type="dxa"/>
            <w:tcBorders>
              <w:bottom w:val="single" w:sz="4" w:space="0" w:color="auto"/>
            </w:tcBorders>
            <w:vAlign w:val="center"/>
          </w:tcPr>
          <w:p w:rsidR="00B27742" w:rsidRPr="00BB5519" w:rsidRDefault="00B27742">
            <w:pPr>
              <w:pStyle w:val="TableHeadingsGreen"/>
              <w:widowControl w:val="0"/>
              <w:rPr>
                <w:rFonts w:ascii="Tahoma" w:hAnsi="Tahoma" w:cs="Tahoma"/>
              </w:rPr>
            </w:pPr>
            <w:r w:rsidRPr="00BB5519">
              <w:rPr>
                <w:rFonts w:ascii="Tahoma" w:hAnsi="Tahoma" w:cs="Tahoma"/>
              </w:rPr>
              <w:t>P</w:t>
            </w:r>
          </w:p>
        </w:tc>
        <w:tc>
          <w:tcPr>
            <w:tcW w:w="429" w:type="dxa"/>
            <w:vMerge/>
            <w:tcBorders>
              <w:bottom w:val="single" w:sz="4" w:space="0" w:color="auto"/>
              <w:right w:val="single" w:sz="18" w:space="0" w:color="auto"/>
            </w:tcBorders>
          </w:tcPr>
          <w:p w:rsidR="00B27742" w:rsidRPr="00BB5519" w:rsidRDefault="00B27742">
            <w:pPr>
              <w:widowControl w:val="0"/>
              <w:rPr>
                <w:rFonts w:cs="Tahoma"/>
              </w:rPr>
            </w:pPr>
          </w:p>
        </w:tc>
        <w:tc>
          <w:tcPr>
            <w:tcW w:w="490" w:type="dxa"/>
            <w:vMerge/>
            <w:tcBorders>
              <w:left w:val="single" w:sz="18" w:space="0" w:color="auto"/>
              <w:bottom w:val="single" w:sz="4" w:space="0" w:color="auto"/>
            </w:tcBorders>
          </w:tcPr>
          <w:p w:rsidR="00B27742" w:rsidRPr="00BB5519" w:rsidRDefault="00B27742">
            <w:pPr>
              <w:widowControl w:val="0"/>
              <w:rPr>
                <w:rFonts w:cs="Tahoma"/>
              </w:rPr>
            </w:pPr>
          </w:p>
        </w:tc>
        <w:tc>
          <w:tcPr>
            <w:tcW w:w="368" w:type="dxa"/>
            <w:vMerge/>
            <w:tcBorders>
              <w:bottom w:val="single" w:sz="4" w:space="0" w:color="auto"/>
              <w:right w:val="single" w:sz="18" w:space="0" w:color="auto"/>
            </w:tcBorders>
          </w:tcPr>
          <w:p w:rsidR="00B27742" w:rsidRPr="00BB5519"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BB5519" w:rsidRDefault="00B27742">
            <w:pPr>
              <w:widowControl w:val="0"/>
              <w:rPr>
                <w:rFonts w:cs="Tahoma"/>
              </w:rPr>
            </w:pPr>
          </w:p>
        </w:tc>
        <w:tc>
          <w:tcPr>
            <w:tcW w:w="514" w:type="dxa"/>
            <w:vMerge/>
            <w:tcBorders>
              <w:bottom w:val="single" w:sz="4" w:space="0" w:color="auto"/>
            </w:tcBorders>
          </w:tcPr>
          <w:p w:rsidR="00B27742" w:rsidRPr="00BB5519" w:rsidRDefault="00B27742">
            <w:pPr>
              <w:widowControl w:val="0"/>
              <w:rPr>
                <w:rFonts w:cs="Tahoma"/>
              </w:rPr>
            </w:pPr>
          </w:p>
        </w:tc>
        <w:tc>
          <w:tcPr>
            <w:tcW w:w="514" w:type="dxa"/>
            <w:vMerge/>
            <w:tcBorders>
              <w:bottom w:val="single" w:sz="4" w:space="0" w:color="auto"/>
            </w:tcBorders>
          </w:tcPr>
          <w:p w:rsidR="00B27742" w:rsidRPr="00BB5519" w:rsidRDefault="00B27742">
            <w:pPr>
              <w:widowControl w:val="0"/>
              <w:rPr>
                <w:rFonts w:cs="Tahoma"/>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B27742" w:rsidRPr="00BB5519" w:rsidRDefault="00B27742" w:rsidP="005B6712">
            <w:pPr>
              <w:pStyle w:val="ProductNames"/>
              <w:spacing w:beforeLines="20" w:before="48" w:afterLines="20" w:after="48"/>
              <w:rPr>
                <w:rFonts w:ascii="Tahoma" w:hAnsi="Tahoma" w:cs="Tahoma"/>
                <w:position w:val="0"/>
                <w:sz w:val="14"/>
              </w:rPr>
            </w:pPr>
            <w:bookmarkStart w:id="15" w:name="_Toc336337843"/>
            <w:bookmarkStart w:id="16" w:name="_Toc354054539"/>
            <w:r w:rsidRPr="00BB5519">
              <w:rPr>
                <w:rFonts w:ascii="Tahoma" w:hAnsi="Tahoma" w:cs="Tahoma"/>
                <w:position w:val="0"/>
                <w:sz w:val="14"/>
              </w:rPr>
              <w:t xml:space="preserve">Access </w:t>
            </w:r>
            <w:bookmarkEnd w:id="15"/>
            <w:r w:rsidRPr="00BB5519">
              <w:rPr>
                <w:rFonts w:ascii="Tahoma" w:hAnsi="Tahoma" w:cs="Tahoma"/>
                <w:position w:val="0"/>
                <w:sz w:val="14"/>
              </w:rPr>
              <w:t>2013</w:t>
            </w:r>
            <w:bookmarkEnd w:id="16"/>
          </w:p>
        </w:tc>
        <w:tc>
          <w:tcPr>
            <w:tcW w:w="450" w:type="dxa"/>
            <w:tcBorders>
              <w:bottom w:val="single" w:sz="4" w:space="0" w:color="auto"/>
            </w:tcBorders>
            <w:shd w:val="clear" w:color="auto" w:fill="FABF8F"/>
            <w:vAlign w:val="center"/>
          </w:tcPr>
          <w:p w:rsidR="00B27742" w:rsidRPr="00BB5519" w:rsidRDefault="00B27742">
            <w:pPr>
              <w:pStyle w:val="TableText"/>
              <w:widowControl w:val="0"/>
              <w:rPr>
                <w:rStyle w:val="EndnoteReference"/>
                <w:b w:val="0"/>
                <w:color w:val="0000FF"/>
                <w:sz w:val="13"/>
                <w:szCs w:val="13"/>
                <w:u w:val="single"/>
              </w:rPr>
            </w:pPr>
          </w:p>
        </w:tc>
        <w:tc>
          <w:tcPr>
            <w:tcW w:w="461" w:type="dxa"/>
            <w:tcBorders>
              <w:bottom w:val="single" w:sz="4" w:space="0" w:color="auto"/>
            </w:tcBorders>
            <w:shd w:val="clear" w:color="auto" w:fill="FABF8F"/>
            <w:vAlign w:val="center"/>
          </w:tcPr>
          <w:p w:rsidR="00B27742" w:rsidRPr="00BB5519" w:rsidRDefault="00014EAD" w:rsidP="004000C7">
            <w:pPr>
              <w:pStyle w:val="TableText"/>
              <w:widowControl w:val="0"/>
              <w:rPr>
                <w:rFonts w:ascii="Tahoma" w:hAnsi="Tahoma" w:cs="Tahoma"/>
                <w:color w:val="000000"/>
                <w:sz w:val="13"/>
              </w:rPr>
            </w:pPr>
            <w:r w:rsidRPr="00BB5519">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color w:val="000000"/>
                <w:sz w:val="13"/>
              </w:rPr>
            </w:pPr>
            <w:r w:rsidRPr="00BB551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tcPr>
          <w:p w:rsidR="00B27742" w:rsidRPr="00BB5519"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FFFFF"/>
            <w:vAlign w:val="center"/>
          </w:tcPr>
          <w:p w:rsidR="00B27742" w:rsidRPr="00BB5519" w:rsidRDefault="00B27742" w:rsidP="005B6712">
            <w:pPr>
              <w:pStyle w:val="ProductNames"/>
              <w:spacing w:beforeLines="20" w:before="48" w:afterLines="20" w:after="48"/>
              <w:rPr>
                <w:rFonts w:ascii="Tahoma" w:hAnsi="Tahoma" w:cs="Tahoma"/>
                <w:position w:val="0"/>
                <w:sz w:val="14"/>
              </w:rPr>
            </w:pPr>
            <w:bookmarkStart w:id="17" w:name="_Toc336337844"/>
            <w:bookmarkStart w:id="18" w:name="_Toc354054540"/>
            <w:r w:rsidRPr="00BB5519">
              <w:rPr>
                <w:rFonts w:ascii="Tahoma" w:hAnsi="Tahoma" w:cs="Tahoma"/>
                <w:position w:val="0"/>
                <w:sz w:val="14"/>
              </w:rPr>
              <w:t>AutoRoute 2013</w:t>
            </w:r>
            <w:bookmarkEnd w:id="17"/>
            <w:bookmarkEnd w:id="18"/>
          </w:p>
        </w:tc>
        <w:tc>
          <w:tcPr>
            <w:tcW w:w="450" w:type="dxa"/>
            <w:tcBorders>
              <w:bottom w:val="single" w:sz="4" w:space="0" w:color="auto"/>
            </w:tcBorders>
            <w:shd w:val="clear" w:color="auto" w:fill="FFFFFF"/>
            <w:vAlign w:val="center"/>
          </w:tcPr>
          <w:p w:rsidR="00B27742" w:rsidRPr="00BB5519" w:rsidRDefault="00B27742">
            <w:pPr>
              <w:pStyle w:val="TableText"/>
              <w:widowControl w:val="0"/>
              <w:rPr>
                <w:rFonts w:cs="Tahoma"/>
                <w:color w:val="0000FF"/>
                <w:sz w:val="13"/>
                <w:szCs w:val="13"/>
                <w:u w:val="single"/>
              </w:rPr>
            </w:pPr>
          </w:p>
        </w:tc>
        <w:tc>
          <w:tcPr>
            <w:tcW w:w="461" w:type="dxa"/>
            <w:tcBorders>
              <w:bottom w:val="single" w:sz="4" w:space="0" w:color="auto"/>
            </w:tcBorders>
            <w:shd w:val="clear" w:color="auto" w:fill="FFFFFF"/>
            <w:vAlign w:val="center"/>
          </w:tcPr>
          <w:p w:rsidR="00B27742" w:rsidRPr="00BB5519" w:rsidRDefault="00E64830" w:rsidP="004000C7">
            <w:pPr>
              <w:pStyle w:val="TableText"/>
              <w:widowControl w:val="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FFFFF"/>
            <w:vAlign w:val="center"/>
          </w:tcPr>
          <w:p w:rsidR="00B27742" w:rsidRPr="00BB5519" w:rsidRDefault="00F440FF" w:rsidP="00080B33">
            <w:pPr>
              <w:pStyle w:val="TableText"/>
              <w:widowControl w:val="0"/>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FFFFFF"/>
            <w:vAlign w:val="center"/>
          </w:tcPr>
          <w:p w:rsidR="00B27742" w:rsidRPr="00BB5519" w:rsidRDefault="00B27742"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B27742" w:rsidRPr="00BB5519" w:rsidRDefault="00B27742" w:rsidP="005B6712">
            <w:pPr>
              <w:pStyle w:val="ProductNames"/>
              <w:spacing w:beforeLines="20" w:before="48" w:afterLines="20" w:after="48"/>
              <w:rPr>
                <w:rFonts w:ascii="Tahoma" w:hAnsi="Tahoma" w:cs="Tahoma"/>
                <w:position w:val="0"/>
                <w:sz w:val="14"/>
              </w:rPr>
            </w:pPr>
            <w:bookmarkStart w:id="19" w:name="_Toc336337846"/>
            <w:bookmarkStart w:id="20" w:name="_Toc354054541"/>
            <w:r w:rsidRPr="00BB5519">
              <w:rPr>
                <w:rFonts w:ascii="Tahoma" w:hAnsi="Tahoma" w:cs="Tahoma"/>
                <w:position w:val="0"/>
                <w:sz w:val="14"/>
              </w:rPr>
              <w:t xml:space="preserve">Excel </w:t>
            </w:r>
            <w:bookmarkEnd w:id="19"/>
            <w:r w:rsidRPr="00BB5519">
              <w:rPr>
                <w:rFonts w:ascii="Tahoma" w:hAnsi="Tahoma" w:cs="Tahoma"/>
                <w:position w:val="0"/>
                <w:sz w:val="14"/>
              </w:rPr>
              <w:t>2013</w:t>
            </w:r>
            <w:bookmarkEnd w:id="20"/>
          </w:p>
        </w:tc>
        <w:tc>
          <w:tcPr>
            <w:tcW w:w="450" w:type="dxa"/>
            <w:tcBorders>
              <w:bottom w:val="single" w:sz="4" w:space="0" w:color="auto"/>
            </w:tcBorders>
            <w:shd w:val="clear" w:color="auto" w:fill="FABF8F"/>
            <w:vAlign w:val="center"/>
          </w:tcPr>
          <w:p w:rsidR="00B27742" w:rsidRPr="00BB5519" w:rsidRDefault="00B27742">
            <w:pPr>
              <w:pStyle w:val="TableText"/>
              <w:widowControl w:val="0"/>
              <w:rPr>
                <w:rStyle w:val="EndnoteReference"/>
                <w:rFonts w:cs="Tahoma"/>
                <w:b w:val="0"/>
                <w:color w:val="0000FF"/>
                <w:sz w:val="13"/>
                <w:szCs w:val="13"/>
                <w:u w:val="single"/>
              </w:rPr>
            </w:pPr>
          </w:p>
        </w:tc>
        <w:tc>
          <w:tcPr>
            <w:tcW w:w="461" w:type="dxa"/>
            <w:tcBorders>
              <w:bottom w:val="single" w:sz="4" w:space="0" w:color="auto"/>
            </w:tcBorders>
            <w:shd w:val="clear" w:color="auto" w:fill="FABF8F"/>
            <w:vAlign w:val="center"/>
          </w:tcPr>
          <w:p w:rsidR="00B27742" w:rsidRPr="00BB5519" w:rsidRDefault="00014EAD" w:rsidP="004000C7">
            <w:pPr>
              <w:pStyle w:val="TableText"/>
              <w:widowControl w:val="0"/>
              <w:rPr>
                <w:rFonts w:ascii="Tahoma" w:hAnsi="Tahoma" w:cs="Tahoma"/>
                <w:color w:val="000000"/>
                <w:sz w:val="13"/>
              </w:rPr>
            </w:pPr>
            <w:r w:rsidRPr="00BB5519">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color w:val="000000"/>
                <w:sz w:val="13"/>
              </w:rPr>
            </w:pPr>
            <w:r w:rsidRPr="00BB551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B27742" w:rsidRPr="00BB551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r>
      <w:tr w:rsidR="00B33D0E" w:rsidRPr="00BB5519" w:rsidTr="004B1599">
        <w:trPr>
          <w:cantSplit/>
          <w:trHeight w:val="278"/>
        </w:trPr>
        <w:tc>
          <w:tcPr>
            <w:tcW w:w="2585" w:type="dxa"/>
            <w:tcBorders>
              <w:bottom w:val="single" w:sz="4" w:space="0" w:color="auto"/>
            </w:tcBorders>
            <w:shd w:val="clear" w:color="auto" w:fill="auto"/>
            <w:vAlign w:val="center"/>
          </w:tcPr>
          <w:p w:rsidR="00B27742" w:rsidRPr="00BB5519" w:rsidRDefault="00B27742" w:rsidP="005B6712">
            <w:pPr>
              <w:pStyle w:val="ProductNames"/>
              <w:spacing w:beforeLines="20" w:before="48" w:afterLines="20" w:after="48"/>
              <w:rPr>
                <w:rFonts w:ascii="Tahoma" w:hAnsi="Tahoma" w:cs="Tahoma"/>
                <w:position w:val="0"/>
                <w:sz w:val="14"/>
              </w:rPr>
            </w:pPr>
            <w:bookmarkStart w:id="21" w:name="_Toc336337847"/>
            <w:bookmarkStart w:id="22" w:name="_Toc354054542"/>
            <w:r w:rsidRPr="00BB5519">
              <w:rPr>
                <w:rFonts w:ascii="Tahoma" w:hAnsi="Tahoma" w:cs="Tahoma"/>
                <w:position w:val="0"/>
                <w:sz w:val="14"/>
              </w:rPr>
              <w:t>Excel für Mac 2011</w:t>
            </w:r>
            <w:bookmarkEnd w:id="21"/>
            <w:bookmarkEnd w:id="22"/>
          </w:p>
        </w:tc>
        <w:tc>
          <w:tcPr>
            <w:tcW w:w="450" w:type="dxa"/>
            <w:tcBorders>
              <w:bottom w:val="single" w:sz="4" w:space="0" w:color="auto"/>
            </w:tcBorders>
            <w:shd w:val="clear" w:color="auto" w:fill="auto"/>
            <w:vAlign w:val="center"/>
          </w:tcPr>
          <w:p w:rsidR="00B27742" w:rsidRPr="00BB5519" w:rsidRDefault="00B27742">
            <w:pPr>
              <w:pStyle w:val="TableText"/>
              <w:widowControl w:val="0"/>
              <w:rPr>
                <w:rStyle w:val="EndnoteReference"/>
                <w:rFonts w:cs="Tahoma"/>
                <w:b w:val="0"/>
                <w:color w:val="0000FF"/>
                <w:sz w:val="13"/>
                <w:szCs w:val="13"/>
                <w:u w:val="single"/>
              </w:rPr>
            </w:pPr>
          </w:p>
        </w:tc>
        <w:tc>
          <w:tcPr>
            <w:tcW w:w="461" w:type="dxa"/>
            <w:tcBorders>
              <w:bottom w:val="single" w:sz="4" w:space="0" w:color="auto"/>
            </w:tcBorders>
            <w:shd w:val="clear" w:color="auto" w:fill="auto"/>
            <w:vAlign w:val="center"/>
          </w:tcPr>
          <w:p w:rsidR="00B27742" w:rsidRPr="00BB5519" w:rsidRDefault="00B27742" w:rsidP="004000C7">
            <w:pPr>
              <w:pStyle w:val="TableText"/>
              <w:widowControl w:val="0"/>
              <w:rPr>
                <w:rFonts w:ascii="Tahoma" w:hAnsi="Tahoma" w:cs="Tahoma"/>
                <w:color w:val="000000"/>
                <w:sz w:val="13"/>
              </w:rPr>
            </w:pPr>
            <w:r w:rsidRPr="00BB5519">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color w:val="000000"/>
                <w:sz w:val="13"/>
              </w:rPr>
            </w:pPr>
            <w:r w:rsidRPr="00BB551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B27742" w:rsidRPr="00BB551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B27742" w:rsidRPr="00BB5519" w:rsidRDefault="00B27742" w:rsidP="005B6712">
            <w:pPr>
              <w:pStyle w:val="Heading2"/>
              <w:spacing w:beforeLines="20" w:before="48" w:afterLines="20" w:after="48"/>
              <w:ind w:left="0"/>
              <w:rPr>
                <w:rFonts w:ascii="Tahoma" w:hAnsi="Tahoma" w:cs="Tahoma"/>
                <w:b w:val="0"/>
                <w:sz w:val="14"/>
              </w:rPr>
            </w:pPr>
            <w:bookmarkStart w:id="23" w:name="_Toc336337850"/>
            <w:bookmarkStart w:id="24" w:name="_Toc354054543"/>
            <w:r w:rsidRPr="00BB5519">
              <w:rPr>
                <w:rFonts w:ascii="Tahoma" w:hAnsi="Tahoma" w:cs="Tahoma"/>
                <w:b w:val="0"/>
                <w:sz w:val="14"/>
              </w:rPr>
              <w:t>Expression Encoder Pro 4</w:t>
            </w:r>
            <w:bookmarkEnd w:id="23"/>
            <w:bookmarkEnd w:id="24"/>
          </w:p>
        </w:tc>
        <w:tc>
          <w:tcPr>
            <w:tcW w:w="450" w:type="dxa"/>
            <w:tcBorders>
              <w:bottom w:val="single" w:sz="4" w:space="0" w:color="auto"/>
            </w:tcBorders>
            <w:shd w:val="clear" w:color="auto" w:fill="FABF8F"/>
            <w:vAlign w:val="center"/>
          </w:tcPr>
          <w:p w:rsidR="00B27742" w:rsidRPr="00BB5519" w:rsidRDefault="005F5403" w:rsidP="00F9515B">
            <w:pPr>
              <w:pStyle w:val="TableText"/>
              <w:widowControl w:val="0"/>
              <w:rPr>
                <w:rStyle w:val="EndnoteReference"/>
                <w:rFonts w:cs="Tahoma"/>
                <w:b w:val="0"/>
                <w:color w:val="0000FF"/>
                <w:sz w:val="13"/>
                <w:szCs w:val="13"/>
                <w:u w:val="single"/>
              </w:rPr>
            </w:pPr>
            <w:hyperlink w:anchor="_1_Expression_Encoder" w:history="1">
              <w:r w:rsidR="00955428" w:rsidRPr="00BB5519">
                <w:rPr>
                  <w:rStyle w:val="Hyperlink"/>
                  <w:b/>
                  <w:sz w:val="13"/>
                  <w:szCs w:val="13"/>
                </w:rPr>
                <w:t>1</w:t>
              </w:r>
            </w:hyperlink>
          </w:p>
        </w:tc>
        <w:tc>
          <w:tcPr>
            <w:tcW w:w="461" w:type="dxa"/>
            <w:tcBorders>
              <w:bottom w:val="single" w:sz="4" w:space="0" w:color="auto"/>
            </w:tcBorders>
            <w:shd w:val="clear" w:color="auto" w:fill="FABF8F"/>
            <w:vAlign w:val="center"/>
          </w:tcPr>
          <w:p w:rsidR="00B27742" w:rsidRPr="00BB5519" w:rsidRDefault="00913F3F" w:rsidP="004000C7">
            <w:pPr>
              <w:pStyle w:val="TableText"/>
              <w:widowControl w:val="0"/>
              <w:rPr>
                <w:rFonts w:ascii="Tahoma" w:hAnsi="Tahoma" w:cs="Tahoma"/>
                <w:sz w:val="13"/>
              </w:rPr>
            </w:pPr>
            <w:r w:rsidRPr="00BB5519">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B27742" w:rsidRPr="00BB551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B5519" w:rsidRDefault="00B27742" w:rsidP="00F9515B">
            <w:pPr>
              <w:pStyle w:val="TableText"/>
              <w:widowControl w:val="0"/>
              <w:rPr>
                <w:rFonts w:ascii="Tahoma" w:hAnsi="Tahoma" w:cs="Tahoma"/>
                <w:sz w:val="13"/>
              </w:rPr>
            </w:pPr>
          </w:p>
        </w:tc>
      </w:tr>
      <w:tr w:rsidR="00B33D0E" w:rsidRPr="00BB5519" w:rsidTr="004B1599">
        <w:trPr>
          <w:cantSplit/>
          <w:trHeight w:val="287"/>
        </w:trPr>
        <w:tc>
          <w:tcPr>
            <w:tcW w:w="2585" w:type="dxa"/>
            <w:tcBorders>
              <w:bottom w:val="single" w:sz="4" w:space="0" w:color="auto"/>
            </w:tcBorders>
            <w:shd w:val="clear" w:color="auto" w:fill="auto"/>
            <w:vAlign w:val="center"/>
          </w:tcPr>
          <w:p w:rsidR="00B27742" w:rsidRPr="00BB5519" w:rsidRDefault="00B27742" w:rsidP="005B6712">
            <w:pPr>
              <w:pStyle w:val="Heading2"/>
              <w:spacing w:beforeLines="20" w:before="48" w:afterLines="20" w:after="48"/>
              <w:ind w:left="0"/>
              <w:rPr>
                <w:rFonts w:ascii="Tahoma" w:hAnsi="Tahoma" w:cs="Tahoma"/>
                <w:b w:val="0"/>
                <w:sz w:val="14"/>
              </w:rPr>
            </w:pPr>
            <w:bookmarkStart w:id="25" w:name="_Toc336337851"/>
            <w:bookmarkStart w:id="26" w:name="_Toc354054544"/>
            <w:r w:rsidRPr="00BB5519">
              <w:rPr>
                <w:rFonts w:ascii="Tahoma" w:hAnsi="Tahoma" w:cs="Tahoma"/>
                <w:b w:val="0"/>
                <w:sz w:val="14"/>
              </w:rPr>
              <w:t>GeoSynther 3.0</w:t>
            </w:r>
            <w:bookmarkEnd w:id="25"/>
            <w:bookmarkEnd w:id="26"/>
          </w:p>
        </w:tc>
        <w:tc>
          <w:tcPr>
            <w:tcW w:w="450" w:type="dxa"/>
            <w:tcBorders>
              <w:bottom w:val="single" w:sz="4" w:space="0" w:color="auto"/>
            </w:tcBorders>
            <w:shd w:val="clear" w:color="auto" w:fill="auto"/>
            <w:vAlign w:val="center"/>
          </w:tcPr>
          <w:p w:rsidR="00B27742" w:rsidRPr="00BB5519" w:rsidRDefault="00B27742" w:rsidP="00F62B9E">
            <w:pPr>
              <w:pStyle w:val="TableText"/>
              <w:widowControl w:val="0"/>
              <w:rPr>
                <w:rStyle w:val="EndnoteReference"/>
                <w:rFonts w:cs="Tahoma"/>
                <w:b w:val="0"/>
                <w:color w:val="0000FF"/>
                <w:sz w:val="13"/>
                <w:szCs w:val="13"/>
                <w:u w:val="single"/>
              </w:rPr>
            </w:pPr>
          </w:p>
        </w:tc>
        <w:tc>
          <w:tcPr>
            <w:tcW w:w="461" w:type="dxa"/>
            <w:tcBorders>
              <w:bottom w:val="single" w:sz="4" w:space="0" w:color="auto"/>
            </w:tcBorders>
            <w:shd w:val="clear" w:color="auto" w:fill="auto"/>
            <w:vAlign w:val="center"/>
          </w:tcPr>
          <w:p w:rsidR="00B27742" w:rsidRPr="00BB5519" w:rsidRDefault="00B27742" w:rsidP="004000C7">
            <w:pPr>
              <w:pStyle w:val="TableText"/>
              <w:widowControl w:val="0"/>
              <w:rPr>
                <w:rFonts w:ascii="Tahoma" w:hAnsi="Tahoma" w:cs="Tahoma"/>
                <w:sz w:val="13"/>
              </w:rPr>
            </w:pPr>
            <w:r w:rsidRPr="00BB5519">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BB5519" w:rsidRDefault="00F440FF" w:rsidP="00080B33">
            <w:pPr>
              <w:pStyle w:val="TableText"/>
              <w:widowControl w:val="0"/>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B27742" w:rsidRPr="00BB5519" w:rsidRDefault="00B27742" w:rsidP="005B6712">
            <w:pPr>
              <w:pStyle w:val="Heading2"/>
              <w:spacing w:beforeLines="20" w:before="48" w:afterLines="20" w:after="48"/>
              <w:ind w:left="0"/>
              <w:rPr>
                <w:rFonts w:ascii="Tahoma" w:hAnsi="Tahoma" w:cs="Tahoma"/>
                <w:b w:val="0"/>
                <w:sz w:val="14"/>
              </w:rPr>
            </w:pPr>
            <w:bookmarkStart w:id="27" w:name="_Toc336337852"/>
            <w:bookmarkStart w:id="28" w:name="_Toc354054545"/>
            <w:r w:rsidRPr="00BB5519">
              <w:rPr>
                <w:rFonts w:ascii="Tahoma" w:hAnsi="Tahoma" w:cs="Tahoma"/>
                <w:b w:val="0"/>
                <w:sz w:val="14"/>
              </w:rPr>
              <w:t>GeoSynth Viewer 3.0</w:t>
            </w:r>
            <w:bookmarkEnd w:id="27"/>
            <w:bookmarkEnd w:id="28"/>
          </w:p>
        </w:tc>
        <w:tc>
          <w:tcPr>
            <w:tcW w:w="450" w:type="dxa"/>
            <w:tcBorders>
              <w:bottom w:val="single" w:sz="4" w:space="0" w:color="auto"/>
            </w:tcBorders>
            <w:shd w:val="clear" w:color="auto" w:fill="FABF8F"/>
            <w:vAlign w:val="center"/>
          </w:tcPr>
          <w:p w:rsidR="00B27742" w:rsidRPr="00BB5519" w:rsidRDefault="00B27742" w:rsidP="00F62B9E">
            <w:pPr>
              <w:pStyle w:val="TableText"/>
              <w:widowControl w:val="0"/>
              <w:rPr>
                <w:rStyle w:val="EndnoteReference"/>
                <w:rFonts w:cs="Tahoma"/>
                <w:b w:val="0"/>
                <w:color w:val="0000FF"/>
                <w:sz w:val="13"/>
                <w:szCs w:val="13"/>
                <w:u w:val="single"/>
              </w:rPr>
            </w:pPr>
          </w:p>
        </w:tc>
        <w:tc>
          <w:tcPr>
            <w:tcW w:w="461" w:type="dxa"/>
            <w:tcBorders>
              <w:bottom w:val="single" w:sz="4" w:space="0" w:color="auto"/>
            </w:tcBorders>
            <w:shd w:val="clear" w:color="auto" w:fill="FABF8F"/>
            <w:vAlign w:val="center"/>
          </w:tcPr>
          <w:p w:rsidR="00B27742" w:rsidRPr="00BB5519" w:rsidRDefault="00B27742" w:rsidP="004000C7">
            <w:pPr>
              <w:pStyle w:val="TableText"/>
              <w:widowControl w:val="0"/>
              <w:rPr>
                <w:rFonts w:ascii="Tahoma" w:hAnsi="Tahoma" w:cs="Tahoma"/>
                <w:sz w:val="13"/>
              </w:rPr>
            </w:pPr>
            <w:r w:rsidRPr="00BB5519">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B5519" w:rsidRDefault="006A33F3" w:rsidP="00080B33">
            <w:pPr>
              <w:pStyle w:val="TableText"/>
              <w:widowControl w:val="0"/>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r>
      <w:tr w:rsidR="00B33D0E" w:rsidRPr="00BB5519" w:rsidTr="004B1599">
        <w:trPr>
          <w:cantSplit/>
          <w:trHeight w:val="287"/>
        </w:trPr>
        <w:tc>
          <w:tcPr>
            <w:tcW w:w="2585" w:type="dxa"/>
            <w:tcBorders>
              <w:bottom w:val="single" w:sz="4" w:space="0" w:color="auto"/>
            </w:tcBorders>
            <w:shd w:val="clear" w:color="auto" w:fill="auto"/>
            <w:vAlign w:val="center"/>
          </w:tcPr>
          <w:p w:rsidR="00B27742" w:rsidRPr="00BB5519" w:rsidRDefault="00B27742" w:rsidP="005B6712">
            <w:pPr>
              <w:pStyle w:val="Heading2"/>
              <w:spacing w:beforeLines="20" w:before="48" w:afterLines="20" w:after="48"/>
              <w:ind w:left="0"/>
              <w:rPr>
                <w:rFonts w:ascii="Tahoma" w:hAnsi="Tahoma" w:cs="Tahoma"/>
                <w:b w:val="0"/>
                <w:sz w:val="14"/>
              </w:rPr>
            </w:pPr>
            <w:bookmarkStart w:id="29" w:name="_Toc336337853"/>
            <w:bookmarkStart w:id="30" w:name="_Toc354054546"/>
            <w:r w:rsidRPr="00BB5519">
              <w:rPr>
                <w:rFonts w:ascii="Tahoma" w:hAnsi="Tahoma" w:cs="Tahoma"/>
                <w:b w:val="0"/>
                <w:sz w:val="14"/>
              </w:rPr>
              <w:t>InfoPath</w:t>
            </w:r>
            <w:r w:rsidRPr="00621662">
              <w:rPr>
                <w:rFonts w:ascii="Tahoma" w:hAnsi="Tahoma" w:cs="Tahoma"/>
                <w:b w:val="0"/>
                <w:sz w:val="14"/>
                <w:vertAlign w:val="superscript"/>
              </w:rPr>
              <w:t>®</w:t>
            </w:r>
            <w:r w:rsidRPr="00BB5519">
              <w:rPr>
                <w:rFonts w:ascii="Tahoma" w:hAnsi="Tahoma" w:cs="Tahoma"/>
                <w:b w:val="0"/>
                <w:sz w:val="14"/>
              </w:rPr>
              <w:t xml:space="preserve"> </w:t>
            </w:r>
            <w:bookmarkEnd w:id="29"/>
            <w:r w:rsidRPr="00BB5519">
              <w:rPr>
                <w:rFonts w:ascii="Tahoma" w:hAnsi="Tahoma" w:cs="Tahoma"/>
                <w:b w:val="0"/>
                <w:sz w:val="14"/>
              </w:rPr>
              <w:t>2013</w:t>
            </w:r>
            <w:bookmarkEnd w:id="30"/>
          </w:p>
        </w:tc>
        <w:tc>
          <w:tcPr>
            <w:tcW w:w="450" w:type="dxa"/>
            <w:tcBorders>
              <w:bottom w:val="single" w:sz="4" w:space="0" w:color="auto"/>
            </w:tcBorders>
            <w:shd w:val="clear" w:color="auto" w:fill="auto"/>
            <w:vAlign w:val="center"/>
          </w:tcPr>
          <w:p w:rsidR="00B27742" w:rsidRPr="00BB5519" w:rsidRDefault="00B27742">
            <w:pPr>
              <w:pStyle w:val="TableText"/>
              <w:widowControl w:val="0"/>
              <w:rPr>
                <w:rStyle w:val="EndnoteReference"/>
                <w:rFonts w:cs="Tahoma"/>
                <w:b w:val="0"/>
                <w:color w:val="0000FF"/>
                <w:sz w:val="13"/>
                <w:szCs w:val="13"/>
                <w:u w:val="single"/>
              </w:rPr>
            </w:pPr>
          </w:p>
        </w:tc>
        <w:tc>
          <w:tcPr>
            <w:tcW w:w="461" w:type="dxa"/>
            <w:tcBorders>
              <w:bottom w:val="single" w:sz="4" w:space="0" w:color="auto"/>
            </w:tcBorders>
            <w:shd w:val="clear" w:color="auto" w:fill="auto"/>
            <w:vAlign w:val="center"/>
          </w:tcPr>
          <w:p w:rsidR="00B27742" w:rsidRPr="00BB5519" w:rsidRDefault="00B27742" w:rsidP="004000C7">
            <w:pPr>
              <w:pStyle w:val="TableText"/>
              <w:widowControl w:val="0"/>
              <w:rPr>
                <w:rFonts w:ascii="Tahoma" w:hAnsi="Tahoma" w:cs="Tahoma"/>
                <w:sz w:val="13"/>
              </w:rPr>
            </w:pPr>
            <w:r w:rsidRPr="00BB5519">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B27742" w:rsidRPr="00BB551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B27742" w:rsidRPr="00BB5519" w:rsidRDefault="00B27742" w:rsidP="005B6712">
            <w:pPr>
              <w:pStyle w:val="Heading2"/>
              <w:spacing w:beforeLines="20" w:before="48" w:afterLines="20" w:after="48"/>
              <w:ind w:left="0"/>
              <w:rPr>
                <w:rFonts w:ascii="Tahoma" w:hAnsi="Tahoma" w:cs="Tahoma"/>
                <w:b w:val="0"/>
                <w:sz w:val="14"/>
              </w:rPr>
            </w:pPr>
            <w:bookmarkStart w:id="31" w:name="_Toc336337854"/>
            <w:bookmarkStart w:id="32" w:name="_Toc354054547"/>
            <w:r w:rsidRPr="00BB5519">
              <w:rPr>
                <w:rFonts w:ascii="Tahoma" w:hAnsi="Tahoma" w:cs="Tahoma"/>
                <w:b w:val="0"/>
                <w:sz w:val="14"/>
              </w:rPr>
              <w:t xml:space="preserve">Lync </w:t>
            </w:r>
            <w:bookmarkEnd w:id="31"/>
            <w:r w:rsidRPr="00BB5519">
              <w:rPr>
                <w:rFonts w:ascii="Tahoma" w:hAnsi="Tahoma" w:cs="Tahoma"/>
                <w:b w:val="0"/>
                <w:sz w:val="14"/>
              </w:rPr>
              <w:t>2013</w:t>
            </w:r>
            <w:bookmarkEnd w:id="32"/>
          </w:p>
        </w:tc>
        <w:tc>
          <w:tcPr>
            <w:tcW w:w="450" w:type="dxa"/>
            <w:tcBorders>
              <w:bottom w:val="single" w:sz="4" w:space="0" w:color="auto"/>
            </w:tcBorders>
            <w:shd w:val="clear" w:color="auto" w:fill="FABF8F"/>
            <w:vAlign w:val="center"/>
          </w:tcPr>
          <w:p w:rsidR="00B27742" w:rsidRPr="00BB5519" w:rsidRDefault="00B27742">
            <w:pPr>
              <w:pStyle w:val="TableText"/>
              <w:widowControl w:val="0"/>
              <w:rPr>
                <w:rStyle w:val="EndnoteReference"/>
                <w:b w:val="0"/>
                <w:color w:val="0000FF"/>
                <w:sz w:val="13"/>
                <w:szCs w:val="13"/>
                <w:u w:val="single"/>
              </w:rPr>
            </w:pPr>
            <w:bookmarkStart w:id="33" w:name="_Hlt301882262"/>
            <w:bookmarkStart w:id="34" w:name="_Hlt336250688"/>
          </w:p>
        </w:tc>
        <w:bookmarkEnd w:id="33"/>
        <w:bookmarkEnd w:id="34"/>
        <w:tc>
          <w:tcPr>
            <w:tcW w:w="461" w:type="dxa"/>
            <w:tcBorders>
              <w:bottom w:val="single" w:sz="4" w:space="0" w:color="auto"/>
            </w:tcBorders>
            <w:shd w:val="clear" w:color="auto" w:fill="FABF8F"/>
            <w:vAlign w:val="center"/>
          </w:tcPr>
          <w:p w:rsidR="00B27742" w:rsidRPr="00BB5519" w:rsidRDefault="00B27742" w:rsidP="004000C7">
            <w:pPr>
              <w:pStyle w:val="TableText"/>
              <w:widowControl w:val="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B27742" w:rsidRPr="00BB5519" w:rsidRDefault="00F440FF" w:rsidP="00080B33">
            <w:pPr>
              <w:pStyle w:val="TableText"/>
              <w:widowControl w:val="0"/>
              <w:rPr>
                <w:rFonts w:ascii="Tahoma" w:hAnsi="Tahoma" w:cs="Tahoma"/>
                <w:sz w:val="13"/>
              </w:rPr>
            </w:pPr>
            <w:r w:rsidRPr="00BB5519">
              <w:rPr>
                <w:rFonts w:ascii="Tahoma" w:hAnsi="Tahoma" w:cs="Tahoma"/>
                <w:sz w:val="13"/>
              </w:rPr>
              <w:t>A, ST</w:t>
            </w:r>
          </w:p>
        </w:tc>
        <w:tc>
          <w:tcPr>
            <w:tcW w:w="514"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r>
      <w:tr w:rsidR="00B33D0E" w:rsidRPr="00BB5519" w:rsidTr="004B1599">
        <w:trPr>
          <w:cantSplit/>
          <w:trHeight w:val="287"/>
        </w:trPr>
        <w:tc>
          <w:tcPr>
            <w:tcW w:w="2585" w:type="dxa"/>
            <w:tcBorders>
              <w:bottom w:val="single" w:sz="4" w:space="0" w:color="auto"/>
            </w:tcBorders>
            <w:shd w:val="clear" w:color="auto" w:fill="auto"/>
            <w:vAlign w:val="center"/>
          </w:tcPr>
          <w:p w:rsidR="00CA606E" w:rsidRPr="00BB5519" w:rsidRDefault="00CA606E" w:rsidP="005B6712">
            <w:pPr>
              <w:pStyle w:val="Heading2"/>
              <w:spacing w:beforeLines="20" w:before="48" w:afterLines="20" w:after="48"/>
              <w:ind w:left="0"/>
              <w:rPr>
                <w:rFonts w:ascii="Tahoma" w:hAnsi="Tahoma" w:cs="Tahoma"/>
                <w:b w:val="0"/>
                <w:sz w:val="14"/>
              </w:rPr>
            </w:pPr>
            <w:bookmarkStart w:id="35" w:name="_Toc336337855"/>
            <w:bookmarkStart w:id="36" w:name="_Toc354054548"/>
            <w:r w:rsidRPr="00BB5519">
              <w:rPr>
                <w:rFonts w:ascii="Tahoma" w:hAnsi="Tahoma" w:cs="Tahoma"/>
                <w:b w:val="0"/>
                <w:sz w:val="14"/>
              </w:rPr>
              <w:t>Lync für Mac 2011</w:t>
            </w:r>
            <w:bookmarkEnd w:id="35"/>
            <w:bookmarkEnd w:id="36"/>
          </w:p>
        </w:tc>
        <w:tc>
          <w:tcPr>
            <w:tcW w:w="450" w:type="dxa"/>
            <w:tcBorders>
              <w:bottom w:val="single" w:sz="4" w:space="0" w:color="auto"/>
            </w:tcBorders>
            <w:shd w:val="clear" w:color="auto" w:fill="auto"/>
            <w:vAlign w:val="center"/>
          </w:tcPr>
          <w:p w:rsidR="00CA606E" w:rsidRPr="00BB5519" w:rsidRDefault="005F5403" w:rsidP="009832D3">
            <w:pPr>
              <w:pStyle w:val="TableText"/>
              <w:widowControl w:val="0"/>
              <w:rPr>
                <w:rStyle w:val="EndnoteReference"/>
                <w:b w:val="0"/>
                <w:color w:val="0000FF"/>
                <w:sz w:val="13"/>
                <w:szCs w:val="13"/>
                <w:u w:val="single"/>
              </w:rPr>
            </w:pPr>
            <w:hyperlink w:anchor="_2_Lync_für" w:history="1">
              <w:r w:rsidR="00955428" w:rsidRPr="00BB5519">
                <w:rPr>
                  <w:rStyle w:val="Hyperlink"/>
                  <w:b/>
                  <w:sz w:val="13"/>
                  <w:szCs w:val="13"/>
                </w:rPr>
                <w:t>2</w:t>
              </w:r>
            </w:hyperlink>
          </w:p>
        </w:tc>
        <w:tc>
          <w:tcPr>
            <w:tcW w:w="461" w:type="dxa"/>
            <w:tcBorders>
              <w:bottom w:val="single" w:sz="4" w:space="0" w:color="auto"/>
            </w:tcBorders>
            <w:shd w:val="clear" w:color="auto" w:fill="auto"/>
            <w:vAlign w:val="center"/>
          </w:tcPr>
          <w:p w:rsidR="00CA606E" w:rsidRPr="00BB5519" w:rsidRDefault="00C4684B" w:rsidP="004000C7">
            <w:pPr>
              <w:pStyle w:val="TableText"/>
              <w:widowControl w:val="0"/>
              <w:rPr>
                <w:rFonts w:ascii="Tahoma" w:hAnsi="Tahoma" w:cs="Tahoma"/>
                <w:sz w:val="13"/>
              </w:rPr>
            </w:pPr>
            <w:r w:rsidRPr="00BB5519">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CA606E" w:rsidRPr="00BB5519"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BB5519" w:rsidRDefault="00CA606E" w:rsidP="00703595">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B27742" w:rsidRPr="00BB5519" w:rsidRDefault="00B27742" w:rsidP="005B6712">
            <w:pPr>
              <w:pStyle w:val="Heading2"/>
              <w:spacing w:beforeLines="20" w:before="48" w:afterLines="20" w:after="48"/>
              <w:ind w:left="0"/>
              <w:rPr>
                <w:rFonts w:ascii="Tahoma" w:hAnsi="Tahoma" w:cs="Tahoma"/>
                <w:b w:val="0"/>
                <w:sz w:val="14"/>
              </w:rPr>
            </w:pPr>
            <w:bookmarkStart w:id="37" w:name="_Toc235859737"/>
            <w:bookmarkStart w:id="38" w:name="_Toc336337856"/>
            <w:bookmarkStart w:id="39" w:name="_Toc354054549"/>
            <w:r w:rsidRPr="00BB5519">
              <w:rPr>
                <w:rFonts w:ascii="Tahoma" w:hAnsi="Tahoma" w:cs="Tahoma"/>
                <w:b w:val="0"/>
                <w:sz w:val="14"/>
              </w:rPr>
              <w:t>MapPoint</w:t>
            </w:r>
            <w:r w:rsidRPr="00621662">
              <w:rPr>
                <w:rFonts w:ascii="Tahoma" w:hAnsi="Tahoma" w:cs="Tahoma"/>
                <w:b w:val="0"/>
                <w:sz w:val="14"/>
                <w:vertAlign w:val="superscript"/>
              </w:rPr>
              <w:t>®</w:t>
            </w:r>
            <w:r w:rsidRPr="00BB5519">
              <w:rPr>
                <w:rFonts w:ascii="Tahoma" w:hAnsi="Tahoma" w:cs="Tahoma"/>
                <w:b w:val="0"/>
                <w:sz w:val="14"/>
              </w:rPr>
              <w:t xml:space="preserve"> Fleet Edition </w:t>
            </w:r>
            <w:bookmarkEnd w:id="37"/>
            <w:r w:rsidRPr="00BB5519">
              <w:rPr>
                <w:rFonts w:ascii="Tahoma" w:hAnsi="Tahoma" w:cs="Tahoma"/>
                <w:b w:val="0"/>
                <w:sz w:val="14"/>
              </w:rPr>
              <w:t>2013</w:t>
            </w:r>
            <w:bookmarkEnd w:id="38"/>
            <w:bookmarkEnd w:id="39"/>
          </w:p>
        </w:tc>
        <w:tc>
          <w:tcPr>
            <w:tcW w:w="450" w:type="dxa"/>
            <w:tcBorders>
              <w:bottom w:val="single" w:sz="4" w:space="0" w:color="auto"/>
            </w:tcBorders>
            <w:shd w:val="clear" w:color="auto" w:fill="FABF8F"/>
            <w:vAlign w:val="center"/>
          </w:tcPr>
          <w:p w:rsidR="00B27742" w:rsidRPr="00BB5519" w:rsidRDefault="00B27742">
            <w:pPr>
              <w:pStyle w:val="TableText"/>
              <w:widowControl w:val="0"/>
              <w:rPr>
                <w:rStyle w:val="EndnoteReference"/>
                <w:b w:val="0"/>
                <w:color w:val="0000FF"/>
                <w:sz w:val="13"/>
                <w:szCs w:val="13"/>
                <w:u w:val="single"/>
              </w:rPr>
            </w:pPr>
          </w:p>
        </w:tc>
        <w:tc>
          <w:tcPr>
            <w:tcW w:w="461" w:type="dxa"/>
            <w:tcBorders>
              <w:bottom w:val="single" w:sz="4" w:space="0" w:color="auto"/>
            </w:tcBorders>
            <w:shd w:val="clear" w:color="auto" w:fill="FABF8F"/>
            <w:vAlign w:val="center"/>
          </w:tcPr>
          <w:p w:rsidR="00B27742" w:rsidRPr="00BB5519" w:rsidRDefault="00097B90" w:rsidP="004000C7">
            <w:pPr>
              <w:pStyle w:val="TableText"/>
              <w:widowControl w:val="0"/>
              <w:rPr>
                <w:rFonts w:ascii="Tahoma" w:hAnsi="Tahoma" w:cs="Tahoma"/>
                <w:sz w:val="13"/>
              </w:rPr>
            </w:pPr>
            <w:r w:rsidRPr="00BB5519">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10</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8</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6</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6</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4</w:t>
            </w:r>
          </w:p>
        </w:tc>
        <w:tc>
          <w:tcPr>
            <w:tcW w:w="490"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B27742" w:rsidRPr="00BB551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BB5519" w:rsidRDefault="00B27742" w:rsidP="004B3534">
            <w:pPr>
              <w:pStyle w:val="TableText"/>
              <w:widowControl w:val="0"/>
              <w:rPr>
                <w:rFonts w:ascii="Tahoma" w:hAnsi="Tahoma" w:cs="Tahoma"/>
                <w:sz w:val="13"/>
              </w:rPr>
            </w:pPr>
          </w:p>
        </w:tc>
      </w:tr>
      <w:tr w:rsidR="00B33D0E" w:rsidRPr="00BB5519" w:rsidTr="004B1599">
        <w:trPr>
          <w:cantSplit/>
          <w:trHeight w:val="323"/>
        </w:trPr>
        <w:tc>
          <w:tcPr>
            <w:tcW w:w="2585" w:type="dxa"/>
            <w:tcBorders>
              <w:bottom w:val="single" w:sz="4" w:space="0" w:color="auto"/>
            </w:tcBorders>
            <w:shd w:val="clear" w:color="auto" w:fill="auto"/>
            <w:vAlign w:val="center"/>
          </w:tcPr>
          <w:p w:rsidR="00B27742" w:rsidRPr="00BB5519" w:rsidRDefault="00B27742" w:rsidP="005B6712">
            <w:pPr>
              <w:pStyle w:val="Heading2"/>
              <w:spacing w:beforeLines="20" w:before="48" w:afterLines="20" w:after="48"/>
              <w:ind w:left="0"/>
              <w:rPr>
                <w:rFonts w:ascii="Tahoma" w:hAnsi="Tahoma" w:cs="Tahoma"/>
                <w:b w:val="0"/>
                <w:sz w:val="14"/>
              </w:rPr>
            </w:pPr>
            <w:bookmarkStart w:id="40" w:name="_Toc235859738"/>
            <w:bookmarkStart w:id="41" w:name="_Toc336337857"/>
            <w:bookmarkStart w:id="42" w:name="_Toc354054550"/>
            <w:r w:rsidRPr="00BB5519">
              <w:rPr>
                <w:rFonts w:ascii="Tahoma" w:hAnsi="Tahoma" w:cs="Tahoma"/>
                <w:b w:val="0"/>
                <w:sz w:val="14"/>
              </w:rPr>
              <w:t>MapPoint</w:t>
            </w:r>
            <w:r w:rsidRPr="00621662">
              <w:rPr>
                <w:rFonts w:ascii="Tahoma" w:hAnsi="Tahoma" w:cs="Tahoma"/>
                <w:b w:val="0"/>
                <w:sz w:val="14"/>
                <w:vertAlign w:val="superscript"/>
              </w:rPr>
              <w:t>®</w:t>
            </w:r>
            <w:r w:rsidRPr="00BB5519">
              <w:rPr>
                <w:rFonts w:ascii="Tahoma" w:hAnsi="Tahoma" w:cs="Tahoma"/>
                <w:b w:val="0"/>
                <w:sz w:val="14"/>
              </w:rPr>
              <w:t xml:space="preserve"> 2013 für Windows</w:t>
            </w:r>
            <w:bookmarkEnd w:id="40"/>
            <w:bookmarkEnd w:id="41"/>
            <w:bookmarkEnd w:id="42"/>
          </w:p>
        </w:tc>
        <w:tc>
          <w:tcPr>
            <w:tcW w:w="450" w:type="dxa"/>
            <w:tcBorders>
              <w:bottom w:val="single" w:sz="4" w:space="0" w:color="auto"/>
            </w:tcBorders>
            <w:shd w:val="clear" w:color="auto" w:fill="auto"/>
            <w:vAlign w:val="center"/>
          </w:tcPr>
          <w:p w:rsidR="00B27742" w:rsidRPr="00BB5519" w:rsidRDefault="00B27742">
            <w:pPr>
              <w:pStyle w:val="TableText"/>
              <w:widowControl w:val="0"/>
              <w:rPr>
                <w:rStyle w:val="EndnoteReference"/>
                <w:b w:val="0"/>
                <w:color w:val="0000FF"/>
                <w:sz w:val="13"/>
                <w:szCs w:val="13"/>
                <w:u w:val="single"/>
              </w:rPr>
            </w:pPr>
          </w:p>
        </w:tc>
        <w:tc>
          <w:tcPr>
            <w:tcW w:w="461" w:type="dxa"/>
            <w:tcBorders>
              <w:bottom w:val="single" w:sz="4" w:space="0" w:color="auto"/>
            </w:tcBorders>
            <w:shd w:val="clear" w:color="auto" w:fill="auto"/>
            <w:vAlign w:val="center"/>
          </w:tcPr>
          <w:p w:rsidR="00B27742" w:rsidRPr="00BB5519" w:rsidRDefault="00097B90" w:rsidP="004000C7">
            <w:pPr>
              <w:pStyle w:val="TableText"/>
              <w:widowControl w:val="0"/>
              <w:rPr>
                <w:rFonts w:ascii="Tahoma" w:hAnsi="Tahoma" w:cs="Tahoma"/>
                <w:color w:val="000000"/>
                <w:sz w:val="13"/>
              </w:rPr>
            </w:pPr>
            <w:r w:rsidRPr="00BB5519">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color w:val="000000"/>
                <w:sz w:val="13"/>
              </w:rPr>
            </w:pPr>
            <w:r w:rsidRPr="00BB551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B27742" w:rsidRPr="00BB5519" w:rsidRDefault="00F440FF" w:rsidP="00080B33">
            <w:pPr>
              <w:pStyle w:val="TableText"/>
              <w:widowControl w:val="0"/>
              <w:rPr>
                <w:rFonts w:ascii="Tahoma" w:hAnsi="Tahoma" w:cs="Tahoma"/>
                <w:sz w:val="13"/>
              </w:rPr>
            </w:pPr>
            <w:r w:rsidRPr="00BB5519">
              <w:rPr>
                <w:rFonts w:ascii="Tahoma" w:hAnsi="Tahoma" w:cs="Tahoma"/>
                <w:sz w:val="13"/>
              </w:rPr>
              <w:t>A, AO, ST</w:t>
            </w:r>
          </w:p>
        </w:tc>
        <w:tc>
          <w:tcPr>
            <w:tcW w:w="514" w:type="dxa"/>
            <w:tcBorders>
              <w:bottom w:val="single" w:sz="4" w:space="0" w:color="auto"/>
            </w:tcBorders>
            <w:shd w:val="clear" w:color="auto" w:fill="auto"/>
            <w:vAlign w:val="center"/>
          </w:tcPr>
          <w:p w:rsidR="00B27742" w:rsidRPr="00BB5519" w:rsidRDefault="00B27742" w:rsidP="004B3534">
            <w:pPr>
              <w:pStyle w:val="TableText"/>
              <w:widowControl w:val="0"/>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ABF8F"/>
            <w:vAlign w:val="center"/>
          </w:tcPr>
          <w:p w:rsidR="00B27742" w:rsidRPr="00BB5519" w:rsidRDefault="00B27742" w:rsidP="005B6712">
            <w:pPr>
              <w:pStyle w:val="Heading2"/>
              <w:spacing w:beforeLines="20" w:before="48" w:afterLines="20" w:after="48"/>
              <w:ind w:left="0"/>
              <w:rPr>
                <w:rFonts w:ascii="Tahoma" w:hAnsi="Tahoma" w:cs="Tahoma"/>
                <w:b w:val="0"/>
                <w:sz w:val="14"/>
              </w:rPr>
            </w:pPr>
            <w:bookmarkStart w:id="43" w:name="_Toc336337858"/>
            <w:bookmarkStart w:id="44" w:name="_Toc354054551"/>
            <w:r w:rsidRPr="00BB5519">
              <w:rPr>
                <w:rFonts w:ascii="Tahoma" w:hAnsi="Tahoma" w:cs="Tahoma"/>
                <w:b w:val="0"/>
                <w:sz w:val="14"/>
              </w:rPr>
              <w:t>MSDN-Betriebssysteme</w:t>
            </w:r>
            <w:bookmarkEnd w:id="43"/>
            <w:bookmarkEnd w:id="44"/>
          </w:p>
        </w:tc>
        <w:tc>
          <w:tcPr>
            <w:tcW w:w="450" w:type="dxa"/>
            <w:tcBorders>
              <w:bottom w:val="single" w:sz="4" w:space="0" w:color="auto"/>
            </w:tcBorders>
            <w:shd w:val="clear" w:color="auto" w:fill="FABF8F"/>
            <w:vAlign w:val="center"/>
          </w:tcPr>
          <w:p w:rsidR="00B27742" w:rsidRPr="00BB5519" w:rsidRDefault="005F5403" w:rsidP="009832D3">
            <w:pPr>
              <w:pStyle w:val="TableText"/>
              <w:widowControl w:val="0"/>
              <w:rPr>
                <w:rStyle w:val="EndnoteReference"/>
                <w:b w:val="0"/>
                <w:color w:val="0000FF"/>
                <w:sz w:val="13"/>
                <w:szCs w:val="13"/>
                <w:u w:val="single"/>
              </w:rPr>
            </w:pPr>
            <w:hyperlink w:anchor="_3_MSDN-Betriebssysteme" w:history="1">
              <w:r w:rsidR="00955428" w:rsidRPr="00BB5519">
                <w:rPr>
                  <w:rStyle w:val="Hyperlink"/>
                  <w:b/>
                  <w:sz w:val="13"/>
                  <w:szCs w:val="13"/>
                </w:rPr>
                <w:t>3</w:t>
              </w:r>
            </w:hyperlink>
          </w:p>
        </w:tc>
        <w:tc>
          <w:tcPr>
            <w:tcW w:w="461" w:type="dxa"/>
            <w:tcBorders>
              <w:bottom w:val="single" w:sz="4" w:space="0" w:color="auto"/>
            </w:tcBorders>
            <w:shd w:val="clear" w:color="auto" w:fill="FABF8F"/>
            <w:vAlign w:val="center"/>
          </w:tcPr>
          <w:p w:rsidR="00B27742" w:rsidRPr="00BB5519" w:rsidRDefault="00B27742" w:rsidP="004000C7">
            <w:pPr>
              <w:pStyle w:val="TableText"/>
              <w:rPr>
                <w:rFonts w:ascii="Tahoma" w:hAnsi="Tahoma" w:cs="Tahoma"/>
                <w:sz w:val="13"/>
              </w:rPr>
            </w:pPr>
            <w:r w:rsidRPr="00BB5519">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5</w:t>
            </w:r>
          </w:p>
        </w:tc>
        <w:tc>
          <w:tcPr>
            <w:tcW w:w="429" w:type="dxa"/>
            <w:tcBorders>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B27742" w:rsidRPr="00BB5519"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BB5519" w:rsidRDefault="00B27742"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B27742" w:rsidRPr="00BB5519" w:rsidRDefault="00052BF4" w:rsidP="00080B33">
            <w:pPr>
              <w:pStyle w:val="TableText"/>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FABF8F"/>
            <w:vAlign w:val="center"/>
          </w:tcPr>
          <w:p w:rsidR="00B27742" w:rsidRPr="00BB5519" w:rsidRDefault="00B27742" w:rsidP="004B3534">
            <w:pPr>
              <w:pStyle w:val="TableText"/>
            </w:pPr>
            <w:r w:rsidRPr="00BB5519">
              <w:rPr>
                <w:rFonts w:ascii="Tahoma" w:hAnsi="Tahoma" w:cs="Tahoma"/>
                <w:sz w:val="13"/>
              </w:rPr>
              <w:t>OL/SA/</w:t>
            </w:r>
          </w:p>
          <w:p w:rsidR="00B27742" w:rsidRPr="00BB5519" w:rsidRDefault="00B27742" w:rsidP="004B3534">
            <w:pPr>
              <w:pStyle w:val="TableText"/>
              <w:rPr>
                <w:rFonts w:ascii="Tahoma" w:hAnsi="Tahoma" w:cs="Tahoma"/>
                <w:sz w:val="13"/>
              </w:rPr>
            </w:pPr>
            <w:r w:rsidRPr="00BB5519">
              <w:rPr>
                <w:rFonts w:ascii="Tahoma" w:hAnsi="Tahoma" w:cs="Tahoma"/>
                <w:sz w:val="13"/>
              </w:rPr>
              <w:t>OV</w:t>
            </w:r>
          </w:p>
        </w:tc>
      </w:tr>
      <w:tr w:rsidR="00B33D0E" w:rsidRPr="00BB5519" w:rsidTr="004B1599">
        <w:trPr>
          <w:cantSplit/>
          <w:trHeight w:val="287"/>
        </w:trPr>
        <w:tc>
          <w:tcPr>
            <w:tcW w:w="2585" w:type="dxa"/>
            <w:tcBorders>
              <w:bottom w:val="single" w:sz="4" w:space="0" w:color="auto"/>
            </w:tcBorders>
            <w:shd w:val="clear" w:color="auto" w:fill="auto"/>
            <w:vAlign w:val="center"/>
          </w:tcPr>
          <w:p w:rsidR="007B2C93" w:rsidRPr="00BB5519" w:rsidRDefault="007B2C93" w:rsidP="005B6712">
            <w:pPr>
              <w:pStyle w:val="Heading2"/>
              <w:spacing w:beforeLines="20" w:before="48" w:afterLines="20" w:after="48"/>
              <w:ind w:left="0"/>
              <w:rPr>
                <w:rFonts w:ascii="Tahoma" w:hAnsi="Tahoma" w:cs="Tahoma"/>
                <w:b w:val="0"/>
                <w:sz w:val="14"/>
              </w:rPr>
            </w:pPr>
            <w:bookmarkStart w:id="45" w:name="_Toc336337859"/>
            <w:bookmarkStart w:id="46" w:name="_Toc354054552"/>
            <w:r w:rsidRPr="00BB5519">
              <w:rPr>
                <w:rFonts w:ascii="Tahoma" w:hAnsi="Tahoma" w:cs="Tahoma"/>
                <w:b w:val="0"/>
                <w:sz w:val="14"/>
              </w:rPr>
              <w:t>Office 365 A2 (Nutzer-AL)</w:t>
            </w:r>
            <w:bookmarkEnd w:id="45"/>
            <w:bookmarkEnd w:id="46"/>
          </w:p>
        </w:tc>
        <w:tc>
          <w:tcPr>
            <w:tcW w:w="450" w:type="dxa"/>
            <w:tcBorders>
              <w:bottom w:val="single" w:sz="4" w:space="0" w:color="auto"/>
            </w:tcBorders>
            <w:shd w:val="clear" w:color="auto" w:fill="auto"/>
            <w:vAlign w:val="center"/>
          </w:tcPr>
          <w:p w:rsidR="007B2C93" w:rsidRPr="00BB5519" w:rsidRDefault="005F5403" w:rsidP="009832D3">
            <w:pPr>
              <w:pStyle w:val="TableText"/>
              <w:widowControl w:val="0"/>
              <w:rPr>
                <w:b/>
                <w:color w:val="0000FF"/>
                <w:sz w:val="13"/>
                <w:szCs w:val="13"/>
                <w:u w:val="single"/>
              </w:rPr>
            </w:pPr>
            <w:hyperlink w:anchor="_4_Office_365" w:history="1">
              <w:r w:rsidR="00955428" w:rsidRPr="00BB5519">
                <w:rPr>
                  <w:rStyle w:val="Hyperlink"/>
                  <w:b/>
                  <w:sz w:val="13"/>
                  <w:szCs w:val="13"/>
                </w:rPr>
                <w:t>4</w:t>
              </w:r>
            </w:hyperlink>
          </w:p>
        </w:tc>
        <w:tc>
          <w:tcPr>
            <w:tcW w:w="461" w:type="dxa"/>
            <w:tcBorders>
              <w:bottom w:val="single" w:sz="4" w:space="0" w:color="auto"/>
            </w:tcBorders>
            <w:shd w:val="clear" w:color="auto" w:fill="auto"/>
            <w:vAlign w:val="center"/>
          </w:tcPr>
          <w:p w:rsidR="007B2C93" w:rsidRPr="00BB5519" w:rsidRDefault="007B2C93" w:rsidP="004000C7">
            <w:pPr>
              <w:pStyle w:val="TableText"/>
              <w:widowControl w:val="0"/>
              <w:rPr>
                <w:rFonts w:ascii="Tahoma" w:hAnsi="Tahoma" w:cs="Tahoma"/>
                <w:sz w:val="13"/>
              </w:rPr>
            </w:pPr>
            <w:r w:rsidRPr="00BB5519">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r w:rsidRPr="00BB551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7B2C93" w:rsidRPr="00BB5519"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BB5519" w:rsidRDefault="007B2C93" w:rsidP="00080B33">
            <w:pPr>
              <w:pStyle w:val="TableText"/>
              <w:widowControl w:val="0"/>
              <w:rPr>
                <w:rFonts w:ascii="Tahoma" w:hAnsi="Tahoma" w:cs="Tahoma"/>
                <w:sz w:val="13"/>
              </w:rPr>
            </w:pPr>
            <w:r w:rsidRPr="00BB5519">
              <w:rPr>
                <w:rFonts w:ascii="Tahoma" w:hAnsi="Tahoma" w:cs="Tahoma"/>
                <w:sz w:val="13"/>
              </w:rPr>
              <w:t>EOLS (nur EES)</w:t>
            </w:r>
          </w:p>
        </w:tc>
        <w:tc>
          <w:tcPr>
            <w:tcW w:w="514"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7B2C93" w:rsidRPr="00BB5519" w:rsidRDefault="007B2C93" w:rsidP="005B6712">
            <w:pPr>
              <w:pStyle w:val="Heading2"/>
              <w:spacing w:beforeLines="20" w:before="48" w:afterLines="20" w:after="48"/>
              <w:ind w:left="0"/>
              <w:rPr>
                <w:rFonts w:ascii="Tahoma" w:hAnsi="Tahoma" w:cs="Tahoma"/>
                <w:b w:val="0"/>
                <w:sz w:val="14"/>
              </w:rPr>
            </w:pPr>
            <w:bookmarkStart w:id="47" w:name="_Toc336337860"/>
            <w:bookmarkStart w:id="48" w:name="_Toc354054553"/>
            <w:r w:rsidRPr="00BB5519">
              <w:rPr>
                <w:rFonts w:ascii="Tahoma" w:hAnsi="Tahoma" w:cs="Tahoma"/>
                <w:b w:val="0"/>
                <w:sz w:val="14"/>
              </w:rPr>
              <w:t>Office 365 A3 (Nutzer-AL)</w:t>
            </w:r>
            <w:bookmarkEnd w:id="47"/>
            <w:bookmarkEnd w:id="48"/>
          </w:p>
        </w:tc>
        <w:tc>
          <w:tcPr>
            <w:tcW w:w="450" w:type="dxa"/>
            <w:tcBorders>
              <w:bottom w:val="single" w:sz="4" w:space="0" w:color="auto"/>
            </w:tcBorders>
            <w:shd w:val="clear" w:color="auto" w:fill="FABF8F"/>
            <w:vAlign w:val="center"/>
          </w:tcPr>
          <w:p w:rsidR="007B2C93" w:rsidRPr="00BB5519" w:rsidRDefault="005F5403" w:rsidP="009832D3">
            <w:pPr>
              <w:pStyle w:val="TableText"/>
              <w:widowControl w:val="0"/>
              <w:rPr>
                <w:b/>
                <w:color w:val="0000FF"/>
                <w:sz w:val="13"/>
                <w:szCs w:val="13"/>
                <w:u w:val="single"/>
              </w:rPr>
            </w:pPr>
            <w:hyperlink w:anchor="_4_Office_365" w:history="1">
              <w:r w:rsidR="006B10A2" w:rsidRPr="00BB5519">
                <w:rPr>
                  <w:rStyle w:val="Hyperlink"/>
                  <w:b/>
                  <w:sz w:val="13"/>
                  <w:szCs w:val="13"/>
                </w:rPr>
                <w:t>4</w:t>
              </w:r>
            </w:hyperlink>
          </w:p>
        </w:tc>
        <w:tc>
          <w:tcPr>
            <w:tcW w:w="461" w:type="dxa"/>
            <w:tcBorders>
              <w:bottom w:val="single" w:sz="4" w:space="0" w:color="auto"/>
            </w:tcBorders>
            <w:shd w:val="clear" w:color="auto" w:fill="FABF8F"/>
            <w:vAlign w:val="center"/>
          </w:tcPr>
          <w:p w:rsidR="007B2C93" w:rsidRPr="00BB5519" w:rsidRDefault="007B2C93" w:rsidP="004000C7">
            <w:pPr>
              <w:pStyle w:val="TableText"/>
              <w:widowControl w:val="0"/>
              <w:rPr>
                <w:rFonts w:ascii="Tahoma" w:hAnsi="Tahoma" w:cs="Tahoma"/>
                <w:sz w:val="13"/>
              </w:rPr>
            </w:pPr>
            <w:r w:rsidRPr="00BB5519">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r w:rsidRPr="00BB551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r w:rsidRPr="00BB5519">
              <w:rPr>
                <w:rFonts w:ascii="Tahoma" w:hAnsi="Tahoma" w:cs="Tahoma"/>
                <w:sz w:val="13"/>
              </w:rPr>
              <w:t>2</w:t>
            </w:r>
          </w:p>
        </w:tc>
        <w:tc>
          <w:tcPr>
            <w:tcW w:w="368" w:type="dxa"/>
            <w:tcBorders>
              <w:bottom w:val="single" w:sz="4" w:space="0" w:color="auto"/>
              <w:right w:val="single" w:sz="18" w:space="0" w:color="auto"/>
            </w:tcBorders>
            <w:shd w:val="clear" w:color="auto" w:fill="FABF8F"/>
            <w:vAlign w:val="center"/>
          </w:tcPr>
          <w:p w:rsidR="007B2C93" w:rsidRPr="00BB5519"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BB5519" w:rsidRDefault="007B2C93" w:rsidP="00080B33">
            <w:pPr>
              <w:pStyle w:val="TableText"/>
              <w:widowControl w:val="0"/>
              <w:rPr>
                <w:rFonts w:ascii="Tahoma" w:hAnsi="Tahoma" w:cs="Tahoma"/>
                <w:sz w:val="13"/>
              </w:rPr>
            </w:pPr>
            <w:r w:rsidRPr="00BB5519">
              <w:rPr>
                <w:rFonts w:ascii="Tahoma" w:hAnsi="Tahoma" w:cs="Tahoma"/>
                <w:sz w:val="13"/>
              </w:rPr>
              <w:t>EOLS (nur EES)</w:t>
            </w:r>
          </w:p>
        </w:tc>
        <w:tc>
          <w:tcPr>
            <w:tcW w:w="514" w:type="dxa"/>
            <w:tcBorders>
              <w:bottom w:val="single" w:sz="4" w:space="0" w:color="auto"/>
            </w:tcBorders>
            <w:shd w:val="clear" w:color="auto" w:fill="FABF8F"/>
            <w:vAlign w:val="center"/>
          </w:tcPr>
          <w:p w:rsidR="007B2C93" w:rsidRPr="00BB5519" w:rsidRDefault="007B2C93" w:rsidP="004B3534">
            <w:pPr>
              <w:pStyle w:val="TableText"/>
              <w:widowControl w:val="0"/>
              <w:rPr>
                <w:rFonts w:ascii="Tahoma" w:hAnsi="Tahoma" w:cs="Tahoma"/>
                <w:sz w:val="13"/>
              </w:rPr>
            </w:pPr>
          </w:p>
        </w:tc>
      </w:tr>
      <w:tr w:rsidR="00B33D0E" w:rsidRPr="00BB5519" w:rsidTr="004B1599">
        <w:trPr>
          <w:cantSplit/>
          <w:trHeight w:val="287"/>
        </w:trPr>
        <w:tc>
          <w:tcPr>
            <w:tcW w:w="2585" w:type="dxa"/>
            <w:tcBorders>
              <w:bottom w:val="single" w:sz="4" w:space="0" w:color="auto"/>
            </w:tcBorders>
            <w:shd w:val="clear" w:color="auto" w:fill="auto"/>
            <w:vAlign w:val="center"/>
          </w:tcPr>
          <w:p w:rsidR="007B2C93" w:rsidRPr="00BB5519" w:rsidRDefault="007B2C93" w:rsidP="005B6712">
            <w:pPr>
              <w:pStyle w:val="Heading2"/>
              <w:spacing w:beforeLines="20" w:before="48" w:afterLines="20" w:after="48"/>
              <w:ind w:left="0"/>
              <w:rPr>
                <w:rFonts w:ascii="Tahoma" w:hAnsi="Tahoma" w:cs="Tahoma"/>
                <w:b w:val="0"/>
                <w:sz w:val="14"/>
              </w:rPr>
            </w:pPr>
            <w:bookmarkStart w:id="49" w:name="_Toc336337861"/>
            <w:bookmarkStart w:id="50" w:name="_Toc354054554"/>
            <w:r w:rsidRPr="00BB5519">
              <w:rPr>
                <w:rFonts w:ascii="Tahoma" w:hAnsi="Tahoma" w:cs="Tahoma"/>
                <w:b w:val="0"/>
                <w:sz w:val="14"/>
              </w:rPr>
              <w:t>Office 365 A4 (Nutzer-AL)</w:t>
            </w:r>
            <w:bookmarkEnd w:id="49"/>
            <w:bookmarkEnd w:id="50"/>
          </w:p>
        </w:tc>
        <w:tc>
          <w:tcPr>
            <w:tcW w:w="450" w:type="dxa"/>
            <w:tcBorders>
              <w:bottom w:val="single" w:sz="4" w:space="0" w:color="auto"/>
            </w:tcBorders>
            <w:shd w:val="clear" w:color="auto" w:fill="auto"/>
            <w:vAlign w:val="center"/>
          </w:tcPr>
          <w:p w:rsidR="007B2C93" w:rsidRPr="00BB5519" w:rsidRDefault="005F5403" w:rsidP="009832D3">
            <w:pPr>
              <w:pStyle w:val="TableText"/>
              <w:widowControl w:val="0"/>
              <w:rPr>
                <w:b/>
                <w:color w:val="0000FF"/>
                <w:sz w:val="13"/>
                <w:szCs w:val="13"/>
                <w:u w:val="single"/>
              </w:rPr>
            </w:pPr>
            <w:hyperlink w:anchor="_4_Office_365" w:history="1">
              <w:r w:rsidR="006B10A2" w:rsidRPr="00BB5519">
                <w:rPr>
                  <w:rStyle w:val="Hyperlink"/>
                  <w:b/>
                  <w:sz w:val="13"/>
                  <w:szCs w:val="13"/>
                </w:rPr>
                <w:t>4</w:t>
              </w:r>
            </w:hyperlink>
          </w:p>
        </w:tc>
        <w:tc>
          <w:tcPr>
            <w:tcW w:w="461" w:type="dxa"/>
            <w:tcBorders>
              <w:bottom w:val="single" w:sz="4" w:space="0" w:color="auto"/>
            </w:tcBorders>
            <w:shd w:val="clear" w:color="auto" w:fill="auto"/>
            <w:vAlign w:val="center"/>
          </w:tcPr>
          <w:p w:rsidR="007B2C93" w:rsidRPr="00BB5519" w:rsidRDefault="007B2C93" w:rsidP="004000C7">
            <w:pPr>
              <w:pStyle w:val="TableText"/>
              <w:widowControl w:val="0"/>
              <w:rPr>
                <w:rFonts w:ascii="Tahoma" w:hAnsi="Tahoma" w:cs="Tahoma"/>
                <w:sz w:val="13"/>
              </w:rPr>
            </w:pPr>
            <w:r w:rsidRPr="00BB5519">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r w:rsidRPr="00BB551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r w:rsidRPr="00BB5519">
              <w:rPr>
                <w:rFonts w:ascii="Tahoma" w:hAnsi="Tahoma" w:cs="Tahoma"/>
                <w:sz w:val="13"/>
              </w:rPr>
              <w:t>2</w:t>
            </w:r>
          </w:p>
        </w:tc>
        <w:tc>
          <w:tcPr>
            <w:tcW w:w="368" w:type="dxa"/>
            <w:tcBorders>
              <w:bottom w:val="single" w:sz="4" w:space="0" w:color="auto"/>
              <w:right w:val="single" w:sz="18" w:space="0" w:color="auto"/>
            </w:tcBorders>
            <w:shd w:val="clear" w:color="auto" w:fill="auto"/>
            <w:vAlign w:val="center"/>
          </w:tcPr>
          <w:p w:rsidR="007B2C93" w:rsidRPr="00BB5519"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BB5519" w:rsidRDefault="007B2C93" w:rsidP="00080B33">
            <w:pPr>
              <w:pStyle w:val="TableText"/>
              <w:widowControl w:val="0"/>
              <w:rPr>
                <w:rFonts w:ascii="Tahoma" w:hAnsi="Tahoma" w:cs="Tahoma"/>
                <w:sz w:val="13"/>
              </w:rPr>
            </w:pPr>
            <w:r w:rsidRPr="00BB5519">
              <w:rPr>
                <w:rFonts w:ascii="Tahoma" w:hAnsi="Tahoma" w:cs="Tahoma"/>
                <w:sz w:val="13"/>
              </w:rPr>
              <w:t>EOLS (nur EES)</w:t>
            </w:r>
          </w:p>
        </w:tc>
        <w:tc>
          <w:tcPr>
            <w:tcW w:w="514" w:type="dxa"/>
            <w:tcBorders>
              <w:bottom w:val="single" w:sz="4" w:space="0" w:color="auto"/>
            </w:tcBorders>
            <w:shd w:val="clear" w:color="auto" w:fill="auto"/>
            <w:vAlign w:val="center"/>
          </w:tcPr>
          <w:p w:rsidR="007B2C93" w:rsidRPr="00BB5519" w:rsidRDefault="007B2C93"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3E5902" w:rsidRPr="00BB5519" w:rsidRDefault="003E5902" w:rsidP="005B6712">
            <w:pPr>
              <w:pStyle w:val="Heading2"/>
              <w:spacing w:beforeLines="20" w:before="48" w:afterLines="20" w:after="48"/>
              <w:ind w:left="0"/>
              <w:rPr>
                <w:rFonts w:ascii="Tahoma" w:hAnsi="Tahoma" w:cs="Tahoma"/>
                <w:b w:val="0"/>
                <w:sz w:val="14"/>
              </w:rPr>
            </w:pPr>
            <w:bookmarkStart w:id="51" w:name="_Toc354054555"/>
            <w:r w:rsidRPr="00BB5519">
              <w:rPr>
                <w:rFonts w:ascii="Tahoma" w:hAnsi="Tahoma" w:cs="Tahoma"/>
                <w:b w:val="0"/>
                <w:sz w:val="14"/>
              </w:rPr>
              <w:t>Office 365 Midsize Business (Nutzer-AL)</w:t>
            </w:r>
            <w:bookmarkEnd w:id="51"/>
          </w:p>
        </w:tc>
        <w:tc>
          <w:tcPr>
            <w:tcW w:w="450" w:type="dxa"/>
            <w:tcBorders>
              <w:bottom w:val="single" w:sz="4" w:space="0" w:color="auto"/>
            </w:tcBorders>
            <w:shd w:val="clear" w:color="auto" w:fill="FABF8F"/>
            <w:vAlign w:val="center"/>
          </w:tcPr>
          <w:p w:rsidR="003E5902" w:rsidRPr="00BB5519" w:rsidRDefault="005F5403" w:rsidP="009832D3">
            <w:pPr>
              <w:pStyle w:val="TableText"/>
              <w:widowControl w:val="0"/>
              <w:rPr>
                <w:b/>
                <w:sz w:val="13"/>
                <w:szCs w:val="13"/>
              </w:rPr>
            </w:pPr>
            <w:hyperlink w:anchor="_7_Office_365" w:history="1">
              <w:r w:rsidR="00955428" w:rsidRPr="00BB5519">
                <w:rPr>
                  <w:rStyle w:val="Hyperlink"/>
                  <w:b/>
                  <w:sz w:val="13"/>
                  <w:szCs w:val="13"/>
                </w:rPr>
                <w:t>5</w:t>
              </w:r>
            </w:hyperlink>
          </w:p>
        </w:tc>
        <w:tc>
          <w:tcPr>
            <w:tcW w:w="461" w:type="dxa"/>
            <w:tcBorders>
              <w:bottom w:val="single" w:sz="4" w:space="0" w:color="auto"/>
            </w:tcBorders>
            <w:shd w:val="clear" w:color="auto" w:fill="FABF8F"/>
            <w:vAlign w:val="center"/>
          </w:tcPr>
          <w:p w:rsidR="003E5902" w:rsidRPr="00BB5519" w:rsidRDefault="003E5902" w:rsidP="004000C7">
            <w:pPr>
              <w:pStyle w:val="TableText"/>
              <w:widowControl w:val="0"/>
              <w:rPr>
                <w:rFonts w:ascii="Tahoma" w:hAnsi="Tahoma" w:cs="Tahoma"/>
                <w:sz w:val="13"/>
              </w:rPr>
            </w:pPr>
            <w:r w:rsidRPr="00BB551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3E5902" w:rsidRPr="00BB5519"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3E5902" w:rsidRPr="00BB5519"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BB5519" w:rsidRDefault="003E5902" w:rsidP="004B3534">
            <w:pPr>
              <w:pStyle w:val="TableText"/>
              <w:widowControl w:val="0"/>
              <w:rPr>
                <w:rFonts w:ascii="Tahoma" w:hAnsi="Tahoma" w:cs="Tahoma"/>
                <w:sz w:val="13"/>
              </w:rPr>
            </w:pPr>
            <w:r w:rsidRPr="00BB5519">
              <w:rPr>
                <w:rFonts w:ascii="Tahoma" w:hAnsi="Tahoma" w:cs="Tahoma"/>
                <w:sz w:val="13"/>
              </w:rPr>
              <w:t>OL/OV</w:t>
            </w:r>
          </w:p>
        </w:tc>
      </w:tr>
      <w:tr w:rsidR="00B33D0E" w:rsidRPr="00BB5519" w:rsidTr="004B1599">
        <w:trPr>
          <w:cantSplit/>
          <w:trHeight w:val="287"/>
        </w:trPr>
        <w:tc>
          <w:tcPr>
            <w:tcW w:w="2585" w:type="dxa"/>
            <w:tcBorders>
              <w:bottom w:val="single" w:sz="4" w:space="0" w:color="auto"/>
            </w:tcBorders>
            <w:shd w:val="clear" w:color="auto" w:fill="auto"/>
            <w:vAlign w:val="center"/>
          </w:tcPr>
          <w:p w:rsidR="00CC19FC" w:rsidRPr="00BB5519" w:rsidRDefault="00CC19FC" w:rsidP="005B6712">
            <w:pPr>
              <w:pStyle w:val="Heading2"/>
              <w:spacing w:beforeLines="20" w:before="48" w:afterLines="20" w:after="48"/>
              <w:ind w:left="0"/>
              <w:rPr>
                <w:rFonts w:ascii="Tahoma" w:hAnsi="Tahoma" w:cs="Tahoma"/>
                <w:b w:val="0"/>
                <w:sz w:val="14"/>
              </w:rPr>
            </w:pPr>
            <w:bookmarkStart w:id="52" w:name="_Toc354054556"/>
            <w:r w:rsidRPr="00BB5519">
              <w:rPr>
                <w:rFonts w:ascii="Tahoma" w:hAnsi="Tahoma" w:cs="Tahoma"/>
                <w:b w:val="0"/>
                <w:sz w:val="14"/>
              </w:rPr>
              <w:t>Office 365 Enterprise E1 (Nutzer-AL)</w:t>
            </w:r>
            <w:bookmarkEnd w:id="52"/>
          </w:p>
        </w:tc>
        <w:tc>
          <w:tcPr>
            <w:tcW w:w="450" w:type="dxa"/>
            <w:tcBorders>
              <w:bottom w:val="single" w:sz="4" w:space="0" w:color="auto"/>
            </w:tcBorders>
            <w:shd w:val="clear" w:color="auto" w:fill="auto"/>
            <w:vAlign w:val="center"/>
          </w:tcPr>
          <w:p w:rsidR="00CC19FC" w:rsidRPr="00BB5519" w:rsidRDefault="00CC19FC" w:rsidP="009832D3">
            <w:pPr>
              <w:pStyle w:val="TableText"/>
              <w:widowControl w:val="0"/>
              <w:rPr>
                <w:b/>
                <w:sz w:val="13"/>
                <w:szCs w:val="13"/>
              </w:rPr>
            </w:pPr>
          </w:p>
        </w:tc>
        <w:tc>
          <w:tcPr>
            <w:tcW w:w="461" w:type="dxa"/>
            <w:tcBorders>
              <w:bottom w:val="single" w:sz="4" w:space="0" w:color="auto"/>
            </w:tcBorders>
            <w:shd w:val="clear" w:color="auto" w:fill="auto"/>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CC19FC">
            <w:pPr>
              <w:pStyle w:val="TableText"/>
              <w:widowControl w:val="0"/>
              <w:rPr>
                <w:rFonts w:ascii="Tahoma" w:hAnsi="Tahoma" w:cs="Tahoma"/>
                <w:sz w:val="13"/>
              </w:rPr>
            </w:pPr>
            <w:r w:rsidRPr="00BB551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CC19FC" w:rsidRPr="00BB5519" w:rsidRDefault="00CC19FC" w:rsidP="005B6712">
            <w:pPr>
              <w:pStyle w:val="Heading2"/>
              <w:spacing w:beforeLines="20" w:before="48" w:afterLines="20" w:after="48"/>
              <w:ind w:left="0"/>
              <w:rPr>
                <w:rFonts w:ascii="Tahoma" w:hAnsi="Tahoma" w:cs="Tahoma"/>
                <w:b w:val="0"/>
                <w:sz w:val="14"/>
              </w:rPr>
            </w:pPr>
            <w:bookmarkStart w:id="53" w:name="_Toc291024473"/>
            <w:bookmarkStart w:id="54" w:name="_Toc336337862"/>
            <w:bookmarkStart w:id="55" w:name="_Toc354054557"/>
            <w:r w:rsidRPr="00BB5519">
              <w:rPr>
                <w:rFonts w:ascii="Tahoma" w:hAnsi="Tahoma" w:cs="Tahoma"/>
                <w:b w:val="0"/>
                <w:sz w:val="14"/>
              </w:rPr>
              <w:t>Office 365 Enterprise E2 (Nutzer-AL)</w:t>
            </w:r>
            <w:bookmarkEnd w:id="53"/>
            <w:bookmarkEnd w:id="54"/>
            <w:bookmarkEnd w:id="55"/>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b/>
                <w:color w:val="0000FF"/>
                <w:sz w:val="13"/>
                <w:szCs w:val="13"/>
                <w:u w:val="single"/>
              </w:rPr>
            </w:pPr>
            <w:hyperlink w:anchor="_6_Office_365_1" w:history="1">
              <w:r w:rsidR="00B0065F" w:rsidRPr="0004255A">
                <w:rPr>
                  <w:rStyle w:val="Hyperlink"/>
                  <w:b/>
                  <w:sz w:val="13"/>
                  <w:szCs w:val="13"/>
                </w:rPr>
                <w:t>6</w:t>
              </w:r>
            </w:hyperlink>
            <w:hyperlink w:anchor="_65_Office_365" w:history="1"/>
          </w:p>
        </w:tc>
        <w:tc>
          <w:tcPr>
            <w:tcW w:w="461" w:type="dxa"/>
            <w:tcBorders>
              <w:bottom w:val="single" w:sz="4" w:space="0" w:color="auto"/>
            </w:tcBorders>
            <w:shd w:val="clear" w:color="auto" w:fill="FABF8F"/>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r>
      <w:tr w:rsidR="00B33D0E" w:rsidRPr="00BB5519" w:rsidTr="004B1599">
        <w:trPr>
          <w:cantSplit/>
          <w:trHeight w:val="287"/>
        </w:trPr>
        <w:tc>
          <w:tcPr>
            <w:tcW w:w="2585" w:type="dxa"/>
            <w:tcBorders>
              <w:bottom w:val="single" w:sz="4" w:space="0" w:color="auto"/>
            </w:tcBorders>
            <w:shd w:val="clear" w:color="auto" w:fill="auto"/>
            <w:vAlign w:val="center"/>
          </w:tcPr>
          <w:p w:rsidR="00CC19FC" w:rsidRPr="00BB5519" w:rsidRDefault="00CC19FC" w:rsidP="005B6712">
            <w:pPr>
              <w:pStyle w:val="Heading2"/>
              <w:spacing w:beforeLines="20" w:before="48" w:afterLines="20" w:after="48"/>
              <w:ind w:left="0"/>
              <w:rPr>
                <w:rFonts w:ascii="Tahoma" w:hAnsi="Tahoma" w:cs="Tahoma"/>
                <w:b w:val="0"/>
                <w:sz w:val="14"/>
              </w:rPr>
            </w:pPr>
            <w:bookmarkStart w:id="56" w:name="_Toc291024474"/>
            <w:bookmarkStart w:id="57" w:name="_Toc336337863"/>
            <w:bookmarkStart w:id="58" w:name="_Toc354054558"/>
            <w:r w:rsidRPr="00BB5519">
              <w:rPr>
                <w:rFonts w:ascii="Tahoma" w:hAnsi="Tahoma" w:cs="Tahoma"/>
                <w:b w:val="0"/>
                <w:sz w:val="14"/>
              </w:rPr>
              <w:t>Office 365 Enterprise E3 (Nutzer-AL)</w:t>
            </w:r>
            <w:bookmarkEnd w:id="56"/>
            <w:bookmarkEnd w:id="57"/>
            <w:bookmarkEnd w:id="58"/>
          </w:p>
        </w:tc>
        <w:tc>
          <w:tcPr>
            <w:tcW w:w="450" w:type="dxa"/>
            <w:tcBorders>
              <w:bottom w:val="single" w:sz="4" w:space="0" w:color="auto"/>
            </w:tcBorders>
            <w:shd w:val="clear" w:color="auto" w:fill="auto"/>
            <w:vAlign w:val="center"/>
          </w:tcPr>
          <w:p w:rsidR="00CC19FC" w:rsidRPr="00BB5519" w:rsidRDefault="005F5403" w:rsidP="00B0065F">
            <w:pPr>
              <w:pStyle w:val="TableText"/>
              <w:widowControl w:val="0"/>
              <w:rPr>
                <w:b/>
                <w:color w:val="0000FF"/>
                <w:sz w:val="13"/>
                <w:szCs w:val="13"/>
                <w:u w:val="single"/>
              </w:rPr>
            </w:pPr>
            <w:hyperlink w:anchor="_6_Office_365_1" w:history="1">
              <w:r w:rsidR="006B10A2" w:rsidRPr="0004255A">
                <w:rPr>
                  <w:rStyle w:val="Hyperlink"/>
                  <w:b/>
                  <w:sz w:val="13"/>
                  <w:szCs w:val="13"/>
                </w:rPr>
                <w:t>6</w:t>
              </w:r>
            </w:hyperlink>
            <w:hyperlink w:anchor="_65_Office_365" w:history="1"/>
          </w:p>
        </w:tc>
        <w:tc>
          <w:tcPr>
            <w:tcW w:w="461" w:type="dxa"/>
            <w:tcBorders>
              <w:bottom w:val="single" w:sz="4" w:space="0" w:color="auto"/>
            </w:tcBorders>
            <w:shd w:val="clear" w:color="auto" w:fill="auto"/>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CC19FC" w:rsidRPr="00BB5519" w:rsidRDefault="00CC19FC" w:rsidP="005B6712">
            <w:pPr>
              <w:pStyle w:val="Heading2"/>
              <w:spacing w:beforeLines="20" w:before="48" w:afterLines="20" w:after="48"/>
              <w:ind w:left="0"/>
              <w:rPr>
                <w:rFonts w:ascii="Tahoma" w:hAnsi="Tahoma" w:cs="Tahoma"/>
                <w:b w:val="0"/>
                <w:sz w:val="14"/>
              </w:rPr>
            </w:pPr>
            <w:bookmarkStart w:id="59" w:name="_Toc291024475"/>
            <w:bookmarkStart w:id="60" w:name="_Toc336337864"/>
            <w:bookmarkStart w:id="61" w:name="_Toc354054559"/>
            <w:r w:rsidRPr="00BB5519">
              <w:rPr>
                <w:rFonts w:ascii="Tahoma" w:hAnsi="Tahoma" w:cs="Tahoma"/>
                <w:b w:val="0"/>
                <w:sz w:val="14"/>
              </w:rPr>
              <w:t>Office 365 Enterprise E4 (Nutzer-AL)</w:t>
            </w:r>
            <w:bookmarkEnd w:id="59"/>
            <w:bookmarkEnd w:id="60"/>
            <w:bookmarkEnd w:id="61"/>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b/>
                <w:color w:val="0000FF"/>
                <w:sz w:val="13"/>
                <w:szCs w:val="13"/>
                <w:u w:val="single"/>
              </w:rPr>
            </w:pPr>
            <w:hyperlink w:anchor="_6_Office_365_1" w:history="1">
              <w:r w:rsidR="006B10A2" w:rsidRPr="0004255A">
                <w:rPr>
                  <w:rStyle w:val="Hyperlink"/>
                  <w:b/>
                  <w:sz w:val="13"/>
                  <w:szCs w:val="13"/>
                </w:rPr>
                <w:t>6</w:t>
              </w:r>
            </w:hyperlink>
            <w:hyperlink w:anchor="_65_Office_365" w:history="1"/>
          </w:p>
        </w:tc>
        <w:tc>
          <w:tcPr>
            <w:tcW w:w="461" w:type="dxa"/>
            <w:tcBorders>
              <w:bottom w:val="single" w:sz="4" w:space="0" w:color="auto"/>
            </w:tcBorders>
            <w:shd w:val="clear" w:color="auto" w:fill="FABF8F"/>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r>
      <w:tr w:rsidR="00B33D0E" w:rsidRPr="00BB5519" w:rsidTr="004B1599">
        <w:trPr>
          <w:cantSplit/>
          <w:trHeight w:val="287"/>
        </w:trPr>
        <w:tc>
          <w:tcPr>
            <w:tcW w:w="2585" w:type="dxa"/>
            <w:tcBorders>
              <w:bottom w:val="single" w:sz="4" w:space="0" w:color="auto"/>
            </w:tcBorders>
            <w:shd w:val="clear" w:color="auto" w:fill="auto"/>
            <w:vAlign w:val="center"/>
          </w:tcPr>
          <w:p w:rsidR="00CC19FC" w:rsidRPr="00BB5519" w:rsidRDefault="00CC19FC" w:rsidP="005B6712">
            <w:pPr>
              <w:pStyle w:val="Heading2"/>
              <w:spacing w:beforeLines="20" w:before="48" w:afterLines="20" w:after="48"/>
              <w:ind w:left="0"/>
              <w:rPr>
                <w:rFonts w:ascii="Tahoma" w:hAnsi="Tahoma" w:cs="Tahoma"/>
                <w:b w:val="0"/>
                <w:sz w:val="14"/>
                <w:lang w:val="de-DE"/>
              </w:rPr>
            </w:pPr>
            <w:bookmarkStart w:id="62" w:name="_Toc354054560"/>
            <w:r w:rsidRPr="00BB5519">
              <w:rPr>
                <w:rFonts w:ascii="Tahoma" w:hAnsi="Tahoma" w:cs="Tahoma"/>
                <w:b w:val="0"/>
                <w:sz w:val="14"/>
                <w:lang w:val="de-DE"/>
              </w:rPr>
              <w:t>Kommerzielle Nutzungsrechte für Office Home &amp; Student 2013 RT</w:t>
            </w:r>
            <w:bookmarkEnd w:id="62"/>
          </w:p>
        </w:tc>
        <w:tc>
          <w:tcPr>
            <w:tcW w:w="450" w:type="dxa"/>
            <w:tcBorders>
              <w:bottom w:val="single" w:sz="4" w:space="0" w:color="auto"/>
            </w:tcBorders>
            <w:shd w:val="clear" w:color="auto" w:fill="auto"/>
            <w:vAlign w:val="center"/>
          </w:tcPr>
          <w:p w:rsidR="00CC19FC" w:rsidRPr="00BB5519" w:rsidRDefault="00CC19FC" w:rsidP="00152361">
            <w:pPr>
              <w:pStyle w:val="TableText"/>
              <w:widowControl w:val="0"/>
              <w:rPr>
                <w:b/>
                <w:color w:val="0000FF"/>
                <w:sz w:val="13"/>
                <w:szCs w:val="13"/>
                <w:u w:val="single"/>
                <w:lang w:val="de-DE"/>
              </w:rPr>
            </w:pPr>
          </w:p>
        </w:tc>
        <w:tc>
          <w:tcPr>
            <w:tcW w:w="461" w:type="dxa"/>
            <w:tcBorders>
              <w:bottom w:val="single" w:sz="4" w:space="0" w:color="auto"/>
            </w:tcBorders>
            <w:shd w:val="clear" w:color="auto" w:fill="auto"/>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r>
      <w:tr w:rsidR="00EF228F" w:rsidRPr="00BB5519" w:rsidTr="004B1599">
        <w:trPr>
          <w:cantSplit/>
          <w:trHeight w:val="287"/>
        </w:trPr>
        <w:tc>
          <w:tcPr>
            <w:tcW w:w="2585" w:type="dxa"/>
            <w:tcBorders>
              <w:bottom w:val="single" w:sz="4" w:space="0" w:color="auto"/>
            </w:tcBorders>
            <w:shd w:val="clear" w:color="auto" w:fill="FABF8F"/>
            <w:vAlign w:val="center"/>
          </w:tcPr>
          <w:p w:rsidR="00CC19FC" w:rsidRPr="00BB5519" w:rsidRDefault="00CC19FC" w:rsidP="005B6712">
            <w:pPr>
              <w:pStyle w:val="Heading2"/>
              <w:spacing w:beforeLines="20" w:before="48" w:afterLines="20" w:after="48"/>
              <w:ind w:left="0"/>
              <w:rPr>
                <w:rFonts w:ascii="Tahoma" w:hAnsi="Tahoma" w:cs="Tahoma"/>
                <w:b w:val="0"/>
                <w:sz w:val="14"/>
              </w:rPr>
            </w:pPr>
            <w:bookmarkStart w:id="63" w:name="_Toc336337865"/>
            <w:bookmarkStart w:id="64" w:name="_Toc354054561"/>
            <w:r w:rsidRPr="00BB5519">
              <w:rPr>
                <w:rFonts w:ascii="Tahoma" w:hAnsi="Tahoma" w:cs="Tahoma"/>
                <w:b w:val="0"/>
                <w:sz w:val="14"/>
              </w:rPr>
              <w:t>Office für Mac Standard 2011</w:t>
            </w:r>
            <w:bookmarkEnd w:id="63"/>
            <w:bookmarkEnd w:id="64"/>
            <w:r w:rsidRPr="00BB5519">
              <w:rPr>
                <w:rFonts w:ascii="Tahoma" w:hAnsi="Tahoma" w:cs="Tahoma"/>
                <w:b w:val="0"/>
                <w:sz w:val="14"/>
              </w:rPr>
              <w:t xml:space="preserve"> </w:t>
            </w:r>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rStyle w:val="EndnoteReference"/>
                <w:b w:val="0"/>
                <w:color w:val="0000FF"/>
                <w:sz w:val="13"/>
                <w:szCs w:val="13"/>
                <w:u w:val="single"/>
              </w:rPr>
            </w:pPr>
            <w:hyperlink w:anchor="_76_Office_for" w:history="1">
              <w:r w:rsidR="00B0065F" w:rsidRPr="0004255A">
                <w:rPr>
                  <w:rStyle w:val="Hyperlink"/>
                  <w:b/>
                  <w:sz w:val="13"/>
                  <w:szCs w:val="13"/>
                </w:rPr>
                <w:t>7</w:t>
              </w:r>
            </w:hyperlink>
            <w:hyperlink w:anchor="_76_Office_for" w:history="1"/>
          </w:p>
        </w:tc>
        <w:tc>
          <w:tcPr>
            <w:tcW w:w="461" w:type="dxa"/>
            <w:tcBorders>
              <w:bottom w:val="single" w:sz="4" w:space="0" w:color="auto"/>
            </w:tcBorders>
            <w:shd w:val="clear" w:color="auto" w:fill="FABF8F"/>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5</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080B33">
            <w:pPr>
              <w:pStyle w:val="TableText"/>
              <w:widowControl w:val="0"/>
              <w:rPr>
                <w:rFonts w:ascii="Tahoma" w:hAnsi="Tahoma" w:cs="Tahoma"/>
                <w:sz w:val="13"/>
              </w:rPr>
            </w:pPr>
            <w:r w:rsidRPr="00BB5519">
              <w:rPr>
                <w:rFonts w:ascii="Tahoma" w:hAnsi="Tahoma" w:cs="Tahoma"/>
                <w:sz w:val="13"/>
              </w:rPr>
              <w:t>E</w:t>
            </w:r>
          </w:p>
        </w:tc>
        <w:tc>
          <w:tcPr>
            <w:tcW w:w="514"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r>
      <w:tr w:rsidR="00B33D0E" w:rsidRPr="00BB5519" w:rsidTr="004B1599">
        <w:trPr>
          <w:cantSplit/>
          <w:trHeight w:val="287"/>
        </w:trPr>
        <w:tc>
          <w:tcPr>
            <w:tcW w:w="2585" w:type="dxa"/>
            <w:tcBorders>
              <w:bottom w:val="single" w:sz="4" w:space="0" w:color="auto"/>
            </w:tcBorders>
            <w:shd w:val="clear" w:color="auto" w:fill="auto"/>
            <w:vAlign w:val="center"/>
          </w:tcPr>
          <w:p w:rsidR="00CC19FC" w:rsidRPr="00BB5519" w:rsidRDefault="00CC19FC" w:rsidP="005B6712">
            <w:pPr>
              <w:pStyle w:val="Heading2"/>
              <w:spacing w:beforeLines="20" w:before="48" w:afterLines="20" w:after="48"/>
              <w:ind w:left="0"/>
              <w:rPr>
                <w:rFonts w:ascii="Tahoma" w:hAnsi="Tahoma" w:cs="Tahoma"/>
                <w:b w:val="0"/>
                <w:sz w:val="14"/>
              </w:rPr>
            </w:pPr>
            <w:bookmarkStart w:id="65" w:name="_Office_Multi-Language_Pack"/>
            <w:bookmarkStart w:id="66" w:name="_Toc336337866"/>
            <w:bookmarkStart w:id="67" w:name="_Toc354054562"/>
            <w:bookmarkEnd w:id="65"/>
            <w:r w:rsidRPr="00BB5519">
              <w:rPr>
                <w:rFonts w:ascii="Tahoma" w:hAnsi="Tahoma" w:cs="Tahoma"/>
                <w:b w:val="0"/>
                <w:sz w:val="14"/>
              </w:rPr>
              <w:t xml:space="preserve">Office Multi-Language Pack </w:t>
            </w:r>
            <w:bookmarkEnd w:id="66"/>
            <w:r w:rsidRPr="00BB5519">
              <w:rPr>
                <w:rFonts w:ascii="Tahoma" w:hAnsi="Tahoma" w:cs="Tahoma"/>
                <w:b w:val="0"/>
                <w:sz w:val="14"/>
              </w:rPr>
              <w:t>2013</w:t>
            </w:r>
            <w:bookmarkEnd w:id="67"/>
          </w:p>
        </w:tc>
        <w:tc>
          <w:tcPr>
            <w:tcW w:w="450" w:type="dxa"/>
            <w:tcBorders>
              <w:bottom w:val="single" w:sz="4" w:space="0" w:color="auto"/>
            </w:tcBorders>
            <w:shd w:val="clear" w:color="auto" w:fill="auto"/>
            <w:vAlign w:val="center"/>
          </w:tcPr>
          <w:p w:rsidR="00CC19FC" w:rsidRPr="00BB5519" w:rsidRDefault="005F5403" w:rsidP="00B0065F">
            <w:pPr>
              <w:pStyle w:val="TableText"/>
              <w:widowControl w:val="0"/>
              <w:rPr>
                <w:rStyle w:val="EndnoteReference"/>
                <w:b w:val="0"/>
                <w:color w:val="0000FF"/>
                <w:sz w:val="13"/>
                <w:szCs w:val="13"/>
                <w:u w:val="single"/>
              </w:rPr>
            </w:pPr>
            <w:hyperlink w:anchor="_8_Office_Multi-Language" w:history="1">
              <w:r w:rsidR="00B0065F" w:rsidRPr="0004255A">
                <w:rPr>
                  <w:rStyle w:val="Hyperlink"/>
                  <w:b/>
                  <w:sz w:val="13"/>
                  <w:szCs w:val="13"/>
                </w:rPr>
                <w:t>8</w:t>
              </w:r>
            </w:hyperlink>
            <w:hyperlink w:anchor="_87_Office_Multi-Language" w:history="1"/>
          </w:p>
        </w:tc>
        <w:tc>
          <w:tcPr>
            <w:tcW w:w="461" w:type="dxa"/>
            <w:tcBorders>
              <w:bottom w:val="single" w:sz="4" w:space="0" w:color="auto"/>
            </w:tcBorders>
            <w:shd w:val="clear" w:color="auto" w:fill="auto"/>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080B33">
            <w:pPr>
              <w:pStyle w:val="TableText"/>
              <w:widowControl w:val="0"/>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r>
      <w:tr w:rsidR="00EF228F" w:rsidRPr="00BB5519" w:rsidTr="004B1599">
        <w:trPr>
          <w:cantSplit/>
          <w:trHeight w:val="422"/>
        </w:trPr>
        <w:tc>
          <w:tcPr>
            <w:tcW w:w="2585" w:type="dxa"/>
            <w:tcBorders>
              <w:bottom w:val="single" w:sz="4" w:space="0" w:color="auto"/>
            </w:tcBorders>
            <w:shd w:val="clear" w:color="auto" w:fill="FABF8F"/>
            <w:vAlign w:val="center"/>
          </w:tcPr>
          <w:p w:rsidR="00CC19FC" w:rsidRPr="00BB5519" w:rsidRDefault="00CC19FC" w:rsidP="005B6712">
            <w:pPr>
              <w:pStyle w:val="ProductNames"/>
              <w:spacing w:beforeLines="20" w:before="48" w:afterLines="20" w:after="48"/>
              <w:rPr>
                <w:rFonts w:ascii="Tahoma" w:hAnsi="Tahoma" w:cs="Tahoma"/>
                <w:position w:val="0"/>
                <w:sz w:val="14"/>
              </w:rPr>
            </w:pPr>
            <w:bookmarkStart w:id="68" w:name="_Toc336337867"/>
            <w:bookmarkStart w:id="69" w:name="_Toc354054563"/>
            <w:r w:rsidRPr="00BB5519">
              <w:rPr>
                <w:rFonts w:ascii="Tahoma" w:hAnsi="Tahoma" w:cs="Tahoma"/>
                <w:position w:val="0"/>
                <w:sz w:val="14"/>
              </w:rPr>
              <w:t xml:space="preserve">Office Professional Plus </w:t>
            </w:r>
            <w:bookmarkEnd w:id="68"/>
            <w:r w:rsidRPr="00BB5519">
              <w:rPr>
                <w:rFonts w:ascii="Tahoma" w:hAnsi="Tahoma" w:cs="Tahoma"/>
                <w:position w:val="0"/>
                <w:sz w:val="14"/>
              </w:rPr>
              <w:t>2013</w:t>
            </w:r>
            <w:bookmarkEnd w:id="69"/>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rStyle w:val="EndnoteReference"/>
                <w:b w:val="0"/>
                <w:color w:val="0000FF"/>
                <w:sz w:val="13"/>
                <w:szCs w:val="13"/>
                <w:u w:val="single"/>
              </w:rPr>
            </w:pPr>
            <w:hyperlink w:anchor="_9_Office_Professional" w:history="1">
              <w:r w:rsidR="00B0065F" w:rsidRPr="0004255A">
                <w:rPr>
                  <w:rStyle w:val="Hyperlink"/>
                  <w:b/>
                  <w:sz w:val="13"/>
                  <w:szCs w:val="13"/>
                </w:rPr>
                <w:t>9</w:t>
              </w:r>
            </w:hyperlink>
            <w:hyperlink w:anchor="_98_Office_Professional" w:history="1"/>
          </w:p>
        </w:tc>
        <w:tc>
          <w:tcPr>
            <w:tcW w:w="461" w:type="dxa"/>
            <w:tcBorders>
              <w:bottom w:val="single" w:sz="4" w:space="0" w:color="auto"/>
            </w:tcBorders>
            <w:shd w:val="clear" w:color="auto" w:fill="FABF8F"/>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5</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rsidR="00CC19FC" w:rsidRPr="00BB5519" w:rsidRDefault="00CC19FC" w:rsidP="00097B90">
            <w:pPr>
              <w:pStyle w:val="TableText"/>
              <w:widowControl w:val="0"/>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E, P</w:t>
            </w:r>
          </w:p>
        </w:tc>
        <w:tc>
          <w:tcPr>
            <w:tcW w:w="514" w:type="dxa"/>
            <w:tcBorders>
              <w:bottom w:val="single" w:sz="4" w:space="0" w:color="auto"/>
            </w:tcBorders>
            <w:shd w:val="clear" w:color="auto" w:fill="FABF8F"/>
            <w:vAlign w:val="center"/>
          </w:tcPr>
          <w:p w:rsidR="00CC19FC" w:rsidRPr="00BB5519" w:rsidRDefault="00CC19FC" w:rsidP="00080B33">
            <w:pPr>
              <w:pStyle w:val="TableText"/>
              <w:widowControl w:val="0"/>
              <w:rPr>
                <w:rFonts w:ascii="Tahoma" w:hAnsi="Tahoma" w:cs="Tahoma"/>
                <w:sz w:val="13"/>
              </w:rPr>
            </w:pPr>
            <w:r w:rsidRPr="00BB5519">
              <w:rPr>
                <w:rFonts w:ascii="Tahoma" w:hAnsi="Tahoma" w:cs="Tahoma"/>
                <w:sz w:val="13"/>
              </w:rPr>
              <w:t>E,ST</w:t>
            </w:r>
          </w:p>
        </w:tc>
        <w:tc>
          <w:tcPr>
            <w:tcW w:w="514"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r>
      <w:tr w:rsidR="00B33D0E" w:rsidRPr="00BB5519" w:rsidTr="004B1599">
        <w:trPr>
          <w:cantSplit/>
          <w:trHeight w:val="278"/>
        </w:trPr>
        <w:tc>
          <w:tcPr>
            <w:tcW w:w="2585" w:type="dxa"/>
            <w:tcBorders>
              <w:bottom w:val="single" w:sz="4" w:space="0" w:color="auto"/>
            </w:tcBorders>
            <w:shd w:val="clear" w:color="auto" w:fill="auto"/>
            <w:vAlign w:val="center"/>
          </w:tcPr>
          <w:p w:rsidR="00CC19FC" w:rsidRPr="00BB5519" w:rsidRDefault="00CC19FC" w:rsidP="005B6712">
            <w:pPr>
              <w:pStyle w:val="Heading3"/>
              <w:spacing w:beforeLines="20" w:before="48" w:afterLines="20" w:after="48"/>
              <w:rPr>
                <w:rFonts w:ascii="Tahoma" w:hAnsi="Tahoma" w:cs="Tahoma"/>
                <w:b w:val="0"/>
                <w:sz w:val="14"/>
              </w:rPr>
            </w:pPr>
            <w:bookmarkStart w:id="70" w:name="_Toc336337868"/>
            <w:bookmarkStart w:id="71" w:name="_Toc354054564"/>
            <w:r w:rsidRPr="00BB5519">
              <w:rPr>
                <w:rFonts w:ascii="Tahoma" w:hAnsi="Tahoma" w:cs="Tahoma"/>
                <w:b w:val="0"/>
                <w:sz w:val="14"/>
              </w:rPr>
              <w:t xml:space="preserve">Office Standard </w:t>
            </w:r>
            <w:bookmarkEnd w:id="70"/>
            <w:r w:rsidRPr="00BB5519">
              <w:rPr>
                <w:rFonts w:ascii="Tahoma" w:hAnsi="Tahoma" w:cs="Tahoma"/>
                <w:b w:val="0"/>
                <w:sz w:val="14"/>
              </w:rPr>
              <w:t>2013</w:t>
            </w:r>
            <w:bookmarkEnd w:id="71"/>
            <w:r w:rsidRPr="00BB5519">
              <w:rPr>
                <w:rFonts w:ascii="Tahoma" w:hAnsi="Tahoma" w:cs="Tahoma"/>
                <w:b w:val="0"/>
                <w:sz w:val="14"/>
              </w:rPr>
              <w:t xml:space="preserve"> </w:t>
            </w:r>
          </w:p>
        </w:tc>
        <w:tc>
          <w:tcPr>
            <w:tcW w:w="450" w:type="dxa"/>
            <w:tcBorders>
              <w:bottom w:val="single" w:sz="4" w:space="0" w:color="auto"/>
            </w:tcBorders>
            <w:shd w:val="clear" w:color="auto" w:fill="auto"/>
            <w:vAlign w:val="center"/>
          </w:tcPr>
          <w:p w:rsidR="00CC19FC" w:rsidRPr="00BB5519" w:rsidRDefault="005F5403" w:rsidP="00B0065F">
            <w:pPr>
              <w:pStyle w:val="TableText"/>
              <w:widowControl w:val="0"/>
              <w:rPr>
                <w:rStyle w:val="EndnoteReference"/>
                <w:b w:val="0"/>
                <w:color w:val="0000FF"/>
                <w:sz w:val="13"/>
                <w:szCs w:val="13"/>
                <w:u w:val="single"/>
              </w:rPr>
            </w:pPr>
            <w:hyperlink w:anchor="_109_Office_Standard" w:history="1">
              <w:r w:rsidR="00B0065F" w:rsidRPr="0004255A">
                <w:rPr>
                  <w:rStyle w:val="Hyperlink"/>
                  <w:b/>
                  <w:sz w:val="13"/>
                  <w:szCs w:val="13"/>
                </w:rPr>
                <w:t>10</w:t>
              </w:r>
            </w:hyperlink>
            <w:hyperlink w:anchor="_109_Office_Standard" w:history="1"/>
          </w:p>
        </w:tc>
        <w:tc>
          <w:tcPr>
            <w:tcW w:w="461" w:type="dxa"/>
            <w:tcBorders>
              <w:bottom w:val="single" w:sz="4" w:space="0" w:color="auto"/>
            </w:tcBorders>
            <w:shd w:val="clear" w:color="auto" w:fill="auto"/>
            <w:vAlign w:val="center"/>
          </w:tcPr>
          <w:p w:rsidR="00CC19FC" w:rsidRPr="00BB5519" w:rsidRDefault="00CC19FC" w:rsidP="004000C7">
            <w:pPr>
              <w:pStyle w:val="TableText"/>
              <w:widowControl w:val="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b/>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5</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CC19FC" w:rsidRPr="00BB551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r>
      <w:tr w:rsidR="00EF228F" w:rsidRPr="00BB5519" w:rsidTr="004B1599">
        <w:trPr>
          <w:cantSplit/>
          <w:trHeight w:val="305"/>
        </w:trPr>
        <w:tc>
          <w:tcPr>
            <w:tcW w:w="2585" w:type="dxa"/>
            <w:tcBorders>
              <w:bottom w:val="single" w:sz="4" w:space="0" w:color="auto"/>
            </w:tcBorders>
            <w:shd w:val="clear" w:color="auto" w:fill="FABF8F"/>
          </w:tcPr>
          <w:p w:rsidR="00CC19FC" w:rsidRPr="00BB5519" w:rsidRDefault="00CC19FC" w:rsidP="005B6712">
            <w:pPr>
              <w:pStyle w:val="Heading2"/>
              <w:spacing w:beforeLines="20" w:before="48" w:afterLines="20" w:after="48"/>
              <w:ind w:left="0"/>
              <w:rPr>
                <w:rFonts w:ascii="Tahoma" w:hAnsi="Tahoma" w:cs="Tahoma"/>
                <w:b w:val="0"/>
                <w:sz w:val="14"/>
              </w:rPr>
            </w:pPr>
            <w:bookmarkStart w:id="72" w:name="_Toc336337869"/>
            <w:bookmarkStart w:id="73" w:name="_Toc354054565"/>
            <w:r w:rsidRPr="00BB5519">
              <w:rPr>
                <w:rFonts w:ascii="Tahoma" w:hAnsi="Tahoma" w:cs="Tahoma"/>
                <w:b w:val="0"/>
                <w:sz w:val="14"/>
              </w:rPr>
              <w:t>Office 365 ProPlus (Nutzer-AL)</w:t>
            </w:r>
            <w:bookmarkEnd w:id="72"/>
            <w:bookmarkEnd w:id="73"/>
          </w:p>
        </w:tc>
        <w:tc>
          <w:tcPr>
            <w:tcW w:w="450" w:type="dxa"/>
            <w:tcBorders>
              <w:bottom w:val="single" w:sz="4" w:space="0" w:color="auto"/>
            </w:tcBorders>
            <w:shd w:val="clear" w:color="auto" w:fill="FABF8F"/>
          </w:tcPr>
          <w:p w:rsidR="00CC19FC" w:rsidRPr="00BB5519" w:rsidRDefault="005F5403" w:rsidP="00B0065F">
            <w:pPr>
              <w:pStyle w:val="TableText"/>
              <w:widowControl w:val="0"/>
              <w:spacing w:before="120"/>
              <w:rPr>
                <w:b/>
                <w:color w:val="0000FF"/>
                <w:sz w:val="13"/>
                <w:szCs w:val="13"/>
                <w:u w:val="single"/>
              </w:rPr>
            </w:pPr>
            <w:hyperlink w:anchor="_11_Office_365" w:history="1">
              <w:r w:rsidR="00955428" w:rsidRPr="0004255A">
                <w:rPr>
                  <w:rStyle w:val="Hyperlink"/>
                  <w:b/>
                  <w:sz w:val="13"/>
                  <w:szCs w:val="13"/>
                </w:rPr>
                <w:t>11</w:t>
              </w:r>
            </w:hyperlink>
            <w:hyperlink w:anchor="Aps_9OfficeProPlusSubUserSL" w:history="1"/>
          </w:p>
        </w:tc>
        <w:tc>
          <w:tcPr>
            <w:tcW w:w="461" w:type="dxa"/>
            <w:tcBorders>
              <w:bottom w:val="single" w:sz="4" w:space="0" w:color="auto"/>
            </w:tcBorders>
            <w:shd w:val="clear" w:color="auto" w:fill="FABF8F"/>
            <w:vAlign w:val="center"/>
          </w:tcPr>
          <w:p w:rsidR="00CC19FC" w:rsidRPr="00BB5519" w:rsidRDefault="00CC19FC" w:rsidP="004000C7">
            <w:pPr>
              <w:pStyle w:val="TableText"/>
              <w:rPr>
                <w:rFonts w:ascii="Tahoma" w:hAnsi="Tahoma" w:cs="Tahoma"/>
                <w:sz w:val="13"/>
              </w:rPr>
            </w:pPr>
            <w:r w:rsidRPr="00BB5519">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BB5519"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FABF8F"/>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140B67">
            <w:pPr>
              <w:pStyle w:val="TableText"/>
              <w:rPr>
                <w:rFonts w:ascii="Tahoma" w:hAnsi="Tahoma" w:cs="Tahoma"/>
                <w:sz w:val="13"/>
              </w:rPr>
            </w:pPr>
            <w:r w:rsidRPr="00BB5519">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BB5519" w:rsidRDefault="00CC19FC" w:rsidP="004B3534">
            <w:pPr>
              <w:pStyle w:val="TableText"/>
              <w:rPr>
                <w:rFonts w:ascii="Tahoma" w:hAnsi="Tahoma" w:cs="Tahoma"/>
                <w:sz w:val="13"/>
              </w:rPr>
            </w:pPr>
          </w:p>
        </w:tc>
      </w:tr>
      <w:tr w:rsidR="002253A3" w:rsidRPr="00BB5519" w:rsidTr="004B1599">
        <w:trPr>
          <w:cantSplit/>
          <w:trHeight w:val="305"/>
        </w:trPr>
        <w:tc>
          <w:tcPr>
            <w:tcW w:w="2585" w:type="dxa"/>
            <w:tcBorders>
              <w:bottom w:val="single" w:sz="4" w:space="0" w:color="auto"/>
            </w:tcBorders>
            <w:shd w:val="clear" w:color="auto" w:fill="auto"/>
            <w:vAlign w:val="center"/>
          </w:tcPr>
          <w:p w:rsidR="003418C5" w:rsidRPr="00BB5519" w:rsidRDefault="003418C5" w:rsidP="005B6712">
            <w:pPr>
              <w:pStyle w:val="Heading2"/>
              <w:spacing w:beforeLines="20" w:before="48" w:afterLines="20" w:after="48"/>
              <w:ind w:left="0"/>
              <w:rPr>
                <w:rFonts w:ascii="Tahoma" w:hAnsi="Tahoma" w:cs="Tahoma"/>
                <w:b w:val="0"/>
                <w:sz w:val="14"/>
                <w:lang w:val="de-DE"/>
              </w:rPr>
            </w:pPr>
            <w:bookmarkStart w:id="74" w:name="_Toc354054566"/>
            <w:r w:rsidRPr="00BB5519">
              <w:rPr>
                <w:rFonts w:ascii="Tahoma" w:hAnsi="Tahoma" w:cs="Tahoma"/>
                <w:b w:val="0"/>
                <w:sz w:val="14"/>
                <w:lang w:val="de-DE"/>
              </w:rPr>
              <w:lastRenderedPageBreak/>
              <w:t>Office 365 ProPlus SA-Übergang (Nutzer-AL)</w:t>
            </w:r>
            <w:bookmarkEnd w:id="74"/>
          </w:p>
        </w:tc>
        <w:tc>
          <w:tcPr>
            <w:tcW w:w="450" w:type="dxa"/>
            <w:tcBorders>
              <w:bottom w:val="single" w:sz="4" w:space="0" w:color="auto"/>
            </w:tcBorders>
            <w:shd w:val="clear" w:color="auto" w:fill="auto"/>
            <w:vAlign w:val="center"/>
          </w:tcPr>
          <w:p w:rsidR="003418C5" w:rsidRPr="00BB5519" w:rsidRDefault="005F5403" w:rsidP="00B0065F">
            <w:pPr>
              <w:pStyle w:val="TableText"/>
              <w:widowControl w:val="0"/>
              <w:rPr>
                <w:b/>
                <w:color w:val="0000FF"/>
                <w:sz w:val="13"/>
                <w:szCs w:val="13"/>
                <w:u w:val="single"/>
              </w:rPr>
            </w:pPr>
            <w:hyperlink r:id="rId21" w:history="1">
              <w:r w:rsidR="00955428" w:rsidRPr="00041FEE">
                <w:rPr>
                  <w:rStyle w:val="Hyperlink"/>
                  <w:b/>
                  <w:sz w:val="13"/>
                  <w:szCs w:val="13"/>
                </w:rPr>
                <w:t>11</w:t>
              </w:r>
            </w:hyperlink>
          </w:p>
        </w:tc>
        <w:tc>
          <w:tcPr>
            <w:tcW w:w="461" w:type="dxa"/>
            <w:tcBorders>
              <w:bottom w:val="single" w:sz="4" w:space="0" w:color="auto"/>
            </w:tcBorders>
            <w:shd w:val="clear" w:color="auto" w:fill="auto"/>
            <w:vAlign w:val="center"/>
          </w:tcPr>
          <w:p w:rsidR="003418C5" w:rsidRPr="00BB5519" w:rsidRDefault="003418C5" w:rsidP="004000C7">
            <w:pPr>
              <w:pStyle w:val="TableText"/>
              <w:rPr>
                <w:rFonts w:ascii="Tahoma" w:hAnsi="Tahoma" w:cs="Tahoma"/>
                <w:sz w:val="13"/>
              </w:rPr>
            </w:pPr>
            <w:r w:rsidRPr="00BB5519">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3418C5" w:rsidRPr="00BB5519" w:rsidRDefault="003418C5" w:rsidP="004B3534">
            <w:pPr>
              <w:pStyle w:val="TableText"/>
              <w:rPr>
                <w:rFonts w:ascii="Tahoma" w:hAnsi="Tahoma" w:cs="Tahoma"/>
                <w:sz w:val="13"/>
              </w:rPr>
            </w:pPr>
            <w:r w:rsidRPr="00BB5519">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3418C5" w:rsidRPr="00BB5519" w:rsidRDefault="003418C5"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BB5519" w:rsidRDefault="003418C5"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BB5519" w:rsidRDefault="003418C5" w:rsidP="004B3534">
            <w:pPr>
              <w:pStyle w:val="TableText"/>
              <w:rPr>
                <w:rFonts w:ascii="Tahoma" w:hAnsi="Tahoma" w:cs="Tahoma"/>
                <w:sz w:val="13"/>
              </w:rPr>
            </w:pPr>
          </w:p>
        </w:tc>
      </w:tr>
      <w:tr w:rsidR="00EF228F" w:rsidRPr="00BB5519" w:rsidTr="004B1599">
        <w:trPr>
          <w:cantSplit/>
          <w:trHeight w:val="305"/>
        </w:trPr>
        <w:tc>
          <w:tcPr>
            <w:tcW w:w="2585" w:type="dxa"/>
            <w:tcBorders>
              <w:bottom w:val="single" w:sz="4" w:space="0" w:color="auto"/>
            </w:tcBorders>
            <w:shd w:val="clear" w:color="auto" w:fill="FABF8F"/>
            <w:vAlign w:val="center"/>
          </w:tcPr>
          <w:p w:rsidR="00CC19FC" w:rsidRPr="00BB5519" w:rsidRDefault="00CC19FC" w:rsidP="005B6712">
            <w:pPr>
              <w:pStyle w:val="Heading2"/>
              <w:spacing w:beforeLines="20" w:before="48" w:afterLines="20" w:after="48"/>
              <w:ind w:left="0"/>
              <w:rPr>
                <w:rFonts w:ascii="Tahoma" w:hAnsi="Tahoma" w:cs="Tahoma"/>
                <w:b w:val="0"/>
                <w:sz w:val="14"/>
                <w:lang w:val="fr-FR"/>
              </w:rPr>
            </w:pPr>
            <w:bookmarkStart w:id="75" w:name="_Toc336337870"/>
            <w:bookmarkStart w:id="76" w:name="_Toc354054567"/>
            <w:r w:rsidRPr="00BB5519">
              <w:rPr>
                <w:rFonts w:ascii="Tahoma" w:hAnsi="Tahoma" w:cs="Tahoma"/>
                <w:b w:val="0"/>
                <w:sz w:val="14"/>
                <w:lang w:val="fr-FR"/>
              </w:rPr>
              <w:t>Office Professional Plus-Abonnement A (Nutzer-AL)</w:t>
            </w:r>
            <w:bookmarkEnd w:id="75"/>
            <w:bookmarkEnd w:id="76"/>
          </w:p>
        </w:tc>
        <w:tc>
          <w:tcPr>
            <w:tcW w:w="450" w:type="dxa"/>
            <w:tcBorders>
              <w:bottom w:val="single" w:sz="4" w:space="0" w:color="auto"/>
            </w:tcBorders>
            <w:shd w:val="clear" w:color="auto" w:fill="FABF8F"/>
            <w:vAlign w:val="center"/>
          </w:tcPr>
          <w:p w:rsidR="00CC19FC" w:rsidRPr="00BB5519" w:rsidRDefault="00CC19FC" w:rsidP="00761E3B">
            <w:pPr>
              <w:pStyle w:val="TableText"/>
              <w:widowControl w:val="0"/>
              <w:rPr>
                <w:color w:val="0000FF"/>
                <w:sz w:val="13"/>
                <w:szCs w:val="13"/>
                <w:u w:val="single"/>
                <w:lang w:val="fr-FR"/>
              </w:rPr>
            </w:pPr>
          </w:p>
        </w:tc>
        <w:tc>
          <w:tcPr>
            <w:tcW w:w="461" w:type="dxa"/>
            <w:tcBorders>
              <w:bottom w:val="single" w:sz="4" w:space="0" w:color="auto"/>
            </w:tcBorders>
            <w:shd w:val="clear" w:color="auto" w:fill="FABF8F"/>
            <w:vAlign w:val="center"/>
          </w:tcPr>
          <w:p w:rsidR="00CC19FC" w:rsidRPr="00BB5519" w:rsidRDefault="00CC19FC" w:rsidP="004000C7">
            <w:pPr>
              <w:pStyle w:val="TableText"/>
              <w:rPr>
                <w:rFonts w:ascii="Tahoma" w:hAnsi="Tahoma" w:cs="Tahoma"/>
                <w:sz w:val="13"/>
              </w:rPr>
            </w:pPr>
            <w:r w:rsidRPr="00BB5519">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r w:rsidRPr="00BB5519">
              <w:rPr>
                <w:rFonts w:ascii="Tahoma" w:hAnsi="Tahoma" w:cs="Tahoma"/>
                <w:sz w:val="13"/>
              </w:rPr>
              <w:t>E (nur EES)</w:t>
            </w: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r w:rsidR="00792825" w:rsidRPr="00BB5519" w:rsidTr="004B1599">
        <w:trPr>
          <w:cantSplit/>
          <w:trHeight w:val="305"/>
        </w:trPr>
        <w:tc>
          <w:tcPr>
            <w:tcW w:w="2585" w:type="dxa"/>
            <w:tcBorders>
              <w:bottom w:val="single" w:sz="4" w:space="0" w:color="auto"/>
            </w:tcBorders>
            <w:shd w:val="clear" w:color="auto" w:fill="auto"/>
            <w:vAlign w:val="center"/>
          </w:tcPr>
          <w:p w:rsidR="00CC19FC" w:rsidRPr="00BB5519" w:rsidRDefault="00CC19FC" w:rsidP="005B6712">
            <w:pPr>
              <w:pStyle w:val="Heading2"/>
              <w:spacing w:beforeLines="20" w:before="48" w:afterLines="20" w:after="48"/>
              <w:ind w:left="0"/>
              <w:rPr>
                <w:rFonts w:ascii="Tahoma" w:hAnsi="Tahoma" w:cs="Tahoma"/>
                <w:b w:val="0"/>
                <w:sz w:val="14"/>
              </w:rPr>
            </w:pPr>
            <w:bookmarkStart w:id="77" w:name="_Toc336337873"/>
            <w:bookmarkStart w:id="78" w:name="_Toc354054568"/>
            <w:r w:rsidRPr="00BB5519">
              <w:rPr>
                <w:rFonts w:ascii="Tahoma" w:hAnsi="Tahoma" w:cs="Tahoma"/>
                <w:b w:val="0"/>
                <w:sz w:val="14"/>
              </w:rPr>
              <w:t>OneNote</w:t>
            </w:r>
            <w:r w:rsidRPr="00621662">
              <w:rPr>
                <w:rFonts w:ascii="Tahoma" w:hAnsi="Tahoma" w:cs="Tahoma"/>
                <w:b w:val="0"/>
                <w:sz w:val="14"/>
                <w:vertAlign w:val="superscript"/>
              </w:rPr>
              <w:t>®</w:t>
            </w:r>
            <w:r w:rsidRPr="00BB5519">
              <w:rPr>
                <w:rFonts w:ascii="Tahoma" w:hAnsi="Tahoma" w:cs="Tahoma"/>
                <w:b w:val="0"/>
                <w:sz w:val="14"/>
              </w:rPr>
              <w:t xml:space="preserve"> </w:t>
            </w:r>
            <w:bookmarkEnd w:id="77"/>
            <w:r w:rsidRPr="00BB5519">
              <w:rPr>
                <w:rFonts w:ascii="Tahoma" w:hAnsi="Tahoma" w:cs="Tahoma"/>
                <w:b w:val="0"/>
                <w:sz w:val="14"/>
              </w:rPr>
              <w:t>2013</w:t>
            </w:r>
            <w:bookmarkEnd w:id="78"/>
          </w:p>
        </w:tc>
        <w:tc>
          <w:tcPr>
            <w:tcW w:w="450" w:type="dxa"/>
            <w:tcBorders>
              <w:bottom w:val="single" w:sz="4" w:space="0" w:color="auto"/>
            </w:tcBorders>
            <w:shd w:val="clear" w:color="auto" w:fill="auto"/>
            <w:vAlign w:val="center"/>
          </w:tcPr>
          <w:p w:rsidR="00CC19FC" w:rsidRPr="00BB5519" w:rsidRDefault="00CC19FC" w:rsidP="00761E3B">
            <w:pPr>
              <w:pStyle w:val="TableText"/>
              <w:widowControl w:val="0"/>
              <w:rPr>
                <w:rStyle w:val="EndnoteReference"/>
                <w:b w:val="0"/>
                <w:color w:val="0000FF"/>
                <w:sz w:val="13"/>
                <w:szCs w:val="13"/>
                <w:u w:val="single"/>
              </w:rPr>
            </w:pPr>
          </w:p>
        </w:tc>
        <w:tc>
          <w:tcPr>
            <w:tcW w:w="461" w:type="dxa"/>
            <w:tcBorders>
              <w:bottom w:val="single" w:sz="4" w:space="0" w:color="auto"/>
            </w:tcBorders>
            <w:shd w:val="clear" w:color="auto" w:fill="auto"/>
            <w:vAlign w:val="center"/>
          </w:tcPr>
          <w:p w:rsidR="00CC19FC" w:rsidRPr="00BB5519" w:rsidRDefault="00CC19FC" w:rsidP="004000C7">
            <w:pPr>
              <w:pStyle w:val="TableText"/>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r>
      <w:tr w:rsidR="00EF228F" w:rsidRPr="00BB5519" w:rsidTr="004B1599">
        <w:trPr>
          <w:cantSplit/>
          <w:trHeight w:val="350"/>
        </w:trPr>
        <w:tc>
          <w:tcPr>
            <w:tcW w:w="2585" w:type="dxa"/>
            <w:tcBorders>
              <w:bottom w:val="single" w:sz="4" w:space="0" w:color="auto"/>
            </w:tcBorders>
            <w:shd w:val="clear" w:color="auto" w:fill="FABF8F"/>
            <w:vAlign w:val="center"/>
          </w:tcPr>
          <w:p w:rsidR="00CC19FC" w:rsidRPr="00BB5519" w:rsidRDefault="00CC19FC" w:rsidP="005B6712">
            <w:pPr>
              <w:pStyle w:val="Heading2"/>
              <w:spacing w:beforeLines="20" w:before="48" w:afterLines="20" w:after="48"/>
              <w:ind w:left="0"/>
              <w:rPr>
                <w:rFonts w:ascii="Tahoma" w:hAnsi="Tahoma" w:cs="Tahoma"/>
                <w:b w:val="0"/>
                <w:sz w:val="14"/>
              </w:rPr>
            </w:pPr>
            <w:bookmarkStart w:id="79" w:name="_Toc336337874"/>
            <w:bookmarkStart w:id="80" w:name="_Toc354054569"/>
            <w:r w:rsidRPr="00BB5519">
              <w:rPr>
                <w:rFonts w:ascii="Tahoma" w:hAnsi="Tahoma" w:cs="Tahoma"/>
                <w:b w:val="0"/>
                <w:sz w:val="14"/>
              </w:rPr>
              <w:t>Outlook</w:t>
            </w:r>
            <w:r w:rsidRPr="00621662">
              <w:rPr>
                <w:rFonts w:ascii="Tahoma" w:hAnsi="Tahoma" w:cs="Tahoma"/>
                <w:b w:val="0"/>
                <w:sz w:val="14"/>
                <w:vertAlign w:val="superscript"/>
              </w:rPr>
              <w:t>®</w:t>
            </w:r>
            <w:r w:rsidRPr="00BB5519">
              <w:rPr>
                <w:rFonts w:ascii="Tahoma" w:hAnsi="Tahoma" w:cs="Tahoma"/>
                <w:b w:val="0"/>
                <w:sz w:val="14"/>
              </w:rPr>
              <w:t xml:space="preserve"> </w:t>
            </w:r>
            <w:bookmarkEnd w:id="79"/>
            <w:r w:rsidRPr="00BB5519">
              <w:rPr>
                <w:rFonts w:ascii="Tahoma" w:hAnsi="Tahoma" w:cs="Tahoma"/>
                <w:b w:val="0"/>
                <w:sz w:val="14"/>
              </w:rPr>
              <w:t>2013</w:t>
            </w:r>
            <w:bookmarkEnd w:id="80"/>
          </w:p>
        </w:tc>
        <w:tc>
          <w:tcPr>
            <w:tcW w:w="450" w:type="dxa"/>
            <w:tcBorders>
              <w:bottom w:val="single" w:sz="4" w:space="0" w:color="auto"/>
            </w:tcBorders>
            <w:shd w:val="clear" w:color="auto" w:fill="FABF8F"/>
            <w:vAlign w:val="center"/>
          </w:tcPr>
          <w:p w:rsidR="00CC19FC" w:rsidRPr="00BB5519" w:rsidRDefault="00CC19FC" w:rsidP="00761E3B">
            <w:pPr>
              <w:pStyle w:val="TableText"/>
              <w:widowControl w:val="0"/>
              <w:rPr>
                <w:rStyle w:val="EndnoteReference"/>
                <w:b w:val="0"/>
                <w:color w:val="0000FF"/>
                <w:sz w:val="13"/>
                <w:szCs w:val="13"/>
                <w:u w:val="single"/>
              </w:rPr>
            </w:pPr>
          </w:p>
        </w:tc>
        <w:tc>
          <w:tcPr>
            <w:tcW w:w="461" w:type="dxa"/>
            <w:tcBorders>
              <w:bottom w:val="single" w:sz="4" w:space="0" w:color="auto"/>
            </w:tcBorders>
            <w:shd w:val="clear" w:color="auto" w:fill="FABF8F"/>
            <w:vAlign w:val="center"/>
          </w:tcPr>
          <w:p w:rsidR="00CC19FC" w:rsidRPr="00BB5519" w:rsidRDefault="00CC19FC" w:rsidP="004941B2">
            <w:pPr>
              <w:pStyle w:val="TableText"/>
              <w:spacing w:before="60" w:after="6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r w:rsidR="00CC19FC" w:rsidRPr="00BB5519" w:rsidTr="004B1599">
        <w:trPr>
          <w:cantSplit/>
          <w:trHeight w:val="305"/>
        </w:trPr>
        <w:tc>
          <w:tcPr>
            <w:tcW w:w="2585" w:type="dxa"/>
            <w:tcBorders>
              <w:bottom w:val="single" w:sz="4" w:space="0" w:color="auto"/>
            </w:tcBorders>
            <w:shd w:val="clear" w:color="auto" w:fill="auto"/>
            <w:vAlign w:val="center"/>
          </w:tcPr>
          <w:p w:rsidR="00CC19FC" w:rsidRPr="00BB5519" w:rsidRDefault="00CC19FC" w:rsidP="005B6712">
            <w:pPr>
              <w:pStyle w:val="Heading2"/>
              <w:spacing w:beforeLines="20" w:before="48" w:afterLines="20" w:after="48"/>
              <w:ind w:left="0"/>
              <w:rPr>
                <w:rFonts w:ascii="Tahoma" w:hAnsi="Tahoma" w:cs="Tahoma"/>
                <w:b w:val="0"/>
                <w:sz w:val="16"/>
                <w:szCs w:val="16"/>
              </w:rPr>
            </w:pPr>
            <w:bookmarkStart w:id="81" w:name="_Toc336337875"/>
            <w:bookmarkStart w:id="82" w:name="_Toc354054570"/>
            <w:r w:rsidRPr="00BB5519">
              <w:rPr>
                <w:rFonts w:ascii="Tahoma" w:hAnsi="Tahoma" w:cs="Tahoma"/>
                <w:b w:val="0"/>
                <w:sz w:val="14"/>
                <w:szCs w:val="16"/>
              </w:rPr>
              <w:t xml:space="preserve">Outlook </w:t>
            </w:r>
            <w:bookmarkEnd w:id="81"/>
            <w:r w:rsidRPr="00BB5519">
              <w:rPr>
                <w:rFonts w:ascii="Tahoma" w:hAnsi="Tahoma" w:cs="Tahoma"/>
                <w:b w:val="0"/>
                <w:sz w:val="14"/>
                <w:szCs w:val="16"/>
              </w:rPr>
              <w:t>für Mac 2011</w:t>
            </w:r>
            <w:bookmarkEnd w:id="82"/>
          </w:p>
        </w:tc>
        <w:tc>
          <w:tcPr>
            <w:tcW w:w="450" w:type="dxa"/>
            <w:tcBorders>
              <w:bottom w:val="single" w:sz="4" w:space="0" w:color="auto"/>
            </w:tcBorders>
            <w:shd w:val="clear" w:color="auto" w:fill="auto"/>
            <w:vAlign w:val="center"/>
          </w:tcPr>
          <w:p w:rsidR="00CC19FC" w:rsidRPr="00BB5519" w:rsidRDefault="005F5403" w:rsidP="00B0065F">
            <w:pPr>
              <w:pStyle w:val="TableText"/>
              <w:widowControl w:val="0"/>
              <w:rPr>
                <w:rStyle w:val="EndnoteReference"/>
                <w:b w:val="0"/>
                <w:color w:val="0000FF"/>
                <w:sz w:val="13"/>
                <w:szCs w:val="13"/>
                <w:u w:val="single"/>
              </w:rPr>
            </w:pPr>
            <w:hyperlink w:anchor="_121_Outlook_for" w:history="1">
              <w:r w:rsidR="00955428" w:rsidRPr="00041FEE">
                <w:rPr>
                  <w:rStyle w:val="Hyperlink"/>
                  <w:b/>
                  <w:sz w:val="13"/>
                  <w:szCs w:val="13"/>
                </w:rPr>
                <w:t>12</w:t>
              </w:r>
            </w:hyperlink>
            <w:hyperlink w:anchor="Srv_9OutlookMac2011" w:history="1"/>
          </w:p>
        </w:tc>
        <w:tc>
          <w:tcPr>
            <w:tcW w:w="461"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CC19FC" w:rsidRPr="00BB551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widowControl w:val="0"/>
              <w:rPr>
                <w:rFonts w:ascii="Tahoma" w:hAnsi="Tahoma" w:cs="Tahoma"/>
                <w:sz w:val="13"/>
              </w:rPr>
            </w:pPr>
          </w:p>
        </w:tc>
      </w:tr>
      <w:tr w:rsidR="00EF228F" w:rsidRPr="00BB5519" w:rsidTr="004B1599">
        <w:trPr>
          <w:cantSplit/>
          <w:trHeight w:val="305"/>
        </w:trPr>
        <w:tc>
          <w:tcPr>
            <w:tcW w:w="2585" w:type="dxa"/>
            <w:tcBorders>
              <w:bottom w:val="single" w:sz="4" w:space="0" w:color="auto"/>
            </w:tcBorders>
            <w:shd w:val="clear" w:color="auto" w:fill="FABF8F"/>
            <w:vAlign w:val="center"/>
          </w:tcPr>
          <w:p w:rsidR="00CC19FC" w:rsidRPr="00BB5519" w:rsidRDefault="00CC19FC" w:rsidP="005B6712">
            <w:pPr>
              <w:pStyle w:val="Heading3"/>
              <w:spacing w:beforeLines="20" w:before="48" w:afterLines="20" w:after="48"/>
              <w:rPr>
                <w:rFonts w:ascii="Tahoma" w:hAnsi="Tahoma" w:cs="Tahoma"/>
                <w:b w:val="0"/>
                <w:sz w:val="14"/>
              </w:rPr>
            </w:pPr>
            <w:bookmarkStart w:id="83" w:name="_Toc354054571"/>
            <w:r w:rsidRPr="00BB5519">
              <w:rPr>
                <w:rFonts w:ascii="Tahoma" w:hAnsi="Tahoma" w:cs="Tahoma"/>
                <w:b w:val="0"/>
                <w:sz w:val="14"/>
              </w:rPr>
              <w:t>PowerPoint 2013</w:t>
            </w:r>
            <w:bookmarkEnd w:id="83"/>
          </w:p>
        </w:tc>
        <w:tc>
          <w:tcPr>
            <w:tcW w:w="450" w:type="dxa"/>
            <w:tcBorders>
              <w:bottom w:val="single" w:sz="4" w:space="0" w:color="auto"/>
            </w:tcBorders>
            <w:shd w:val="clear" w:color="auto" w:fill="FABF8F"/>
            <w:vAlign w:val="center"/>
          </w:tcPr>
          <w:p w:rsidR="00CC19FC" w:rsidRPr="00BB5519" w:rsidRDefault="00CC19FC" w:rsidP="00F62B9E">
            <w:pPr>
              <w:pStyle w:val="TableText"/>
              <w:widowControl w:val="0"/>
              <w:rPr>
                <w:rStyle w:val="EndnoteReference"/>
                <w:color w:val="0000FF"/>
                <w:sz w:val="13"/>
                <w:szCs w:val="13"/>
                <w:u w:val="single"/>
              </w:rPr>
            </w:pPr>
          </w:p>
        </w:tc>
        <w:tc>
          <w:tcPr>
            <w:tcW w:w="461" w:type="dxa"/>
            <w:tcBorders>
              <w:bottom w:val="single" w:sz="4" w:space="0" w:color="auto"/>
            </w:tcBorders>
            <w:shd w:val="clear" w:color="auto" w:fill="FABF8F"/>
            <w:vAlign w:val="center"/>
          </w:tcPr>
          <w:p w:rsidR="00CC19FC" w:rsidRPr="00BB5519" w:rsidRDefault="00CC19FC" w:rsidP="004941B2">
            <w:pPr>
              <w:pStyle w:val="TableText"/>
              <w:widowControl w:val="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widowControl w:val="0"/>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FFFFF"/>
          </w:tcPr>
          <w:p w:rsidR="00CC19FC" w:rsidRPr="00BB5519" w:rsidRDefault="00CC19FC" w:rsidP="005B6712">
            <w:pPr>
              <w:pStyle w:val="Heading3"/>
              <w:spacing w:beforeLines="20" w:before="48" w:afterLines="20" w:after="48"/>
              <w:rPr>
                <w:rFonts w:ascii="Tahoma" w:hAnsi="Tahoma" w:cs="Tahoma"/>
                <w:b w:val="0"/>
                <w:sz w:val="14"/>
              </w:rPr>
            </w:pPr>
            <w:bookmarkStart w:id="84" w:name="_Toc336337878"/>
            <w:bookmarkStart w:id="85" w:name="_Toc354054572"/>
            <w:r w:rsidRPr="00BB5519">
              <w:rPr>
                <w:rFonts w:ascii="Tahoma" w:hAnsi="Tahoma" w:cs="Tahoma"/>
                <w:b w:val="0"/>
                <w:sz w:val="14"/>
              </w:rPr>
              <w:t>PowerPoint für Mac 2011</w:t>
            </w:r>
            <w:bookmarkEnd w:id="84"/>
            <w:bookmarkEnd w:id="85"/>
          </w:p>
        </w:tc>
        <w:tc>
          <w:tcPr>
            <w:tcW w:w="450" w:type="dxa"/>
            <w:tcBorders>
              <w:bottom w:val="single" w:sz="4" w:space="0" w:color="auto"/>
            </w:tcBorders>
            <w:shd w:val="clear" w:color="auto" w:fill="FFFFFF"/>
            <w:vAlign w:val="center"/>
          </w:tcPr>
          <w:p w:rsidR="00CC19FC" w:rsidRPr="00BB5519" w:rsidRDefault="00CC19FC" w:rsidP="00F62B9E">
            <w:pPr>
              <w:pStyle w:val="TableText"/>
              <w:widowControl w:val="0"/>
              <w:rPr>
                <w:rStyle w:val="EndnoteReference"/>
                <w:color w:val="0000FF"/>
                <w:sz w:val="13"/>
                <w:szCs w:val="13"/>
                <w:u w:val="single"/>
              </w:rPr>
            </w:pPr>
          </w:p>
        </w:tc>
        <w:tc>
          <w:tcPr>
            <w:tcW w:w="461" w:type="dxa"/>
            <w:tcBorders>
              <w:bottom w:val="single" w:sz="4" w:space="0" w:color="auto"/>
            </w:tcBorders>
            <w:shd w:val="clear" w:color="auto" w:fill="FFFFFF"/>
            <w:vAlign w:val="center"/>
          </w:tcPr>
          <w:p w:rsidR="00CC19FC" w:rsidRPr="00BB5519" w:rsidRDefault="00CC19FC" w:rsidP="004B3534">
            <w:pPr>
              <w:pStyle w:val="TableText"/>
              <w:spacing w:before="60" w:after="60"/>
              <w:rPr>
                <w:rFonts w:ascii="Tahoma" w:hAnsi="Tahoma" w:cs="Tahoma"/>
                <w:sz w:val="13"/>
              </w:rPr>
            </w:pPr>
            <w:r w:rsidRPr="00BB5519">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FFFF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FFFF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rsidR="00CC19FC" w:rsidRPr="00BB5519" w:rsidRDefault="00CC19FC" w:rsidP="004B3534">
            <w:pPr>
              <w:pStyle w:val="TableText"/>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ABF8F"/>
          </w:tcPr>
          <w:p w:rsidR="00CC19FC" w:rsidRPr="00BB5519" w:rsidRDefault="00CC19FC" w:rsidP="005B6712">
            <w:pPr>
              <w:pStyle w:val="Heading3"/>
              <w:spacing w:beforeLines="20" w:before="48" w:afterLines="20" w:after="48"/>
              <w:rPr>
                <w:rFonts w:ascii="Tahoma" w:hAnsi="Tahoma" w:cs="Tahoma"/>
                <w:b w:val="0"/>
                <w:sz w:val="14"/>
              </w:rPr>
            </w:pPr>
            <w:bookmarkStart w:id="86" w:name="_Toc336337879"/>
            <w:bookmarkStart w:id="87" w:name="_Toc354054573"/>
            <w:r w:rsidRPr="00BB5519">
              <w:rPr>
                <w:rFonts w:ascii="Tahoma" w:hAnsi="Tahoma" w:cs="Tahoma"/>
                <w:b w:val="0"/>
                <w:sz w:val="14"/>
              </w:rPr>
              <w:t>Project 2013 Standard</w:t>
            </w:r>
            <w:bookmarkEnd w:id="86"/>
            <w:bookmarkEnd w:id="87"/>
            <w:r w:rsidRPr="00BB5519">
              <w:rPr>
                <w:rFonts w:ascii="Tahoma" w:hAnsi="Tahoma" w:cs="Tahoma"/>
                <w:b w:val="0"/>
                <w:sz w:val="14"/>
              </w:rPr>
              <w:t xml:space="preserve"> </w:t>
            </w:r>
          </w:p>
        </w:tc>
        <w:tc>
          <w:tcPr>
            <w:tcW w:w="450" w:type="dxa"/>
            <w:tcBorders>
              <w:bottom w:val="single" w:sz="4" w:space="0" w:color="auto"/>
            </w:tcBorders>
            <w:shd w:val="clear" w:color="auto" w:fill="FABF8F"/>
            <w:vAlign w:val="center"/>
          </w:tcPr>
          <w:p w:rsidR="00CC19FC" w:rsidRPr="00BB5519" w:rsidRDefault="00CC19FC" w:rsidP="00D353E6">
            <w:pPr>
              <w:pStyle w:val="TableText"/>
              <w:widowControl w:val="0"/>
              <w:rPr>
                <w:rStyle w:val="EndnoteReference"/>
                <w:color w:val="0000FF"/>
                <w:sz w:val="13"/>
                <w:szCs w:val="13"/>
                <w:u w:val="single"/>
              </w:rPr>
            </w:pPr>
          </w:p>
        </w:tc>
        <w:tc>
          <w:tcPr>
            <w:tcW w:w="461" w:type="dxa"/>
            <w:tcBorders>
              <w:bottom w:val="single" w:sz="4" w:space="0" w:color="auto"/>
            </w:tcBorders>
            <w:shd w:val="clear" w:color="auto" w:fill="FABF8F"/>
            <w:vAlign w:val="center"/>
          </w:tcPr>
          <w:p w:rsidR="00CC19FC" w:rsidRPr="00BB5519" w:rsidRDefault="00CC19FC" w:rsidP="004941B2">
            <w:pPr>
              <w:pStyle w:val="TableText"/>
              <w:spacing w:before="60" w:after="6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5</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FFFFF"/>
          </w:tcPr>
          <w:p w:rsidR="00CC19FC" w:rsidRPr="00BB5519" w:rsidRDefault="00CC19FC" w:rsidP="005B6712">
            <w:pPr>
              <w:pStyle w:val="Heading3"/>
              <w:spacing w:beforeLines="20" w:before="48" w:afterLines="20" w:after="48"/>
              <w:rPr>
                <w:rFonts w:ascii="Tahoma" w:hAnsi="Tahoma" w:cs="Tahoma"/>
                <w:b w:val="0"/>
                <w:sz w:val="14"/>
              </w:rPr>
            </w:pPr>
            <w:bookmarkStart w:id="88" w:name="_Toc336337880"/>
            <w:bookmarkStart w:id="89" w:name="_Toc354054574"/>
            <w:r w:rsidRPr="00BB5519">
              <w:rPr>
                <w:rFonts w:ascii="Tahoma" w:hAnsi="Tahoma" w:cs="Tahoma"/>
                <w:b w:val="0"/>
                <w:sz w:val="14"/>
              </w:rPr>
              <w:t>Project 2013 Professional</w:t>
            </w:r>
            <w:bookmarkEnd w:id="88"/>
            <w:bookmarkEnd w:id="89"/>
            <w:r w:rsidRPr="00BB5519">
              <w:rPr>
                <w:rFonts w:ascii="Tahoma" w:hAnsi="Tahoma" w:cs="Tahoma"/>
                <w:b w:val="0"/>
                <w:sz w:val="14"/>
              </w:rPr>
              <w:t xml:space="preserve"> </w:t>
            </w:r>
          </w:p>
        </w:tc>
        <w:tc>
          <w:tcPr>
            <w:tcW w:w="450" w:type="dxa"/>
            <w:tcBorders>
              <w:bottom w:val="single" w:sz="4" w:space="0" w:color="auto"/>
            </w:tcBorders>
            <w:shd w:val="clear" w:color="auto" w:fill="FFFFFF"/>
            <w:vAlign w:val="center"/>
          </w:tcPr>
          <w:p w:rsidR="00CC19FC" w:rsidRPr="00BB5519" w:rsidRDefault="005F5403" w:rsidP="00B0065F">
            <w:pPr>
              <w:pStyle w:val="TableText"/>
              <w:widowControl w:val="0"/>
              <w:rPr>
                <w:rStyle w:val="EndnoteReference"/>
                <w:b w:val="0"/>
                <w:color w:val="0000FF"/>
                <w:sz w:val="13"/>
                <w:szCs w:val="13"/>
                <w:u w:val="single"/>
              </w:rPr>
            </w:pPr>
            <w:hyperlink w:anchor="_13_Project_2013" w:history="1">
              <w:r w:rsidR="00955428" w:rsidRPr="00041FEE">
                <w:rPr>
                  <w:rStyle w:val="Hyperlink"/>
                  <w:b/>
                  <w:sz w:val="13"/>
                  <w:szCs w:val="13"/>
                </w:rPr>
                <w:t>13</w:t>
              </w:r>
            </w:hyperlink>
          </w:p>
        </w:tc>
        <w:tc>
          <w:tcPr>
            <w:tcW w:w="461" w:type="dxa"/>
            <w:tcBorders>
              <w:bottom w:val="single" w:sz="4" w:space="0" w:color="auto"/>
            </w:tcBorders>
            <w:shd w:val="clear" w:color="auto" w:fill="FFFFFF"/>
            <w:vAlign w:val="center"/>
          </w:tcPr>
          <w:p w:rsidR="00CC19FC" w:rsidRPr="00BB5519" w:rsidRDefault="00CC19FC" w:rsidP="004941B2">
            <w:pPr>
              <w:pStyle w:val="TableText"/>
              <w:spacing w:before="60" w:after="6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10</w:t>
            </w:r>
          </w:p>
        </w:tc>
        <w:tc>
          <w:tcPr>
            <w:tcW w:w="429" w:type="dxa"/>
            <w:tcBorders>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8</w:t>
            </w:r>
          </w:p>
        </w:tc>
        <w:tc>
          <w:tcPr>
            <w:tcW w:w="429" w:type="dxa"/>
            <w:tcBorders>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4</w:t>
            </w:r>
          </w:p>
        </w:tc>
        <w:tc>
          <w:tcPr>
            <w:tcW w:w="490" w:type="dxa"/>
            <w:tcBorders>
              <w:left w:val="single" w:sz="18" w:space="0" w:color="auto"/>
              <w:bottom w:val="single" w:sz="4" w:space="0" w:color="auto"/>
            </w:tcBorders>
            <w:shd w:val="clear" w:color="auto" w:fill="FFFFFF"/>
            <w:vAlign w:val="center"/>
          </w:tcPr>
          <w:p w:rsidR="00CC19FC" w:rsidRPr="00BB5519" w:rsidRDefault="00CC19FC" w:rsidP="0070485B">
            <w:pPr>
              <w:pStyle w:val="TableText"/>
              <w:rPr>
                <w:rFonts w:ascii="Tahoma" w:hAnsi="Tahoma" w:cs="Tahoma"/>
                <w:sz w:val="13"/>
                <w:szCs w:val="13"/>
              </w:rPr>
            </w:pPr>
            <w:r w:rsidRPr="00BB5519">
              <w:rPr>
                <w:rFonts w:ascii="Tahoma" w:hAnsi="Tahoma" w:cs="Tahoma"/>
                <w:sz w:val="13"/>
                <w:szCs w:val="13"/>
              </w:rPr>
              <w:t>1</w:t>
            </w:r>
          </w:p>
        </w:tc>
        <w:tc>
          <w:tcPr>
            <w:tcW w:w="368" w:type="dxa"/>
            <w:tcBorders>
              <w:bottom w:val="single" w:sz="4" w:space="0" w:color="auto"/>
              <w:right w:val="single" w:sz="18" w:space="0" w:color="auto"/>
            </w:tcBorders>
            <w:shd w:val="clear" w:color="auto" w:fill="FFFFF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FFFF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A, AO, ST</w:t>
            </w:r>
          </w:p>
        </w:tc>
        <w:tc>
          <w:tcPr>
            <w:tcW w:w="514" w:type="dxa"/>
            <w:tcBorders>
              <w:bottom w:val="single" w:sz="4" w:space="0" w:color="auto"/>
            </w:tcBorders>
            <w:shd w:val="clear" w:color="auto" w:fill="FFFFFF"/>
            <w:vAlign w:val="center"/>
          </w:tcPr>
          <w:p w:rsidR="00CC19FC" w:rsidRPr="00BB5519" w:rsidRDefault="00CC19FC" w:rsidP="0070485B">
            <w:pPr>
              <w:pStyle w:val="TableText"/>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ABF8F"/>
          </w:tcPr>
          <w:p w:rsidR="00CC19FC" w:rsidRPr="00BB5519" w:rsidRDefault="00C24CBE" w:rsidP="005B6712">
            <w:pPr>
              <w:pStyle w:val="Heading3"/>
              <w:spacing w:beforeLines="20" w:before="48" w:afterLines="20" w:after="48"/>
              <w:rPr>
                <w:rFonts w:ascii="Tahoma" w:hAnsi="Tahoma" w:cs="Tahoma"/>
                <w:b w:val="0"/>
                <w:sz w:val="14"/>
              </w:rPr>
            </w:pPr>
            <w:bookmarkStart w:id="90" w:name="_Toc354054575"/>
            <w:r w:rsidRPr="00BB5519">
              <w:rPr>
                <w:rFonts w:ascii="Tahoma" w:hAnsi="Tahoma" w:cs="Tahoma"/>
                <w:b w:val="0"/>
                <w:sz w:val="14"/>
              </w:rPr>
              <w:t>Project Pro für Office 365</w:t>
            </w:r>
            <w:bookmarkEnd w:id="90"/>
            <w:r w:rsidR="009E4976" w:rsidRPr="00BB5519">
              <w:rPr>
                <w:rFonts w:ascii="Tahoma" w:hAnsi="Tahoma" w:cs="Tahoma"/>
                <w:b w:val="0"/>
                <w:sz w:val="14"/>
              </w:rPr>
              <w:t xml:space="preserve"> </w:t>
            </w:r>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b/>
                <w:color w:val="0000FF"/>
                <w:sz w:val="13"/>
                <w:szCs w:val="13"/>
                <w:u w:val="single"/>
              </w:rPr>
            </w:pPr>
            <w:hyperlink w:anchor="_14_Project_Pro" w:history="1">
              <w:r w:rsidR="00955428" w:rsidRPr="00041FEE">
                <w:rPr>
                  <w:rStyle w:val="Hyperlink"/>
                  <w:b/>
                  <w:sz w:val="13"/>
                  <w:szCs w:val="13"/>
                </w:rPr>
                <w:t>14</w:t>
              </w:r>
            </w:hyperlink>
          </w:p>
        </w:tc>
        <w:tc>
          <w:tcPr>
            <w:tcW w:w="461" w:type="dxa"/>
            <w:tcBorders>
              <w:bottom w:val="single" w:sz="4" w:space="0" w:color="auto"/>
            </w:tcBorders>
            <w:shd w:val="clear" w:color="auto" w:fill="FABF8F"/>
            <w:vAlign w:val="center"/>
          </w:tcPr>
          <w:p w:rsidR="00CC19FC" w:rsidRPr="00BB5519" w:rsidRDefault="00CC19FC" w:rsidP="004941B2">
            <w:pPr>
              <w:pStyle w:val="TableText"/>
              <w:spacing w:before="60" w:after="60"/>
              <w:rPr>
                <w:rFonts w:ascii="Tahoma" w:hAnsi="Tahoma" w:cs="Tahoma"/>
                <w:sz w:val="13"/>
              </w:rPr>
            </w:pPr>
            <w:r w:rsidRPr="00BB551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r w:rsidR="00CC19FC" w:rsidRPr="00BB5519" w:rsidTr="004B1599">
        <w:trPr>
          <w:cantSplit/>
          <w:trHeight w:val="145"/>
        </w:trPr>
        <w:tc>
          <w:tcPr>
            <w:tcW w:w="2585" w:type="dxa"/>
            <w:tcBorders>
              <w:bottom w:val="single" w:sz="4" w:space="0" w:color="auto"/>
            </w:tcBorders>
            <w:shd w:val="clear" w:color="auto" w:fill="auto"/>
          </w:tcPr>
          <w:p w:rsidR="00CC19FC" w:rsidRPr="00BB5519" w:rsidRDefault="00CC19FC" w:rsidP="005B6712">
            <w:pPr>
              <w:pStyle w:val="Heading3"/>
              <w:spacing w:beforeLines="20" w:before="48" w:afterLines="20" w:after="48"/>
              <w:rPr>
                <w:rFonts w:ascii="Tahoma" w:hAnsi="Tahoma" w:cs="Tahoma"/>
                <w:b w:val="0"/>
                <w:sz w:val="14"/>
              </w:rPr>
            </w:pPr>
            <w:bookmarkStart w:id="91" w:name="_Toc354054576"/>
            <w:r w:rsidRPr="00BB5519">
              <w:rPr>
                <w:rFonts w:ascii="Tahoma" w:hAnsi="Tahoma" w:cs="Tahoma"/>
                <w:b w:val="0"/>
                <w:sz w:val="14"/>
              </w:rPr>
              <w:t>Project Pro für Office 365 A</w:t>
            </w:r>
            <w:bookmarkEnd w:id="91"/>
          </w:p>
        </w:tc>
        <w:tc>
          <w:tcPr>
            <w:tcW w:w="450" w:type="dxa"/>
            <w:tcBorders>
              <w:bottom w:val="single" w:sz="4" w:space="0" w:color="auto"/>
            </w:tcBorders>
            <w:shd w:val="clear" w:color="auto" w:fill="auto"/>
            <w:vAlign w:val="center"/>
          </w:tcPr>
          <w:p w:rsidR="00CC19FC" w:rsidRPr="00BB5519" w:rsidRDefault="00CC19FC" w:rsidP="00152361">
            <w:pPr>
              <w:pStyle w:val="TableText"/>
              <w:widowControl w:val="0"/>
              <w:rPr>
                <w:b/>
                <w:color w:val="0000FF"/>
                <w:sz w:val="13"/>
                <w:szCs w:val="13"/>
                <w:u w:val="single"/>
              </w:rPr>
            </w:pPr>
          </w:p>
        </w:tc>
        <w:tc>
          <w:tcPr>
            <w:tcW w:w="461" w:type="dxa"/>
            <w:tcBorders>
              <w:bottom w:val="single" w:sz="4" w:space="0" w:color="auto"/>
            </w:tcBorders>
            <w:shd w:val="clear" w:color="auto" w:fill="auto"/>
            <w:vAlign w:val="center"/>
          </w:tcPr>
          <w:p w:rsidR="00CC19FC" w:rsidRPr="00BB5519" w:rsidRDefault="00CC19FC" w:rsidP="004941B2">
            <w:pPr>
              <w:pStyle w:val="TableText"/>
              <w:spacing w:before="60" w:after="60"/>
              <w:rPr>
                <w:rFonts w:ascii="Tahoma" w:hAnsi="Tahoma" w:cs="Tahoma"/>
                <w:sz w:val="13"/>
              </w:rPr>
            </w:pPr>
            <w:r w:rsidRPr="00BB551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spacing w:after="120"/>
              <w:rPr>
                <w:rFonts w:ascii="Tahoma" w:hAnsi="Tahoma" w:cs="Tahoma"/>
                <w:sz w:val="13"/>
                <w:szCs w:val="13"/>
              </w:rPr>
            </w:pPr>
          </w:p>
        </w:tc>
        <w:tc>
          <w:tcPr>
            <w:tcW w:w="490" w:type="dxa"/>
            <w:tcBorders>
              <w:left w:val="single" w:sz="18" w:space="0" w:color="auto"/>
              <w:bottom w:val="single" w:sz="4" w:space="0" w:color="auto"/>
            </w:tcBorders>
            <w:shd w:val="clear" w:color="auto" w:fill="auto"/>
            <w:vAlign w:val="center"/>
          </w:tcPr>
          <w:p w:rsidR="00CC19FC" w:rsidRPr="00BB5519" w:rsidRDefault="00C24CBE" w:rsidP="004B3534">
            <w:pPr>
              <w:pStyle w:val="TableText"/>
              <w:spacing w:after="120"/>
              <w:rPr>
                <w:rFonts w:ascii="Tahoma" w:hAnsi="Tahoma" w:cs="Tahoma"/>
                <w:sz w:val="13"/>
                <w:szCs w:val="13"/>
              </w:rPr>
            </w:pPr>
            <w:r w:rsidRPr="00BB5519">
              <w:rPr>
                <w:rFonts w:ascii="Tahoma" w:hAnsi="Tahoma" w:cs="Tahoma"/>
                <w:sz w:val="13"/>
                <w:szCs w:val="13"/>
              </w:rPr>
              <w:t>1</w:t>
            </w: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573BA8" w:rsidP="00080B33">
            <w:pPr>
              <w:pStyle w:val="TableText"/>
              <w:rPr>
                <w:rFonts w:ascii="Tahoma" w:hAnsi="Tahoma" w:cs="Tahoma"/>
                <w:sz w:val="13"/>
              </w:rPr>
            </w:pPr>
            <w:r w:rsidRPr="00BB5519">
              <w:rPr>
                <w:rFonts w:ascii="Tahoma" w:hAnsi="Tahoma" w:cs="Tahoma"/>
                <w:sz w:val="13"/>
              </w:rPr>
              <w:t>A, ST (nur EES)</w:t>
            </w:r>
          </w:p>
        </w:tc>
        <w:tc>
          <w:tcPr>
            <w:tcW w:w="514"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ABF8F"/>
          </w:tcPr>
          <w:p w:rsidR="00CC19FC" w:rsidRPr="00BB5519" w:rsidRDefault="00CC19FC" w:rsidP="005B6712">
            <w:pPr>
              <w:pStyle w:val="Heading3"/>
              <w:spacing w:beforeLines="20" w:before="48" w:afterLines="20" w:after="48"/>
              <w:rPr>
                <w:rFonts w:ascii="Tahoma" w:hAnsi="Tahoma" w:cs="Tahoma"/>
                <w:b w:val="0"/>
                <w:sz w:val="14"/>
              </w:rPr>
            </w:pPr>
            <w:bookmarkStart w:id="92" w:name="_Toc354054577"/>
            <w:r w:rsidRPr="00BB5519">
              <w:rPr>
                <w:rFonts w:ascii="Tahoma" w:hAnsi="Tahoma" w:cs="Tahoma"/>
                <w:b w:val="0"/>
                <w:sz w:val="14"/>
              </w:rPr>
              <w:t>Publisher 2013</w:t>
            </w:r>
            <w:bookmarkEnd w:id="92"/>
          </w:p>
        </w:tc>
        <w:tc>
          <w:tcPr>
            <w:tcW w:w="450" w:type="dxa"/>
            <w:tcBorders>
              <w:bottom w:val="single" w:sz="4" w:space="0" w:color="auto"/>
            </w:tcBorders>
            <w:shd w:val="clear" w:color="auto" w:fill="FABF8F"/>
            <w:vAlign w:val="center"/>
          </w:tcPr>
          <w:p w:rsidR="00CC19FC" w:rsidRPr="00BB5519" w:rsidRDefault="00CC19FC" w:rsidP="00152361">
            <w:pPr>
              <w:pStyle w:val="TableText"/>
              <w:widowControl w:val="0"/>
              <w:rPr>
                <w:b/>
                <w:color w:val="0000FF"/>
                <w:sz w:val="13"/>
                <w:szCs w:val="13"/>
                <w:u w:val="single"/>
              </w:rPr>
            </w:pPr>
            <w:bookmarkStart w:id="93" w:name="_Hlt335908485"/>
          </w:p>
        </w:tc>
        <w:bookmarkEnd w:id="93"/>
        <w:tc>
          <w:tcPr>
            <w:tcW w:w="461" w:type="dxa"/>
            <w:tcBorders>
              <w:bottom w:val="single" w:sz="4" w:space="0" w:color="auto"/>
            </w:tcBorders>
            <w:shd w:val="clear" w:color="auto" w:fill="FABF8F"/>
            <w:vAlign w:val="center"/>
          </w:tcPr>
          <w:p w:rsidR="00CC19FC" w:rsidRPr="00BB5519" w:rsidDel="00527D48" w:rsidRDefault="00CC19FC" w:rsidP="004941B2">
            <w:pPr>
              <w:pStyle w:val="TableText"/>
              <w:spacing w:before="60" w:after="6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r w:rsidRPr="00BB5519">
              <w:rPr>
                <w:rFonts w:ascii="Tahoma" w:hAnsi="Tahoma" w:cs="Tahoma"/>
                <w:sz w:val="13"/>
                <w:szCs w:val="13"/>
              </w:rPr>
              <w:t>1</w:t>
            </w: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szCs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r w:rsidR="00CC19FC" w:rsidRPr="00BB5519" w:rsidTr="004B1599">
        <w:trPr>
          <w:cantSplit/>
          <w:trHeight w:val="145"/>
        </w:trPr>
        <w:tc>
          <w:tcPr>
            <w:tcW w:w="2585" w:type="dxa"/>
            <w:tcBorders>
              <w:bottom w:val="single" w:sz="4" w:space="0" w:color="auto"/>
            </w:tcBorders>
            <w:shd w:val="clear" w:color="auto" w:fill="auto"/>
          </w:tcPr>
          <w:p w:rsidR="00CC19FC" w:rsidRPr="00BB5519" w:rsidRDefault="00CC19FC" w:rsidP="005B6712">
            <w:pPr>
              <w:pStyle w:val="Heading3"/>
              <w:spacing w:beforeLines="20" w:before="48" w:afterLines="20" w:after="48"/>
              <w:rPr>
                <w:rFonts w:ascii="Tahoma" w:hAnsi="Tahoma" w:cs="Tahoma"/>
                <w:b w:val="0"/>
                <w:sz w:val="14"/>
              </w:rPr>
            </w:pPr>
            <w:bookmarkStart w:id="94" w:name="_Toc336337882"/>
            <w:bookmarkStart w:id="95" w:name="_Toc354054578"/>
            <w:r w:rsidRPr="00BB5519">
              <w:rPr>
                <w:rFonts w:ascii="Tahoma" w:hAnsi="Tahoma" w:cs="Tahoma"/>
                <w:b w:val="0"/>
                <w:sz w:val="14"/>
              </w:rPr>
              <w:t xml:space="preserve">Vermietungsrechte für Office </w:t>
            </w:r>
            <w:bookmarkEnd w:id="94"/>
            <w:r w:rsidRPr="00BB5519">
              <w:rPr>
                <w:rFonts w:ascii="Tahoma" w:hAnsi="Tahoma" w:cs="Tahoma"/>
                <w:b w:val="0"/>
                <w:sz w:val="14"/>
              </w:rPr>
              <w:t>Standard</w:t>
            </w:r>
            <w:bookmarkEnd w:id="95"/>
          </w:p>
        </w:tc>
        <w:tc>
          <w:tcPr>
            <w:tcW w:w="450" w:type="dxa"/>
            <w:tcBorders>
              <w:bottom w:val="single" w:sz="4" w:space="0" w:color="auto"/>
            </w:tcBorders>
            <w:shd w:val="clear" w:color="auto" w:fill="auto"/>
            <w:vAlign w:val="center"/>
          </w:tcPr>
          <w:p w:rsidR="00CC19FC" w:rsidRPr="00BB5519" w:rsidRDefault="005F5403" w:rsidP="00B0065F">
            <w:pPr>
              <w:pStyle w:val="TableText"/>
              <w:widowControl w:val="0"/>
              <w:rPr>
                <w:rStyle w:val="EndnoteReference"/>
                <w:b w:val="0"/>
                <w:color w:val="0000FF"/>
                <w:sz w:val="13"/>
                <w:szCs w:val="13"/>
                <w:u w:val="single"/>
              </w:rPr>
            </w:pPr>
            <w:hyperlink w:anchor="_145_Rental_Rights" w:history="1">
              <w:r w:rsidR="00955428" w:rsidRPr="00041FEE">
                <w:rPr>
                  <w:rStyle w:val="Hyperlink"/>
                  <w:b/>
                  <w:sz w:val="13"/>
                  <w:szCs w:val="13"/>
                </w:rPr>
                <w:t>15</w:t>
              </w:r>
            </w:hyperlink>
          </w:p>
        </w:tc>
        <w:tc>
          <w:tcPr>
            <w:tcW w:w="461" w:type="dxa"/>
            <w:tcBorders>
              <w:bottom w:val="single" w:sz="4" w:space="0" w:color="auto"/>
            </w:tcBorders>
            <w:shd w:val="clear" w:color="auto" w:fill="auto"/>
            <w:vAlign w:val="center"/>
          </w:tcPr>
          <w:p w:rsidR="00CC19FC" w:rsidRPr="00BB5519" w:rsidRDefault="00CC19FC" w:rsidP="004B3534">
            <w:pPr>
              <w:pStyle w:val="TableText"/>
              <w:spacing w:before="60" w:after="60"/>
              <w:rPr>
                <w:rFonts w:ascii="Tahoma" w:hAnsi="Tahoma" w:cs="Tahoma"/>
                <w:sz w:val="13"/>
              </w:rPr>
            </w:pPr>
            <w:r w:rsidRPr="00BB5519">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ABF8F"/>
          </w:tcPr>
          <w:p w:rsidR="00CC19FC" w:rsidRPr="00BB5519" w:rsidRDefault="00CC19FC" w:rsidP="005B6712">
            <w:pPr>
              <w:pStyle w:val="Heading3"/>
              <w:spacing w:beforeLines="20" w:before="48" w:afterLines="20" w:after="48"/>
              <w:rPr>
                <w:rFonts w:ascii="Tahoma" w:hAnsi="Tahoma" w:cs="Tahoma"/>
                <w:b w:val="0"/>
                <w:sz w:val="14"/>
                <w:lang w:val="de-DE"/>
              </w:rPr>
            </w:pPr>
            <w:bookmarkStart w:id="96" w:name="_Toc354054579"/>
            <w:r w:rsidRPr="00BB5519">
              <w:rPr>
                <w:rFonts w:ascii="Tahoma" w:hAnsi="Tahoma" w:cs="Tahoma"/>
                <w:b w:val="0"/>
                <w:sz w:val="14"/>
                <w:lang w:val="de-DE"/>
              </w:rPr>
              <w:t>Vermietungsrechte für Office Professional Plus</w:t>
            </w:r>
            <w:bookmarkEnd w:id="96"/>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rStyle w:val="EndnoteReference"/>
                <w:b w:val="0"/>
                <w:color w:val="0000FF"/>
                <w:sz w:val="13"/>
                <w:szCs w:val="13"/>
                <w:u w:val="single"/>
              </w:rPr>
            </w:pPr>
            <w:hyperlink w:anchor="_145_Rental_Rights" w:history="1">
              <w:r w:rsidR="00955428" w:rsidRPr="00BB5519">
                <w:rPr>
                  <w:rStyle w:val="Hyperlink"/>
                  <w:b/>
                  <w:sz w:val="13"/>
                  <w:szCs w:val="13"/>
                </w:rPr>
                <w:t>1</w:t>
              </w:r>
            </w:hyperlink>
            <w:r w:rsidR="00955428" w:rsidRPr="00BB5519">
              <w:rPr>
                <w:rStyle w:val="Hyperlink"/>
                <w:b/>
                <w:sz w:val="13"/>
                <w:szCs w:val="13"/>
              </w:rPr>
              <w:t>5</w:t>
            </w:r>
          </w:p>
        </w:tc>
        <w:tc>
          <w:tcPr>
            <w:tcW w:w="461" w:type="dxa"/>
            <w:tcBorders>
              <w:bottom w:val="single" w:sz="4" w:space="0" w:color="auto"/>
            </w:tcBorders>
            <w:shd w:val="clear" w:color="auto" w:fill="FABF8F"/>
            <w:vAlign w:val="center"/>
          </w:tcPr>
          <w:p w:rsidR="00CC19FC" w:rsidRPr="00BB5519" w:rsidRDefault="00CC19FC" w:rsidP="004B3534">
            <w:pPr>
              <w:pStyle w:val="TableText"/>
              <w:spacing w:before="60" w:after="60"/>
              <w:rPr>
                <w:rFonts w:ascii="Tahoma" w:hAnsi="Tahoma" w:cs="Tahoma"/>
                <w:sz w:val="13"/>
              </w:rPr>
            </w:pPr>
            <w:r w:rsidRPr="00BB5519">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r w:rsidR="00CC19FC" w:rsidRPr="00BB5519" w:rsidTr="004B1599">
        <w:trPr>
          <w:cantSplit/>
          <w:trHeight w:val="145"/>
        </w:trPr>
        <w:tc>
          <w:tcPr>
            <w:tcW w:w="2585" w:type="dxa"/>
            <w:tcBorders>
              <w:bottom w:val="single" w:sz="4" w:space="0" w:color="auto"/>
            </w:tcBorders>
            <w:shd w:val="clear" w:color="auto" w:fill="auto"/>
          </w:tcPr>
          <w:p w:rsidR="00CC19FC" w:rsidRPr="00BB5519" w:rsidRDefault="00CC19FC" w:rsidP="005B6712">
            <w:pPr>
              <w:pStyle w:val="Heading3"/>
              <w:spacing w:beforeLines="20" w:before="48" w:afterLines="20" w:after="48"/>
              <w:rPr>
                <w:rFonts w:ascii="Tahoma" w:hAnsi="Tahoma" w:cs="Tahoma"/>
                <w:b w:val="0"/>
                <w:sz w:val="14"/>
              </w:rPr>
            </w:pPr>
            <w:bookmarkStart w:id="97" w:name="_Toc336337884"/>
            <w:bookmarkStart w:id="98" w:name="_Toc354054580"/>
            <w:r w:rsidRPr="00BB5519">
              <w:rPr>
                <w:rFonts w:ascii="Tahoma" w:hAnsi="Tahoma" w:cs="Tahoma"/>
                <w:b w:val="0"/>
                <w:sz w:val="14"/>
              </w:rPr>
              <w:t>Streets and Trips 2013</w:t>
            </w:r>
            <w:bookmarkEnd w:id="97"/>
            <w:bookmarkEnd w:id="98"/>
          </w:p>
        </w:tc>
        <w:tc>
          <w:tcPr>
            <w:tcW w:w="450" w:type="dxa"/>
            <w:tcBorders>
              <w:bottom w:val="single" w:sz="4" w:space="0" w:color="auto"/>
            </w:tcBorders>
            <w:shd w:val="clear" w:color="auto" w:fill="auto"/>
            <w:vAlign w:val="center"/>
          </w:tcPr>
          <w:p w:rsidR="00CC19FC" w:rsidRPr="00BB5519" w:rsidRDefault="00CC19FC" w:rsidP="00D353E6">
            <w:pPr>
              <w:pStyle w:val="TableText"/>
              <w:widowControl w:val="0"/>
              <w:rPr>
                <w:rStyle w:val="EndnoteReference"/>
                <w:color w:val="0000FF"/>
                <w:sz w:val="13"/>
                <w:szCs w:val="13"/>
                <w:u w:val="single"/>
              </w:rPr>
            </w:pPr>
          </w:p>
        </w:tc>
        <w:tc>
          <w:tcPr>
            <w:tcW w:w="461" w:type="dxa"/>
            <w:tcBorders>
              <w:bottom w:val="single" w:sz="4" w:space="0" w:color="auto"/>
            </w:tcBorders>
            <w:shd w:val="clear" w:color="auto" w:fill="auto"/>
            <w:vAlign w:val="center"/>
          </w:tcPr>
          <w:p w:rsidR="00CC19FC" w:rsidRPr="00BB5519" w:rsidRDefault="00CC19FC" w:rsidP="00097B90">
            <w:pPr>
              <w:pStyle w:val="TableText"/>
              <w:spacing w:before="60" w:after="60"/>
              <w:rPr>
                <w:rFonts w:ascii="Tahoma" w:hAnsi="Tahoma" w:cs="Tahoma"/>
                <w:sz w:val="13"/>
              </w:rPr>
            </w:pPr>
            <w:r w:rsidRPr="00BB5519">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CC19FC" w:rsidRPr="00BB5519" w:rsidRDefault="00CC19FC" w:rsidP="00080B33">
            <w:pPr>
              <w:pStyle w:val="TableText"/>
              <w:rPr>
                <w:rFonts w:ascii="Tahoma" w:hAnsi="Tahoma" w:cs="Tahoma"/>
                <w:sz w:val="13"/>
              </w:rPr>
            </w:pPr>
            <w:r w:rsidRPr="00BB5519">
              <w:rPr>
                <w:rFonts w:ascii="Tahoma" w:hAnsi="Tahoma" w:cs="Tahoma"/>
                <w:sz w:val="13"/>
              </w:rPr>
              <w:t>A, ST</w:t>
            </w:r>
          </w:p>
        </w:tc>
        <w:tc>
          <w:tcPr>
            <w:tcW w:w="514"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ABF8F"/>
          </w:tcPr>
          <w:p w:rsidR="005F584F" w:rsidRPr="00BB5519" w:rsidRDefault="005F584F" w:rsidP="005B6712">
            <w:pPr>
              <w:pStyle w:val="Heading3"/>
              <w:spacing w:beforeLines="20" w:before="48" w:afterLines="20" w:after="48"/>
              <w:rPr>
                <w:rFonts w:ascii="Tahoma" w:hAnsi="Tahoma" w:cs="Tahoma"/>
                <w:b w:val="0"/>
                <w:sz w:val="14"/>
              </w:rPr>
            </w:pPr>
            <w:bookmarkStart w:id="99" w:name="_Toc354054581"/>
            <w:r w:rsidRPr="00BB5519">
              <w:rPr>
                <w:rFonts w:ascii="Tahoma" w:hAnsi="Tahoma" w:cs="Tahoma"/>
                <w:b w:val="0"/>
                <w:sz w:val="14"/>
              </w:rPr>
              <w:t>TechNet Plus Direct</w:t>
            </w:r>
            <w:bookmarkEnd w:id="99"/>
            <w:r w:rsidRPr="00BB5519">
              <w:rPr>
                <w:rFonts w:ascii="Tahoma" w:hAnsi="Tahoma" w:cs="Tahoma"/>
                <w:b w:val="0"/>
                <w:sz w:val="14"/>
              </w:rPr>
              <w:t xml:space="preserve"> </w:t>
            </w:r>
          </w:p>
        </w:tc>
        <w:tc>
          <w:tcPr>
            <w:tcW w:w="450" w:type="dxa"/>
            <w:tcBorders>
              <w:bottom w:val="single" w:sz="4" w:space="0" w:color="auto"/>
            </w:tcBorders>
            <w:shd w:val="clear" w:color="auto" w:fill="FABF8F"/>
            <w:vAlign w:val="center"/>
          </w:tcPr>
          <w:p w:rsidR="005F584F" w:rsidRPr="00BB5519" w:rsidRDefault="005F584F" w:rsidP="005F584F">
            <w:pPr>
              <w:pStyle w:val="TableText"/>
              <w:widowControl w:val="0"/>
              <w:rPr>
                <w:b/>
                <w:sz w:val="13"/>
                <w:szCs w:val="13"/>
              </w:rPr>
            </w:pPr>
          </w:p>
        </w:tc>
        <w:tc>
          <w:tcPr>
            <w:tcW w:w="461" w:type="dxa"/>
            <w:tcBorders>
              <w:bottom w:val="single" w:sz="4" w:space="0" w:color="auto"/>
            </w:tcBorders>
            <w:shd w:val="clear" w:color="auto" w:fill="FABF8F"/>
            <w:vAlign w:val="center"/>
          </w:tcPr>
          <w:p w:rsidR="005F584F" w:rsidRPr="00BB5519" w:rsidRDefault="005F584F" w:rsidP="005F584F">
            <w:pPr>
              <w:pStyle w:val="TableText"/>
              <w:spacing w:before="60" w:after="60"/>
              <w:rPr>
                <w:rFonts w:ascii="Tahoma" w:hAnsi="Tahoma" w:cs="Tahoma"/>
                <w:sz w:val="13"/>
              </w:rPr>
            </w:pPr>
            <w:r w:rsidRPr="00BB5519">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5</w:t>
            </w:r>
          </w:p>
        </w:tc>
        <w:tc>
          <w:tcPr>
            <w:tcW w:w="429" w:type="dxa"/>
            <w:tcBorders>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FABF8F"/>
            <w:vAlign w:val="center"/>
          </w:tcPr>
          <w:p w:rsidR="005F584F" w:rsidRPr="00BB5519" w:rsidRDefault="005F584F" w:rsidP="005F584F">
            <w:pPr>
              <w:pStyle w:val="TableText"/>
              <w:rPr>
                <w:rFonts w:ascii="Tahoma" w:hAnsi="Tahoma" w:cs="Tahoma"/>
                <w:sz w:val="13"/>
              </w:rPr>
            </w:pPr>
            <w:r w:rsidRPr="00BB5519">
              <w:rPr>
                <w:rFonts w:ascii="Tahoma" w:hAnsi="Tahoma" w:cs="Tahoma"/>
                <w:sz w:val="13"/>
              </w:rPr>
              <w:t>OL</w:t>
            </w:r>
          </w:p>
        </w:tc>
      </w:tr>
      <w:tr w:rsidR="005F584F" w:rsidRPr="00BB5519" w:rsidTr="004B1599">
        <w:trPr>
          <w:cantSplit/>
          <w:trHeight w:val="145"/>
        </w:trPr>
        <w:tc>
          <w:tcPr>
            <w:tcW w:w="2585" w:type="dxa"/>
            <w:tcBorders>
              <w:bottom w:val="single" w:sz="4" w:space="0" w:color="auto"/>
            </w:tcBorders>
            <w:shd w:val="clear" w:color="auto" w:fill="auto"/>
          </w:tcPr>
          <w:p w:rsidR="005F584F" w:rsidRPr="00BB5519" w:rsidRDefault="005F584F" w:rsidP="005B6712">
            <w:pPr>
              <w:pStyle w:val="Heading3"/>
              <w:spacing w:beforeLines="20" w:before="48" w:afterLines="20" w:after="48"/>
              <w:rPr>
                <w:rFonts w:ascii="Tahoma" w:hAnsi="Tahoma" w:cs="Tahoma"/>
                <w:b w:val="0"/>
                <w:sz w:val="14"/>
                <w:lang w:val="de-DE"/>
              </w:rPr>
            </w:pPr>
            <w:bookmarkStart w:id="100" w:name="_Toc354054582"/>
            <w:r w:rsidRPr="00BB5519">
              <w:rPr>
                <w:rFonts w:ascii="Tahoma" w:hAnsi="Tahoma" w:cs="Tahoma"/>
                <w:b w:val="0"/>
                <w:sz w:val="14"/>
                <w:lang w:val="de-DE"/>
              </w:rPr>
              <w:t>Vexcel Desktop mit Erweitertem Inhaltspaket</w:t>
            </w:r>
            <w:bookmarkEnd w:id="100"/>
          </w:p>
        </w:tc>
        <w:tc>
          <w:tcPr>
            <w:tcW w:w="450" w:type="dxa"/>
            <w:tcBorders>
              <w:bottom w:val="single" w:sz="4" w:space="0" w:color="auto"/>
            </w:tcBorders>
            <w:shd w:val="clear" w:color="auto" w:fill="auto"/>
            <w:vAlign w:val="center"/>
          </w:tcPr>
          <w:p w:rsidR="005F584F" w:rsidRPr="00BB5519" w:rsidRDefault="005F5403" w:rsidP="00B0065F">
            <w:pPr>
              <w:pStyle w:val="TableText"/>
              <w:widowControl w:val="0"/>
              <w:rPr>
                <w:b/>
                <w:sz w:val="13"/>
                <w:szCs w:val="13"/>
              </w:rPr>
            </w:pPr>
            <w:hyperlink w:anchor="_16_Vexcel_Desktop" w:history="1">
              <w:r w:rsidR="00955428" w:rsidRPr="006B10A2">
                <w:rPr>
                  <w:rStyle w:val="Hyperlink"/>
                  <w:b/>
                  <w:sz w:val="13"/>
                  <w:szCs w:val="13"/>
                </w:rPr>
                <w:t>16</w:t>
              </w:r>
            </w:hyperlink>
          </w:p>
        </w:tc>
        <w:tc>
          <w:tcPr>
            <w:tcW w:w="461" w:type="dxa"/>
            <w:tcBorders>
              <w:bottom w:val="single" w:sz="4" w:space="0" w:color="auto"/>
            </w:tcBorders>
            <w:shd w:val="clear" w:color="auto" w:fill="auto"/>
            <w:vAlign w:val="center"/>
          </w:tcPr>
          <w:p w:rsidR="005F584F" w:rsidRPr="00BB5519" w:rsidRDefault="005F584F" w:rsidP="004941B2">
            <w:pPr>
              <w:pStyle w:val="TableText"/>
              <w:spacing w:before="60" w:after="60"/>
              <w:rPr>
                <w:rFonts w:ascii="Tahoma" w:hAnsi="Tahoma" w:cs="Tahoma"/>
                <w:sz w:val="13"/>
              </w:rPr>
            </w:pPr>
            <w:r w:rsidRPr="00BB5519">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BB5519" w:rsidRDefault="005F584F" w:rsidP="004B3534">
            <w:pPr>
              <w:pStyle w:val="TableText"/>
              <w:rPr>
                <w:rFonts w:ascii="Tahoma" w:hAnsi="Tahoma" w:cs="Tahoma"/>
                <w:sz w:val="13"/>
              </w:rPr>
            </w:pPr>
            <w:r w:rsidRPr="00BB5519">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BB5519" w:rsidRDefault="005F584F" w:rsidP="004B3534">
            <w:pPr>
              <w:pStyle w:val="TableText"/>
              <w:rPr>
                <w:rFonts w:ascii="Tahoma" w:hAnsi="Tahoma" w:cs="Tahoma"/>
                <w:sz w:val="13"/>
              </w:rPr>
            </w:pPr>
            <w:r w:rsidRPr="00BB5519">
              <w:rPr>
                <w:rFonts w:ascii="Tahoma" w:hAnsi="Tahoma" w:cs="Tahoma"/>
                <w:sz w:val="13"/>
              </w:rPr>
              <w:t>1 Punkt</w:t>
            </w:r>
          </w:p>
        </w:tc>
        <w:tc>
          <w:tcPr>
            <w:tcW w:w="429" w:type="dxa"/>
            <w:tcBorders>
              <w:left w:val="single" w:sz="18" w:space="0" w:color="auto"/>
              <w:bottom w:val="single" w:sz="4" w:space="0" w:color="auto"/>
            </w:tcBorders>
            <w:shd w:val="clear" w:color="auto" w:fill="auto"/>
            <w:vAlign w:val="center"/>
          </w:tcPr>
          <w:p w:rsidR="005F584F" w:rsidRPr="00BB5519"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BB5519" w:rsidRDefault="005F584F"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BB5519" w:rsidRDefault="005F584F"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5F584F" w:rsidRPr="00BB5519" w:rsidRDefault="005F584F" w:rsidP="004B3534">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5F584F" w:rsidRPr="00BB5519" w:rsidRDefault="005F584F"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BB5519" w:rsidRDefault="005F584F"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5F584F" w:rsidRPr="00BB5519" w:rsidRDefault="005F584F" w:rsidP="00080B33">
            <w:pPr>
              <w:pStyle w:val="TableText"/>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auto"/>
            <w:vAlign w:val="center"/>
          </w:tcPr>
          <w:p w:rsidR="005F584F" w:rsidRPr="00BB5519" w:rsidRDefault="005F584F" w:rsidP="004B3534">
            <w:pPr>
              <w:pStyle w:val="TableText"/>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ABF8F"/>
          </w:tcPr>
          <w:p w:rsidR="00CC19FC" w:rsidRPr="00BB5519" w:rsidRDefault="00CC19FC" w:rsidP="005B6712">
            <w:pPr>
              <w:pStyle w:val="Heading3"/>
              <w:spacing w:beforeLines="20" w:before="48" w:afterLines="20" w:after="48"/>
              <w:rPr>
                <w:rFonts w:ascii="Tahoma" w:hAnsi="Tahoma" w:cs="Tahoma"/>
                <w:b w:val="0"/>
                <w:sz w:val="14"/>
              </w:rPr>
            </w:pPr>
            <w:bookmarkStart w:id="101" w:name="_Toc336337886"/>
            <w:bookmarkStart w:id="102" w:name="_Toc354054583"/>
            <w:r w:rsidRPr="00BB5519">
              <w:rPr>
                <w:rFonts w:ascii="Tahoma" w:hAnsi="Tahoma" w:cs="Tahoma"/>
                <w:b w:val="0"/>
                <w:sz w:val="14"/>
              </w:rPr>
              <w:t>Visio</w:t>
            </w:r>
            <w:r w:rsidRPr="00621662">
              <w:rPr>
                <w:rFonts w:ascii="Tahoma" w:hAnsi="Tahoma" w:cs="Tahoma"/>
                <w:b w:val="0"/>
                <w:sz w:val="14"/>
                <w:vertAlign w:val="superscript"/>
              </w:rPr>
              <w:t>®</w:t>
            </w:r>
            <w:r w:rsidRPr="00BB5519">
              <w:rPr>
                <w:rFonts w:ascii="Tahoma" w:hAnsi="Tahoma" w:cs="Tahoma"/>
                <w:b w:val="0"/>
                <w:sz w:val="14"/>
              </w:rPr>
              <w:t xml:space="preserve"> 2013 Professional</w:t>
            </w:r>
            <w:bookmarkEnd w:id="101"/>
            <w:bookmarkEnd w:id="102"/>
            <w:r w:rsidR="009E4976" w:rsidRPr="00BB5519">
              <w:rPr>
                <w:rFonts w:ascii="Tahoma" w:hAnsi="Tahoma" w:cs="Tahoma"/>
                <w:b w:val="0"/>
                <w:sz w:val="14"/>
              </w:rPr>
              <w:t xml:space="preserve"> </w:t>
            </w:r>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rStyle w:val="EndnoteReference"/>
                <w:b w:val="0"/>
                <w:color w:val="0000FF"/>
                <w:sz w:val="13"/>
                <w:szCs w:val="13"/>
                <w:u w:val="single"/>
              </w:rPr>
            </w:pPr>
            <w:hyperlink w:anchor="_17_Visio_Professional" w:history="1">
              <w:r w:rsidR="00955428" w:rsidRPr="00041FEE">
                <w:rPr>
                  <w:rStyle w:val="Hyperlink"/>
                  <w:b/>
                  <w:sz w:val="13"/>
                  <w:szCs w:val="13"/>
                </w:rPr>
                <w:t>17</w:t>
              </w:r>
            </w:hyperlink>
          </w:p>
        </w:tc>
        <w:tc>
          <w:tcPr>
            <w:tcW w:w="461" w:type="dxa"/>
            <w:tcBorders>
              <w:bottom w:val="single" w:sz="4" w:space="0" w:color="auto"/>
            </w:tcBorders>
            <w:shd w:val="clear" w:color="auto" w:fill="FABF8F"/>
            <w:vAlign w:val="center"/>
          </w:tcPr>
          <w:p w:rsidR="00CC19FC" w:rsidRPr="00BB5519" w:rsidRDefault="00CC19FC" w:rsidP="004941B2">
            <w:pPr>
              <w:pStyle w:val="TableText"/>
              <w:spacing w:before="60" w:after="6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5</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4</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r w:rsidR="00CC19FC" w:rsidRPr="00BB5519" w:rsidTr="004B1599">
        <w:trPr>
          <w:cantSplit/>
          <w:trHeight w:val="145"/>
        </w:trPr>
        <w:tc>
          <w:tcPr>
            <w:tcW w:w="2585" w:type="dxa"/>
            <w:tcBorders>
              <w:bottom w:val="single" w:sz="4" w:space="0" w:color="auto"/>
            </w:tcBorders>
            <w:shd w:val="clear" w:color="auto" w:fill="auto"/>
          </w:tcPr>
          <w:p w:rsidR="00CC19FC" w:rsidRPr="00BB5519" w:rsidRDefault="00CC19FC" w:rsidP="005B6712">
            <w:pPr>
              <w:pStyle w:val="Heading3"/>
              <w:spacing w:beforeLines="20" w:before="48" w:afterLines="20" w:after="48"/>
              <w:rPr>
                <w:rFonts w:ascii="Tahoma" w:hAnsi="Tahoma" w:cs="Tahoma"/>
                <w:b w:val="0"/>
                <w:sz w:val="14"/>
              </w:rPr>
            </w:pPr>
            <w:bookmarkStart w:id="103" w:name="_Toc336337887"/>
            <w:bookmarkStart w:id="104" w:name="_Toc354054584"/>
            <w:r w:rsidRPr="00BB5519">
              <w:rPr>
                <w:rFonts w:ascii="Tahoma" w:hAnsi="Tahoma" w:cs="Tahoma"/>
                <w:b w:val="0"/>
                <w:sz w:val="14"/>
              </w:rPr>
              <w:t>Visio</w:t>
            </w:r>
            <w:r w:rsidRPr="00621662">
              <w:rPr>
                <w:rFonts w:ascii="Tahoma" w:hAnsi="Tahoma" w:cs="Tahoma"/>
                <w:b w:val="0"/>
                <w:sz w:val="14"/>
                <w:vertAlign w:val="superscript"/>
              </w:rPr>
              <w:t>®</w:t>
            </w:r>
            <w:r w:rsidRPr="00BB5519">
              <w:rPr>
                <w:rFonts w:ascii="Tahoma" w:hAnsi="Tahoma" w:cs="Tahoma"/>
                <w:b w:val="0"/>
                <w:sz w:val="14"/>
              </w:rPr>
              <w:t xml:space="preserve"> 2013 Standard</w:t>
            </w:r>
            <w:bookmarkEnd w:id="103"/>
            <w:bookmarkEnd w:id="104"/>
            <w:r w:rsidRPr="00BB5519">
              <w:rPr>
                <w:rFonts w:ascii="Tahoma" w:hAnsi="Tahoma" w:cs="Tahoma"/>
                <w:b w:val="0"/>
                <w:sz w:val="14"/>
              </w:rPr>
              <w:t xml:space="preserve"> </w:t>
            </w:r>
          </w:p>
        </w:tc>
        <w:tc>
          <w:tcPr>
            <w:tcW w:w="450" w:type="dxa"/>
            <w:tcBorders>
              <w:bottom w:val="single" w:sz="4" w:space="0" w:color="auto"/>
            </w:tcBorders>
            <w:shd w:val="clear" w:color="auto" w:fill="auto"/>
            <w:vAlign w:val="center"/>
          </w:tcPr>
          <w:p w:rsidR="00CC19FC" w:rsidRPr="00BB5519" w:rsidRDefault="00CC19FC" w:rsidP="00D353E6">
            <w:pPr>
              <w:pStyle w:val="TableText"/>
              <w:widowControl w:val="0"/>
              <w:rPr>
                <w:rStyle w:val="EndnoteReference"/>
                <w:color w:val="0000FF"/>
                <w:sz w:val="13"/>
                <w:szCs w:val="13"/>
                <w:u w:val="single"/>
              </w:rPr>
            </w:pPr>
          </w:p>
        </w:tc>
        <w:tc>
          <w:tcPr>
            <w:tcW w:w="461" w:type="dxa"/>
            <w:tcBorders>
              <w:bottom w:val="single" w:sz="4" w:space="0" w:color="auto"/>
            </w:tcBorders>
            <w:shd w:val="clear" w:color="auto" w:fill="auto"/>
            <w:vAlign w:val="center"/>
          </w:tcPr>
          <w:p w:rsidR="00CC19FC" w:rsidRPr="00BB5519" w:rsidRDefault="00CC19FC" w:rsidP="004941B2">
            <w:pPr>
              <w:pStyle w:val="TableText"/>
              <w:spacing w:before="60" w:after="6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r>
      <w:tr w:rsidR="00EF228F" w:rsidRPr="00BB5519" w:rsidTr="004B1599">
        <w:trPr>
          <w:cantSplit/>
          <w:trHeight w:val="145"/>
        </w:trPr>
        <w:tc>
          <w:tcPr>
            <w:tcW w:w="2585" w:type="dxa"/>
            <w:tcBorders>
              <w:bottom w:val="single" w:sz="4" w:space="0" w:color="auto"/>
            </w:tcBorders>
            <w:shd w:val="clear" w:color="auto" w:fill="FABF8F"/>
          </w:tcPr>
          <w:p w:rsidR="00CC19FC" w:rsidRPr="00BB5519" w:rsidRDefault="00C24CBE" w:rsidP="005B6712">
            <w:pPr>
              <w:pStyle w:val="ProductNames"/>
              <w:spacing w:beforeLines="20" w:before="48" w:afterLines="20" w:after="48"/>
              <w:rPr>
                <w:rFonts w:ascii="Tahoma" w:hAnsi="Tahoma" w:cs="Tahoma"/>
                <w:position w:val="0"/>
                <w:sz w:val="14"/>
              </w:rPr>
            </w:pPr>
            <w:bookmarkStart w:id="105" w:name="_Toc354054585"/>
            <w:r w:rsidRPr="00BB5519">
              <w:rPr>
                <w:rFonts w:ascii="Tahoma" w:hAnsi="Tahoma" w:cs="Tahoma"/>
                <w:position w:val="0"/>
                <w:sz w:val="14"/>
              </w:rPr>
              <w:t>Visio Pro für Office 365</w:t>
            </w:r>
            <w:bookmarkEnd w:id="105"/>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rStyle w:val="EndnoteReference"/>
                <w:rFonts w:cs="Tahoma"/>
                <w:b w:val="0"/>
                <w:color w:val="0000FF"/>
                <w:sz w:val="13"/>
                <w:szCs w:val="13"/>
                <w:u w:val="single"/>
              </w:rPr>
            </w:pPr>
            <w:hyperlink w:anchor="_18_Visio_Pro" w:history="1">
              <w:r w:rsidR="00B0065F" w:rsidRPr="00041FEE">
                <w:rPr>
                  <w:rStyle w:val="Hyperlink"/>
                  <w:rFonts w:cs="Tahoma"/>
                  <w:b/>
                  <w:sz w:val="13"/>
                  <w:szCs w:val="13"/>
                </w:rPr>
                <w:t>18</w:t>
              </w:r>
            </w:hyperlink>
          </w:p>
        </w:tc>
        <w:tc>
          <w:tcPr>
            <w:tcW w:w="461" w:type="dxa"/>
            <w:tcBorders>
              <w:bottom w:val="single" w:sz="4" w:space="0" w:color="auto"/>
            </w:tcBorders>
            <w:shd w:val="clear" w:color="auto" w:fill="FABF8F"/>
            <w:vAlign w:val="center"/>
          </w:tcPr>
          <w:p w:rsidR="00CC19FC" w:rsidRPr="00BB5519" w:rsidRDefault="00CC19FC" w:rsidP="004B3534">
            <w:pPr>
              <w:pStyle w:val="TableText"/>
              <w:spacing w:before="60" w:after="60"/>
              <w:rPr>
                <w:rFonts w:ascii="Tahoma" w:hAnsi="Tahoma" w:cs="Tahoma"/>
                <w:sz w:val="13"/>
              </w:rPr>
            </w:pPr>
            <w:r w:rsidRPr="00BB551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r w:rsidR="00CC19FC" w:rsidRPr="00BB5519" w:rsidTr="004B1599">
        <w:trPr>
          <w:cantSplit/>
          <w:trHeight w:val="145"/>
        </w:trPr>
        <w:tc>
          <w:tcPr>
            <w:tcW w:w="2585" w:type="dxa"/>
            <w:tcBorders>
              <w:bottom w:val="single" w:sz="4" w:space="0" w:color="auto"/>
            </w:tcBorders>
            <w:shd w:val="clear" w:color="auto" w:fill="auto"/>
            <w:vAlign w:val="center"/>
          </w:tcPr>
          <w:p w:rsidR="00CC19FC" w:rsidRPr="00BB5519" w:rsidRDefault="00CC19FC" w:rsidP="005B6712">
            <w:pPr>
              <w:pStyle w:val="ProductNames"/>
              <w:spacing w:beforeLines="20" w:before="48" w:afterLines="20" w:after="48"/>
              <w:rPr>
                <w:rFonts w:ascii="Tahoma" w:hAnsi="Tahoma" w:cs="Tahoma"/>
                <w:position w:val="0"/>
                <w:sz w:val="14"/>
                <w:lang w:val="it-IT"/>
              </w:rPr>
            </w:pPr>
            <w:bookmarkStart w:id="106" w:name="_Toc354054586"/>
            <w:r w:rsidRPr="00BB5519">
              <w:rPr>
                <w:rFonts w:ascii="Tahoma" w:hAnsi="Tahoma" w:cs="Tahoma"/>
                <w:position w:val="0"/>
                <w:sz w:val="14"/>
                <w:lang w:val="it-IT"/>
              </w:rPr>
              <w:t>Visio Pro für Office 365 A</w:t>
            </w:r>
            <w:bookmarkEnd w:id="106"/>
          </w:p>
        </w:tc>
        <w:tc>
          <w:tcPr>
            <w:tcW w:w="450" w:type="dxa"/>
            <w:tcBorders>
              <w:bottom w:val="single" w:sz="4" w:space="0" w:color="auto"/>
            </w:tcBorders>
            <w:shd w:val="clear" w:color="auto" w:fill="auto"/>
            <w:vAlign w:val="center"/>
          </w:tcPr>
          <w:p w:rsidR="00CC19FC" w:rsidRPr="00BB5519" w:rsidRDefault="00CC19FC" w:rsidP="008A7B14">
            <w:pPr>
              <w:pStyle w:val="TableText"/>
              <w:widowControl w:val="0"/>
              <w:rPr>
                <w:rStyle w:val="EndnoteReference"/>
                <w:rFonts w:cs="Tahoma"/>
                <w:color w:val="0000FF"/>
                <w:sz w:val="13"/>
                <w:szCs w:val="13"/>
                <w:u w:val="single"/>
                <w:lang w:val="it-IT"/>
              </w:rPr>
            </w:pPr>
          </w:p>
        </w:tc>
        <w:tc>
          <w:tcPr>
            <w:tcW w:w="461" w:type="dxa"/>
            <w:tcBorders>
              <w:bottom w:val="single" w:sz="4" w:space="0" w:color="auto"/>
            </w:tcBorders>
            <w:shd w:val="clear" w:color="auto" w:fill="auto"/>
            <w:vAlign w:val="center"/>
          </w:tcPr>
          <w:p w:rsidR="00CC19FC" w:rsidRPr="00BB5519" w:rsidRDefault="00CC19FC" w:rsidP="004B3534">
            <w:pPr>
              <w:pStyle w:val="TableText"/>
              <w:spacing w:before="60" w:after="60"/>
              <w:rPr>
                <w:rFonts w:ascii="Tahoma" w:hAnsi="Tahoma" w:cs="Tahoma"/>
                <w:sz w:val="13"/>
              </w:rPr>
            </w:pPr>
            <w:r w:rsidRPr="00BB551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490" w:type="dxa"/>
            <w:tcBorders>
              <w:left w:val="single" w:sz="18" w:space="0" w:color="auto"/>
              <w:bottom w:val="single" w:sz="4" w:space="0" w:color="auto"/>
            </w:tcBorders>
            <w:shd w:val="clear" w:color="auto" w:fill="auto"/>
            <w:vAlign w:val="center"/>
          </w:tcPr>
          <w:p w:rsidR="00CC19FC" w:rsidRPr="00BB5519" w:rsidRDefault="00C24CBE" w:rsidP="004B3534">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573BA8" w:rsidP="00080B33">
            <w:pPr>
              <w:pStyle w:val="TableText"/>
              <w:rPr>
                <w:rFonts w:ascii="Tahoma" w:hAnsi="Tahoma" w:cs="Tahoma"/>
                <w:sz w:val="13"/>
              </w:rPr>
            </w:pPr>
            <w:r w:rsidRPr="00BB5519">
              <w:rPr>
                <w:rFonts w:ascii="Tahoma" w:hAnsi="Tahoma" w:cs="Tahoma"/>
                <w:sz w:val="13"/>
              </w:rPr>
              <w:t>A, ST (nur EES)</w:t>
            </w:r>
          </w:p>
        </w:tc>
        <w:tc>
          <w:tcPr>
            <w:tcW w:w="514"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r>
      <w:tr w:rsidR="00EF228F" w:rsidRPr="00BB5519" w:rsidTr="008D44F7">
        <w:trPr>
          <w:cantSplit/>
          <w:trHeight w:val="145"/>
        </w:trPr>
        <w:tc>
          <w:tcPr>
            <w:tcW w:w="2585" w:type="dxa"/>
            <w:tcBorders>
              <w:bottom w:val="single" w:sz="4" w:space="0" w:color="auto"/>
            </w:tcBorders>
            <w:shd w:val="clear" w:color="auto" w:fill="FABF8F"/>
            <w:vAlign w:val="center"/>
          </w:tcPr>
          <w:p w:rsidR="00CC19FC" w:rsidRPr="00BB5519" w:rsidRDefault="00CC19FC" w:rsidP="008A44CC">
            <w:pPr>
              <w:pStyle w:val="ProductNames"/>
              <w:spacing w:beforeLines="20" w:before="48" w:afterLines="20" w:after="48"/>
              <w:rPr>
                <w:rFonts w:ascii="Tahoma" w:hAnsi="Tahoma" w:cs="Tahoma"/>
                <w:position w:val="0"/>
                <w:sz w:val="14"/>
              </w:rPr>
            </w:pPr>
            <w:bookmarkStart w:id="107" w:name="_Toc336337889"/>
            <w:bookmarkStart w:id="108" w:name="_Toc354054587"/>
            <w:r w:rsidRPr="00BB5519">
              <w:rPr>
                <w:rFonts w:ascii="Tahoma" w:hAnsi="Tahoma" w:cs="Tahoma"/>
                <w:position w:val="0"/>
                <w:sz w:val="14"/>
              </w:rPr>
              <w:t>Visual Studio</w:t>
            </w:r>
            <w:r w:rsidRPr="00621662">
              <w:rPr>
                <w:rFonts w:ascii="Tahoma" w:hAnsi="Tahoma" w:cs="Tahoma"/>
                <w:position w:val="0"/>
                <w:sz w:val="14"/>
                <w:vertAlign w:val="superscript"/>
              </w:rPr>
              <w:t>®</w:t>
            </w:r>
            <w:r w:rsidRPr="00BB5519">
              <w:rPr>
                <w:rFonts w:ascii="Tahoma" w:hAnsi="Tahoma" w:cs="Tahoma"/>
                <w:position w:val="0"/>
                <w:sz w:val="14"/>
              </w:rPr>
              <w:t xml:space="preserve"> Professional 2012</w:t>
            </w:r>
            <w:bookmarkEnd w:id="107"/>
            <w:bookmarkEnd w:id="108"/>
          </w:p>
        </w:tc>
        <w:tc>
          <w:tcPr>
            <w:tcW w:w="450" w:type="dxa"/>
            <w:tcBorders>
              <w:bottom w:val="single" w:sz="4" w:space="0" w:color="auto"/>
            </w:tcBorders>
            <w:shd w:val="clear" w:color="auto" w:fill="FABF8F"/>
            <w:vAlign w:val="center"/>
          </w:tcPr>
          <w:p w:rsidR="00CC19FC" w:rsidRPr="00BB5519" w:rsidRDefault="005F5403" w:rsidP="008D44F7">
            <w:pPr>
              <w:pStyle w:val="TableText"/>
              <w:widowControl w:val="0"/>
              <w:rPr>
                <w:b/>
                <w:color w:val="0000FF"/>
                <w:sz w:val="13"/>
                <w:szCs w:val="13"/>
                <w:u w:val="single"/>
              </w:rPr>
            </w:pPr>
            <w:hyperlink w:anchor="_19_Visual_Studio" w:history="1">
              <w:r w:rsidR="00955428" w:rsidRPr="00041FEE">
                <w:rPr>
                  <w:rStyle w:val="Hyperlink"/>
                  <w:b/>
                  <w:sz w:val="13"/>
                  <w:szCs w:val="13"/>
                </w:rPr>
                <w:t>19</w:t>
              </w:r>
            </w:hyperlink>
          </w:p>
        </w:tc>
        <w:tc>
          <w:tcPr>
            <w:tcW w:w="461" w:type="dxa"/>
            <w:tcBorders>
              <w:bottom w:val="single" w:sz="4" w:space="0" w:color="auto"/>
            </w:tcBorders>
            <w:shd w:val="clear" w:color="auto" w:fill="FABF8F"/>
            <w:vAlign w:val="center"/>
          </w:tcPr>
          <w:p w:rsidR="00CC19FC" w:rsidRPr="00BB5519" w:rsidRDefault="00CC19FC" w:rsidP="008D44F7">
            <w:pPr>
              <w:pStyle w:val="TableText"/>
              <w:spacing w:before="60" w:after="60"/>
              <w:rPr>
                <w:rFonts w:ascii="Tahoma" w:hAnsi="Tahoma" w:cs="Tahoma"/>
                <w:sz w:val="13"/>
              </w:rPr>
            </w:pPr>
            <w:r w:rsidRPr="00BB5519">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8D44F7">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BB5519" w:rsidRDefault="00CC19FC" w:rsidP="00FB5956">
            <w:pPr>
              <w:pStyle w:val="TableText"/>
              <w:spacing w:after="4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BB5519" w:rsidRDefault="00CC19FC" w:rsidP="008D44F7">
            <w:pPr>
              <w:pStyle w:val="TableText"/>
              <w:spacing w:after="120"/>
              <w:rPr>
                <w:rFonts w:ascii="Tahoma" w:hAnsi="Tahoma" w:cs="Tahoma"/>
                <w:sz w:val="13"/>
              </w:rPr>
            </w:pPr>
          </w:p>
        </w:tc>
        <w:tc>
          <w:tcPr>
            <w:tcW w:w="490" w:type="dxa"/>
            <w:tcBorders>
              <w:left w:val="single" w:sz="18" w:space="0" w:color="auto"/>
              <w:bottom w:val="single" w:sz="4" w:space="0" w:color="auto"/>
            </w:tcBorders>
            <w:shd w:val="clear" w:color="auto" w:fill="FABF8F"/>
            <w:vAlign w:val="center"/>
          </w:tcPr>
          <w:p w:rsidR="00CC19FC" w:rsidRPr="00BB5519" w:rsidRDefault="00CC19FC" w:rsidP="008D44F7">
            <w:pPr>
              <w:pStyle w:val="TableText"/>
              <w:spacing w:before="120" w:after="120"/>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8D44F7">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8D44F7">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8D44F7">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8D44F7">
            <w:pPr>
              <w:pStyle w:val="TableText"/>
              <w:rPr>
                <w:rFonts w:ascii="Tahoma" w:hAnsi="Tahoma" w:cs="Tahoma"/>
                <w:sz w:val="13"/>
              </w:rPr>
            </w:pPr>
          </w:p>
        </w:tc>
      </w:tr>
      <w:tr w:rsidR="00B33D0E" w:rsidRPr="00BB5519" w:rsidTr="004B1599">
        <w:trPr>
          <w:cantSplit/>
          <w:trHeight w:val="145"/>
        </w:trPr>
        <w:tc>
          <w:tcPr>
            <w:tcW w:w="2585" w:type="dxa"/>
            <w:tcBorders>
              <w:bottom w:val="single" w:sz="4" w:space="0" w:color="auto"/>
            </w:tcBorders>
            <w:shd w:val="clear" w:color="auto" w:fill="auto"/>
          </w:tcPr>
          <w:p w:rsidR="00CC19FC" w:rsidRPr="00BB5519" w:rsidRDefault="00CC19FC" w:rsidP="005B6712">
            <w:pPr>
              <w:pStyle w:val="ProductNames"/>
              <w:spacing w:beforeLines="20" w:before="48" w:afterLines="20" w:after="48"/>
              <w:rPr>
                <w:rFonts w:ascii="Tahoma" w:hAnsi="Tahoma" w:cs="Tahoma"/>
                <w:position w:val="0"/>
                <w:sz w:val="14"/>
              </w:rPr>
            </w:pPr>
            <w:bookmarkStart w:id="109" w:name="_Toc336337890"/>
            <w:bookmarkStart w:id="110" w:name="_Toc354054588"/>
            <w:r w:rsidRPr="00BB5519">
              <w:rPr>
                <w:rFonts w:ascii="Tahoma" w:hAnsi="Tahoma" w:cs="Tahoma"/>
                <w:position w:val="0"/>
                <w:sz w:val="14"/>
              </w:rPr>
              <w:t>Visual Studio</w:t>
            </w:r>
            <w:r w:rsidRPr="00621662">
              <w:rPr>
                <w:rFonts w:ascii="Tahoma" w:hAnsi="Tahoma" w:cs="Tahoma"/>
                <w:position w:val="0"/>
                <w:sz w:val="14"/>
                <w:vertAlign w:val="superscript"/>
              </w:rPr>
              <w:t>®</w:t>
            </w:r>
            <w:r w:rsidRPr="00BB5519">
              <w:rPr>
                <w:rFonts w:ascii="Tahoma" w:hAnsi="Tahoma" w:cs="Tahoma"/>
                <w:position w:val="0"/>
                <w:sz w:val="14"/>
              </w:rPr>
              <w:t xml:space="preserve"> Professional </w:t>
            </w:r>
            <w:r w:rsidR="002E6EC0">
              <w:rPr>
                <w:rFonts w:ascii="Tahoma" w:hAnsi="Tahoma" w:cs="Tahoma"/>
                <w:position w:val="0"/>
                <w:sz w:val="14"/>
              </w:rPr>
              <w:br/>
            </w:r>
            <w:r w:rsidRPr="00BB5519">
              <w:rPr>
                <w:rFonts w:ascii="Tahoma" w:hAnsi="Tahoma" w:cs="Tahoma"/>
                <w:position w:val="0"/>
                <w:sz w:val="14"/>
              </w:rPr>
              <w:t>2012 mit MSDN</w:t>
            </w:r>
            <w:bookmarkEnd w:id="109"/>
            <w:bookmarkEnd w:id="110"/>
            <w:r w:rsidRPr="00BB5519">
              <w:rPr>
                <w:rFonts w:ascii="Tahoma" w:hAnsi="Tahoma" w:cs="Tahoma"/>
                <w:position w:val="0"/>
                <w:sz w:val="14"/>
              </w:rPr>
              <w:t xml:space="preserve"> </w:t>
            </w:r>
          </w:p>
        </w:tc>
        <w:tc>
          <w:tcPr>
            <w:tcW w:w="450" w:type="dxa"/>
            <w:tcBorders>
              <w:bottom w:val="single" w:sz="4" w:space="0" w:color="auto"/>
            </w:tcBorders>
            <w:shd w:val="clear" w:color="auto" w:fill="auto"/>
            <w:vAlign w:val="center"/>
          </w:tcPr>
          <w:p w:rsidR="00CC19FC" w:rsidRPr="00BB5519" w:rsidRDefault="005F5403" w:rsidP="00B0065F">
            <w:pPr>
              <w:pStyle w:val="TableText"/>
              <w:widowControl w:val="0"/>
              <w:rPr>
                <w:rStyle w:val="EndnoteReference"/>
                <w:b w:val="0"/>
                <w:color w:val="0000FF"/>
                <w:sz w:val="13"/>
                <w:szCs w:val="13"/>
                <w:u w:val="single"/>
              </w:rPr>
            </w:pPr>
            <w:hyperlink w:anchor="_20_Visual_Studio" w:history="1">
              <w:r w:rsidR="00B0065F" w:rsidRPr="00041FEE">
                <w:rPr>
                  <w:rStyle w:val="Hyperlink"/>
                  <w:b/>
                  <w:sz w:val="13"/>
                  <w:szCs w:val="13"/>
                </w:rPr>
                <w:t>20</w:t>
              </w:r>
            </w:hyperlink>
            <w:hyperlink w:anchor="Aps_13VS2010ProfessionalMSDN" w:history="1"/>
          </w:p>
        </w:tc>
        <w:tc>
          <w:tcPr>
            <w:tcW w:w="461" w:type="dxa"/>
            <w:tcBorders>
              <w:bottom w:val="single" w:sz="4" w:space="0" w:color="auto"/>
            </w:tcBorders>
            <w:shd w:val="clear" w:color="auto" w:fill="auto"/>
            <w:vAlign w:val="center"/>
          </w:tcPr>
          <w:p w:rsidR="00CC19FC" w:rsidRPr="00BB5519" w:rsidRDefault="00CC19FC" w:rsidP="00A1729A">
            <w:pPr>
              <w:pStyle w:val="TableText"/>
              <w:spacing w:before="60" w:after="60"/>
              <w:rPr>
                <w:rFonts w:ascii="Tahoma" w:hAnsi="Tahoma" w:cs="Tahoma"/>
                <w:sz w:val="13"/>
              </w:rPr>
            </w:pPr>
            <w:r w:rsidRPr="00BB5519">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spacing w:after="120"/>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CC19FC" w:rsidRPr="00BB5519" w:rsidRDefault="00CC19FC" w:rsidP="00080B33">
            <w:pPr>
              <w:pStyle w:val="TableText"/>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auto"/>
            <w:vAlign w:val="center"/>
          </w:tcPr>
          <w:p w:rsidR="00CC19FC" w:rsidRPr="00BB5519" w:rsidRDefault="00CC19FC" w:rsidP="004B3534">
            <w:pPr>
              <w:pStyle w:val="TableText"/>
            </w:pPr>
            <w:r w:rsidRPr="00BB5519">
              <w:rPr>
                <w:rFonts w:ascii="Tahoma" w:hAnsi="Tahoma" w:cs="Tahoma"/>
                <w:sz w:val="13"/>
              </w:rPr>
              <w:t>OL/SA/</w:t>
            </w:r>
          </w:p>
          <w:p w:rsidR="00CC19FC" w:rsidRPr="00BB5519" w:rsidRDefault="00CC19FC" w:rsidP="004B3534">
            <w:pPr>
              <w:pStyle w:val="TableText"/>
              <w:rPr>
                <w:rFonts w:ascii="Tahoma" w:hAnsi="Tahoma" w:cs="Tahoma"/>
                <w:sz w:val="13"/>
              </w:rPr>
            </w:pPr>
            <w:r w:rsidRPr="00BB5519">
              <w:rPr>
                <w:rFonts w:ascii="Tahoma" w:hAnsi="Tahoma" w:cs="Tahoma"/>
                <w:sz w:val="13"/>
              </w:rPr>
              <w:t>OV</w:t>
            </w:r>
          </w:p>
        </w:tc>
      </w:tr>
      <w:tr w:rsidR="00EF228F" w:rsidRPr="00BB5519" w:rsidTr="004B1599">
        <w:trPr>
          <w:cantSplit/>
          <w:trHeight w:val="145"/>
        </w:trPr>
        <w:tc>
          <w:tcPr>
            <w:tcW w:w="2585" w:type="dxa"/>
            <w:tcBorders>
              <w:bottom w:val="single" w:sz="4" w:space="0" w:color="auto"/>
            </w:tcBorders>
            <w:shd w:val="clear" w:color="auto" w:fill="FABF8F"/>
          </w:tcPr>
          <w:p w:rsidR="00CC19FC" w:rsidRPr="00BB5519" w:rsidRDefault="00CC19FC" w:rsidP="005B6712">
            <w:pPr>
              <w:pStyle w:val="Heading2"/>
              <w:spacing w:beforeLines="20" w:before="48" w:afterLines="20" w:after="48"/>
              <w:ind w:left="0"/>
              <w:rPr>
                <w:rFonts w:ascii="Tahoma" w:hAnsi="Tahoma" w:cs="Tahoma"/>
                <w:b w:val="0"/>
                <w:sz w:val="14"/>
              </w:rPr>
            </w:pPr>
            <w:bookmarkStart w:id="111" w:name="_Toc336337891"/>
            <w:bookmarkStart w:id="112" w:name="_Toc354054589"/>
            <w:r w:rsidRPr="00BB5519">
              <w:rPr>
                <w:rFonts w:ascii="Tahoma" w:hAnsi="Tahoma" w:cs="Tahoma"/>
                <w:b w:val="0"/>
                <w:sz w:val="14"/>
              </w:rPr>
              <w:t>Visual Studio</w:t>
            </w:r>
            <w:r w:rsidRPr="00621662">
              <w:rPr>
                <w:rFonts w:ascii="Tahoma" w:hAnsi="Tahoma" w:cs="Tahoma"/>
                <w:sz w:val="14"/>
                <w:vertAlign w:val="superscript"/>
              </w:rPr>
              <w:t>®</w:t>
            </w:r>
            <w:r w:rsidRPr="00BB5519">
              <w:rPr>
                <w:rFonts w:ascii="Tahoma" w:hAnsi="Tahoma" w:cs="Tahoma"/>
                <w:b w:val="0"/>
                <w:sz w:val="14"/>
              </w:rPr>
              <w:t xml:space="preserve"> Premium 2012 mit MSDN</w:t>
            </w:r>
            <w:bookmarkEnd w:id="111"/>
            <w:bookmarkEnd w:id="112"/>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b/>
                <w:sz w:val="13"/>
                <w:szCs w:val="13"/>
                <w:u w:val="single"/>
              </w:rPr>
            </w:pPr>
            <w:hyperlink w:anchor="_21_Visual_Studio" w:history="1">
              <w:r w:rsidR="00955428" w:rsidRPr="00041FEE">
                <w:rPr>
                  <w:rStyle w:val="Hyperlink"/>
                  <w:b/>
                  <w:sz w:val="13"/>
                  <w:szCs w:val="13"/>
                </w:rPr>
                <w:t>21</w:t>
              </w:r>
            </w:hyperlink>
          </w:p>
        </w:tc>
        <w:tc>
          <w:tcPr>
            <w:tcW w:w="461" w:type="dxa"/>
            <w:tcBorders>
              <w:bottom w:val="single" w:sz="4" w:space="0" w:color="auto"/>
            </w:tcBorders>
            <w:shd w:val="clear" w:color="auto" w:fill="FABF8F"/>
            <w:vAlign w:val="center"/>
          </w:tcPr>
          <w:p w:rsidR="00CC19FC" w:rsidRPr="00BB5519" w:rsidRDefault="00CC19FC" w:rsidP="000C622E">
            <w:pPr>
              <w:pStyle w:val="TableText"/>
              <w:spacing w:before="60" w:after="60"/>
              <w:rPr>
                <w:rFonts w:ascii="Tahoma" w:hAnsi="Tahoma" w:cs="Tahoma"/>
                <w:sz w:val="13"/>
              </w:rPr>
            </w:pPr>
            <w:r w:rsidRPr="00BB5519">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0C622E">
            <w:pPr>
              <w:pStyle w:val="TableText"/>
              <w:spacing w:after="120"/>
              <w:rPr>
                <w:rFonts w:ascii="Tahoma" w:hAnsi="Tahoma" w:cs="Tahoma"/>
                <w:sz w:val="13"/>
              </w:rPr>
            </w:pPr>
            <w:r w:rsidRPr="00BB5519">
              <w:rPr>
                <w:rFonts w:ascii="Tahoma" w:hAnsi="Tahoma" w:cs="Tahoma"/>
                <w:sz w:val="13"/>
              </w:rPr>
              <w:t>38</w:t>
            </w:r>
          </w:p>
        </w:tc>
        <w:tc>
          <w:tcPr>
            <w:tcW w:w="429" w:type="dxa"/>
            <w:tcBorders>
              <w:bottom w:val="single" w:sz="4" w:space="0" w:color="auto"/>
            </w:tcBorders>
            <w:shd w:val="clear" w:color="auto" w:fill="FABF8F"/>
            <w:vAlign w:val="center"/>
          </w:tcPr>
          <w:p w:rsidR="00CC19FC" w:rsidRPr="00BB5519" w:rsidRDefault="00CC19FC" w:rsidP="000C622E">
            <w:pPr>
              <w:pStyle w:val="TableText"/>
              <w:spacing w:after="120"/>
              <w:rPr>
                <w:rFonts w:ascii="Tahoma" w:hAnsi="Tahoma" w:cs="Tahoma"/>
                <w:sz w:val="13"/>
              </w:rPr>
            </w:pPr>
            <w:r w:rsidRPr="00BB5519">
              <w:rPr>
                <w:rFonts w:ascii="Tahoma" w:hAnsi="Tahoma" w:cs="Tahoma"/>
                <w:sz w:val="13"/>
              </w:rPr>
              <w:t>30</w:t>
            </w:r>
          </w:p>
        </w:tc>
        <w:tc>
          <w:tcPr>
            <w:tcW w:w="429" w:type="dxa"/>
            <w:tcBorders>
              <w:bottom w:val="single" w:sz="4" w:space="0" w:color="auto"/>
            </w:tcBorders>
            <w:shd w:val="clear" w:color="auto" w:fill="FABF8F"/>
            <w:vAlign w:val="center"/>
          </w:tcPr>
          <w:p w:rsidR="00CC19FC" w:rsidRPr="00BB5519" w:rsidRDefault="00CC19FC" w:rsidP="000C622E">
            <w:pPr>
              <w:pStyle w:val="TableText"/>
              <w:spacing w:after="120"/>
              <w:rPr>
                <w:rFonts w:ascii="Tahoma" w:hAnsi="Tahoma" w:cs="Tahoma"/>
                <w:sz w:val="13"/>
              </w:rPr>
            </w:pPr>
            <w:r w:rsidRPr="00BB5519">
              <w:rPr>
                <w:rFonts w:ascii="Tahoma" w:hAnsi="Tahoma" w:cs="Tahoma"/>
                <w:sz w:val="13"/>
              </w:rPr>
              <w:t>23</w:t>
            </w:r>
          </w:p>
        </w:tc>
        <w:tc>
          <w:tcPr>
            <w:tcW w:w="429" w:type="dxa"/>
            <w:tcBorders>
              <w:bottom w:val="single" w:sz="4" w:space="0" w:color="auto"/>
            </w:tcBorders>
            <w:shd w:val="clear" w:color="auto" w:fill="FABF8F"/>
            <w:vAlign w:val="center"/>
          </w:tcPr>
          <w:p w:rsidR="00CC19FC" w:rsidRPr="00BB5519" w:rsidRDefault="00CC19FC" w:rsidP="000C622E">
            <w:pPr>
              <w:pStyle w:val="TableText"/>
              <w:spacing w:after="120"/>
              <w:rPr>
                <w:rFonts w:ascii="Tahoma" w:hAnsi="Tahoma" w:cs="Tahoma"/>
                <w:sz w:val="13"/>
              </w:rPr>
            </w:pPr>
            <w:r w:rsidRPr="00BB5519">
              <w:rPr>
                <w:rFonts w:ascii="Tahoma" w:hAnsi="Tahoma" w:cs="Tahoma"/>
                <w:sz w:val="13"/>
              </w:rPr>
              <w:t>23</w:t>
            </w:r>
          </w:p>
        </w:tc>
        <w:tc>
          <w:tcPr>
            <w:tcW w:w="429" w:type="dxa"/>
            <w:tcBorders>
              <w:bottom w:val="single" w:sz="4" w:space="0" w:color="auto"/>
            </w:tcBorders>
            <w:shd w:val="clear" w:color="auto" w:fill="FABF8F"/>
            <w:vAlign w:val="center"/>
          </w:tcPr>
          <w:p w:rsidR="00CC19FC" w:rsidRPr="00BB5519" w:rsidRDefault="00CC19FC" w:rsidP="000C622E">
            <w:pPr>
              <w:pStyle w:val="TableText"/>
              <w:spacing w:after="120"/>
              <w:rPr>
                <w:rFonts w:ascii="Tahoma" w:hAnsi="Tahoma" w:cs="Tahoma"/>
                <w:sz w:val="13"/>
              </w:rPr>
            </w:pPr>
            <w:r w:rsidRPr="00BB5519">
              <w:rPr>
                <w:rFonts w:ascii="Tahoma"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BB5519" w:rsidRDefault="00CC19FC" w:rsidP="000C622E">
            <w:pPr>
              <w:pStyle w:val="TableText"/>
              <w:spacing w:after="120"/>
              <w:rPr>
                <w:rFonts w:ascii="Tahoma" w:hAnsi="Tahoma" w:cs="Tahoma"/>
                <w:sz w:val="13"/>
              </w:rPr>
            </w:pPr>
            <w:r w:rsidRPr="00BB5519">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0C622E">
            <w:pPr>
              <w:pStyle w:val="TableText"/>
              <w:spacing w:after="120"/>
              <w:rPr>
                <w:rFonts w:ascii="Tahoma" w:hAnsi="Tahoma" w:cs="Tahoma"/>
                <w:sz w:val="13"/>
              </w:rPr>
            </w:pPr>
            <w:r w:rsidRPr="00BB5519">
              <w:rPr>
                <w:rFonts w:ascii="Tahoma" w:hAnsi="Tahoma" w:cs="Tahoma"/>
                <w:sz w:val="13"/>
              </w:rPr>
              <w:t>30</w:t>
            </w:r>
          </w:p>
        </w:tc>
        <w:tc>
          <w:tcPr>
            <w:tcW w:w="429" w:type="dxa"/>
            <w:tcBorders>
              <w:bottom w:val="single" w:sz="4" w:space="0" w:color="auto"/>
              <w:right w:val="single" w:sz="18" w:space="0" w:color="auto"/>
            </w:tcBorders>
            <w:shd w:val="clear" w:color="auto" w:fill="FABF8F"/>
            <w:vAlign w:val="center"/>
          </w:tcPr>
          <w:p w:rsidR="00CC19FC" w:rsidRPr="00BB5519" w:rsidRDefault="00CC19FC" w:rsidP="000C622E">
            <w:pPr>
              <w:pStyle w:val="TableText"/>
              <w:spacing w:after="120"/>
              <w:rPr>
                <w:rFonts w:ascii="Tahoma" w:hAnsi="Tahoma" w:cs="Tahoma"/>
                <w:sz w:val="13"/>
              </w:rPr>
            </w:pPr>
            <w:r w:rsidRPr="00BB5519">
              <w:rPr>
                <w:rFonts w:ascii="Tahoma" w:hAnsi="Tahoma" w:cs="Tahoma"/>
                <w:sz w:val="13"/>
              </w:rPr>
              <w:t>15</w:t>
            </w:r>
          </w:p>
        </w:tc>
        <w:tc>
          <w:tcPr>
            <w:tcW w:w="490" w:type="dxa"/>
            <w:tcBorders>
              <w:left w:val="single" w:sz="18" w:space="0" w:color="auto"/>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FABF8F"/>
            <w:vAlign w:val="center"/>
          </w:tcPr>
          <w:p w:rsidR="00CC19FC" w:rsidRPr="00BB5519" w:rsidRDefault="00CC19FC" w:rsidP="00036150">
            <w:pPr>
              <w:pStyle w:val="TableText"/>
            </w:pPr>
            <w:r w:rsidRPr="00BB5519">
              <w:rPr>
                <w:rFonts w:ascii="Tahoma" w:hAnsi="Tahoma" w:cs="Tahoma"/>
                <w:sz w:val="13"/>
              </w:rPr>
              <w:t>OL/SA/</w:t>
            </w:r>
          </w:p>
          <w:p w:rsidR="00CC19FC" w:rsidRPr="00BB5519" w:rsidRDefault="00CC19FC" w:rsidP="00036150">
            <w:pPr>
              <w:pStyle w:val="TableText"/>
              <w:rPr>
                <w:rFonts w:ascii="Tahoma" w:hAnsi="Tahoma" w:cs="Tahoma"/>
                <w:sz w:val="13"/>
              </w:rPr>
            </w:pPr>
            <w:r w:rsidRPr="00BB5519">
              <w:rPr>
                <w:rFonts w:ascii="Tahoma" w:hAnsi="Tahoma" w:cs="Tahoma"/>
                <w:sz w:val="13"/>
              </w:rPr>
              <w:t>OV</w:t>
            </w:r>
          </w:p>
        </w:tc>
      </w:tr>
      <w:tr w:rsidR="00B33D0E" w:rsidRPr="00BB5519" w:rsidTr="004B1599">
        <w:trPr>
          <w:cantSplit/>
          <w:trHeight w:val="145"/>
        </w:trPr>
        <w:tc>
          <w:tcPr>
            <w:tcW w:w="2585" w:type="dxa"/>
            <w:tcBorders>
              <w:bottom w:val="single" w:sz="4" w:space="0" w:color="auto"/>
            </w:tcBorders>
            <w:shd w:val="clear" w:color="auto" w:fill="auto"/>
          </w:tcPr>
          <w:p w:rsidR="00CC19FC" w:rsidRPr="00BB5519" w:rsidRDefault="00CC19FC" w:rsidP="005B6712">
            <w:pPr>
              <w:pStyle w:val="Heading2"/>
              <w:spacing w:beforeLines="20" w:before="48" w:afterLines="20" w:after="48"/>
              <w:ind w:left="0"/>
              <w:rPr>
                <w:rFonts w:ascii="Tahoma" w:hAnsi="Tahoma" w:cs="Tahoma"/>
                <w:b w:val="0"/>
                <w:sz w:val="14"/>
              </w:rPr>
            </w:pPr>
            <w:bookmarkStart w:id="113" w:name="_Toc336337892"/>
            <w:bookmarkStart w:id="114" w:name="_Toc354054590"/>
            <w:r w:rsidRPr="00BB5519">
              <w:rPr>
                <w:rFonts w:ascii="Tahoma" w:hAnsi="Tahoma" w:cs="Tahoma"/>
                <w:b w:val="0"/>
                <w:sz w:val="14"/>
              </w:rPr>
              <w:t>Visual Studio</w:t>
            </w:r>
            <w:r w:rsidRPr="00621662">
              <w:rPr>
                <w:rFonts w:ascii="Tahoma" w:hAnsi="Tahoma" w:cs="Tahoma"/>
                <w:sz w:val="14"/>
                <w:vertAlign w:val="superscript"/>
              </w:rPr>
              <w:t>®</w:t>
            </w:r>
            <w:r w:rsidRPr="00BB5519">
              <w:rPr>
                <w:rFonts w:ascii="Tahoma" w:hAnsi="Tahoma" w:cs="Tahoma"/>
                <w:b w:val="0"/>
                <w:sz w:val="14"/>
              </w:rPr>
              <w:t xml:space="preserve"> Ultimate 2012 mit MSDN</w:t>
            </w:r>
            <w:bookmarkEnd w:id="113"/>
            <w:bookmarkEnd w:id="114"/>
          </w:p>
        </w:tc>
        <w:tc>
          <w:tcPr>
            <w:tcW w:w="450" w:type="dxa"/>
            <w:tcBorders>
              <w:bottom w:val="single" w:sz="4" w:space="0" w:color="auto"/>
            </w:tcBorders>
            <w:shd w:val="clear" w:color="auto" w:fill="auto"/>
            <w:vAlign w:val="center"/>
          </w:tcPr>
          <w:p w:rsidR="00CC19FC" w:rsidRPr="00BB5519" w:rsidRDefault="005F5403" w:rsidP="00B0065F">
            <w:pPr>
              <w:pStyle w:val="TableText"/>
              <w:widowControl w:val="0"/>
              <w:rPr>
                <w:b/>
                <w:sz w:val="13"/>
                <w:szCs w:val="13"/>
                <w:u w:val="single"/>
              </w:rPr>
            </w:pPr>
            <w:hyperlink w:anchor="_22_Visual_Studio" w:history="1">
              <w:r w:rsidR="00955428" w:rsidRPr="00041FEE">
                <w:rPr>
                  <w:rStyle w:val="Hyperlink"/>
                  <w:b/>
                  <w:sz w:val="13"/>
                  <w:szCs w:val="13"/>
                </w:rPr>
                <w:t>22</w:t>
              </w:r>
            </w:hyperlink>
          </w:p>
        </w:tc>
        <w:tc>
          <w:tcPr>
            <w:tcW w:w="461" w:type="dxa"/>
            <w:tcBorders>
              <w:bottom w:val="single" w:sz="4" w:space="0" w:color="auto"/>
            </w:tcBorders>
            <w:shd w:val="clear" w:color="auto" w:fill="auto"/>
            <w:vAlign w:val="center"/>
          </w:tcPr>
          <w:p w:rsidR="00CC19FC" w:rsidRPr="00BB5519" w:rsidRDefault="00CC19FC" w:rsidP="00E46F60">
            <w:pPr>
              <w:pStyle w:val="TableText"/>
              <w:spacing w:before="60" w:after="60"/>
              <w:rPr>
                <w:rFonts w:ascii="Tahoma" w:hAnsi="Tahoma" w:cs="Tahoma"/>
                <w:sz w:val="13"/>
              </w:rPr>
            </w:pPr>
            <w:r w:rsidRPr="00BB5519">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83</w:t>
            </w:r>
          </w:p>
        </w:tc>
        <w:tc>
          <w:tcPr>
            <w:tcW w:w="429" w:type="dxa"/>
            <w:tcBorders>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66</w:t>
            </w:r>
          </w:p>
        </w:tc>
        <w:tc>
          <w:tcPr>
            <w:tcW w:w="429" w:type="dxa"/>
            <w:tcBorders>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50</w:t>
            </w:r>
          </w:p>
        </w:tc>
        <w:tc>
          <w:tcPr>
            <w:tcW w:w="429" w:type="dxa"/>
            <w:tcBorders>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50</w:t>
            </w:r>
          </w:p>
        </w:tc>
        <w:tc>
          <w:tcPr>
            <w:tcW w:w="429" w:type="dxa"/>
            <w:tcBorders>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66</w:t>
            </w:r>
          </w:p>
        </w:tc>
        <w:tc>
          <w:tcPr>
            <w:tcW w:w="429" w:type="dxa"/>
            <w:tcBorders>
              <w:bottom w:val="single" w:sz="4" w:space="0" w:color="auto"/>
              <w:right w:val="single" w:sz="18"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33</w:t>
            </w:r>
          </w:p>
        </w:tc>
        <w:tc>
          <w:tcPr>
            <w:tcW w:w="490" w:type="dxa"/>
            <w:tcBorders>
              <w:left w:val="single" w:sz="18" w:space="0" w:color="auto"/>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auto"/>
            <w:vAlign w:val="center"/>
          </w:tcPr>
          <w:p w:rsidR="00CC19FC" w:rsidRPr="00BB5519" w:rsidRDefault="00CC19FC" w:rsidP="0070485B">
            <w:pPr>
              <w:pStyle w:val="TableText"/>
            </w:pPr>
            <w:r w:rsidRPr="00BB5519">
              <w:rPr>
                <w:rFonts w:ascii="Tahoma" w:hAnsi="Tahoma" w:cs="Tahoma"/>
                <w:sz w:val="13"/>
              </w:rPr>
              <w:t>OL/SA/</w:t>
            </w:r>
          </w:p>
          <w:p w:rsidR="00CC19FC" w:rsidRPr="00BB5519" w:rsidRDefault="00CC19FC" w:rsidP="0070485B">
            <w:pPr>
              <w:pStyle w:val="TableText"/>
              <w:rPr>
                <w:rFonts w:ascii="Tahoma" w:hAnsi="Tahoma" w:cs="Tahoma"/>
                <w:sz w:val="13"/>
              </w:rPr>
            </w:pPr>
            <w:r w:rsidRPr="00BB5519">
              <w:rPr>
                <w:rFonts w:ascii="Tahoma" w:hAnsi="Tahoma" w:cs="Tahoma"/>
                <w:sz w:val="13"/>
              </w:rPr>
              <w:t>OV</w:t>
            </w:r>
          </w:p>
        </w:tc>
      </w:tr>
      <w:tr w:rsidR="00EF228F" w:rsidRPr="00BB5519" w:rsidTr="004B1599">
        <w:trPr>
          <w:cantSplit/>
          <w:trHeight w:val="145"/>
        </w:trPr>
        <w:tc>
          <w:tcPr>
            <w:tcW w:w="2585" w:type="dxa"/>
            <w:tcBorders>
              <w:bottom w:val="single" w:sz="4" w:space="0" w:color="auto"/>
            </w:tcBorders>
            <w:shd w:val="clear" w:color="auto" w:fill="FABF8F"/>
          </w:tcPr>
          <w:p w:rsidR="00CC19FC" w:rsidRPr="00BB5519" w:rsidRDefault="00CC19FC" w:rsidP="005B6712">
            <w:pPr>
              <w:pStyle w:val="Heading2"/>
              <w:spacing w:beforeLines="20" w:before="48" w:afterLines="20" w:after="48"/>
              <w:ind w:left="0"/>
              <w:rPr>
                <w:rFonts w:ascii="Tahoma" w:hAnsi="Tahoma" w:cs="Tahoma"/>
                <w:b w:val="0"/>
                <w:sz w:val="14"/>
              </w:rPr>
            </w:pPr>
            <w:bookmarkStart w:id="115" w:name="_Toc336337893"/>
            <w:bookmarkStart w:id="116" w:name="_Toc354054591"/>
            <w:r w:rsidRPr="00BB5519">
              <w:rPr>
                <w:rFonts w:ascii="Tahoma" w:hAnsi="Tahoma" w:cs="Tahoma"/>
                <w:b w:val="0"/>
                <w:sz w:val="14"/>
              </w:rPr>
              <w:t>Visual Studio</w:t>
            </w:r>
            <w:r w:rsidRPr="00621662">
              <w:rPr>
                <w:rFonts w:ascii="Tahoma" w:hAnsi="Tahoma" w:cs="Tahoma"/>
                <w:sz w:val="14"/>
                <w:vertAlign w:val="superscript"/>
              </w:rPr>
              <w:t>®</w:t>
            </w:r>
            <w:r w:rsidRPr="00BB5519">
              <w:rPr>
                <w:rFonts w:ascii="Tahoma" w:hAnsi="Tahoma" w:cs="Tahoma"/>
                <w:b w:val="0"/>
                <w:sz w:val="14"/>
              </w:rPr>
              <w:t xml:space="preserve"> Test Professional 2012 mit MSDN</w:t>
            </w:r>
            <w:bookmarkEnd w:id="115"/>
            <w:bookmarkEnd w:id="116"/>
          </w:p>
        </w:tc>
        <w:tc>
          <w:tcPr>
            <w:tcW w:w="450" w:type="dxa"/>
            <w:tcBorders>
              <w:bottom w:val="single" w:sz="4" w:space="0" w:color="auto"/>
            </w:tcBorders>
            <w:shd w:val="clear" w:color="auto" w:fill="FABF8F"/>
            <w:vAlign w:val="center"/>
          </w:tcPr>
          <w:p w:rsidR="00CC19FC" w:rsidRPr="00BB5519" w:rsidRDefault="005F5403" w:rsidP="00B0065F">
            <w:pPr>
              <w:pStyle w:val="TableText"/>
              <w:widowControl w:val="0"/>
              <w:rPr>
                <w:b/>
                <w:sz w:val="13"/>
                <w:szCs w:val="13"/>
                <w:u w:val="single"/>
              </w:rPr>
            </w:pPr>
            <w:hyperlink w:anchor="_23_Visual_Studio" w:history="1">
              <w:r w:rsidR="00955428" w:rsidRPr="00041FEE">
                <w:rPr>
                  <w:rStyle w:val="Hyperlink"/>
                  <w:b/>
                  <w:sz w:val="13"/>
                  <w:szCs w:val="13"/>
                </w:rPr>
                <w:t>23</w:t>
              </w:r>
            </w:hyperlink>
          </w:p>
        </w:tc>
        <w:tc>
          <w:tcPr>
            <w:tcW w:w="461" w:type="dxa"/>
            <w:tcBorders>
              <w:bottom w:val="single" w:sz="4" w:space="0" w:color="auto"/>
            </w:tcBorders>
            <w:shd w:val="clear" w:color="auto" w:fill="FABF8F"/>
            <w:vAlign w:val="center"/>
          </w:tcPr>
          <w:p w:rsidR="00CC19FC" w:rsidRPr="00BB5519" w:rsidRDefault="00CC19FC" w:rsidP="00E46F60">
            <w:pPr>
              <w:pStyle w:val="TableText"/>
              <w:spacing w:before="60" w:after="60"/>
              <w:rPr>
                <w:rFonts w:ascii="Tahoma" w:hAnsi="Tahoma" w:cs="Tahoma"/>
                <w:sz w:val="13"/>
              </w:rPr>
            </w:pPr>
            <w:r w:rsidRPr="00BB5519">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15</w:t>
            </w:r>
          </w:p>
        </w:tc>
        <w:tc>
          <w:tcPr>
            <w:tcW w:w="429" w:type="dxa"/>
            <w:tcBorders>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12</w:t>
            </w:r>
          </w:p>
        </w:tc>
        <w:tc>
          <w:tcPr>
            <w:tcW w:w="429" w:type="dxa"/>
            <w:tcBorders>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9</w:t>
            </w:r>
          </w:p>
        </w:tc>
        <w:tc>
          <w:tcPr>
            <w:tcW w:w="429" w:type="dxa"/>
            <w:tcBorders>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9</w:t>
            </w:r>
          </w:p>
        </w:tc>
        <w:tc>
          <w:tcPr>
            <w:tcW w:w="429" w:type="dxa"/>
            <w:tcBorders>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6</w:t>
            </w:r>
          </w:p>
        </w:tc>
        <w:tc>
          <w:tcPr>
            <w:tcW w:w="490" w:type="dxa"/>
            <w:tcBorders>
              <w:left w:val="single" w:sz="18" w:space="0" w:color="auto"/>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1</w:t>
            </w:r>
          </w:p>
        </w:tc>
        <w:tc>
          <w:tcPr>
            <w:tcW w:w="368" w:type="dxa"/>
            <w:tcBorders>
              <w:bottom w:val="single" w:sz="4" w:space="0" w:color="auto"/>
              <w:right w:val="single" w:sz="18"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70485B">
            <w:pPr>
              <w:pStyle w:val="TableText"/>
              <w:rPr>
                <w:rFonts w:ascii="Tahoma" w:hAnsi="Tahoma" w:cs="Tahoma"/>
                <w:sz w:val="13"/>
              </w:rPr>
            </w:pPr>
            <w:r w:rsidRPr="00BB5519">
              <w:rPr>
                <w:rFonts w:ascii="Tahoma" w:hAnsi="Tahoma" w:cs="Tahoma"/>
                <w:sz w:val="13"/>
              </w:rPr>
              <w:t>A</w:t>
            </w:r>
          </w:p>
        </w:tc>
        <w:tc>
          <w:tcPr>
            <w:tcW w:w="514" w:type="dxa"/>
            <w:tcBorders>
              <w:bottom w:val="single" w:sz="4" w:space="0" w:color="auto"/>
            </w:tcBorders>
            <w:shd w:val="clear" w:color="auto" w:fill="FABF8F"/>
            <w:vAlign w:val="center"/>
          </w:tcPr>
          <w:p w:rsidR="00CC19FC" w:rsidRPr="00BB5519" w:rsidRDefault="00CC19FC" w:rsidP="0070485B">
            <w:pPr>
              <w:pStyle w:val="TableText"/>
            </w:pPr>
            <w:r w:rsidRPr="00BB5519">
              <w:rPr>
                <w:rFonts w:ascii="Tahoma" w:hAnsi="Tahoma" w:cs="Tahoma"/>
                <w:sz w:val="13"/>
              </w:rPr>
              <w:t>OL/SA/</w:t>
            </w:r>
          </w:p>
          <w:p w:rsidR="00CC19FC" w:rsidRPr="00BB5519" w:rsidRDefault="00CC19FC" w:rsidP="0070485B">
            <w:pPr>
              <w:pStyle w:val="TableText"/>
              <w:rPr>
                <w:rFonts w:ascii="Tahoma" w:hAnsi="Tahoma" w:cs="Tahoma"/>
                <w:sz w:val="13"/>
              </w:rPr>
            </w:pPr>
            <w:r w:rsidRPr="00BB5519">
              <w:rPr>
                <w:rFonts w:ascii="Tahoma" w:hAnsi="Tahoma" w:cs="Tahoma"/>
                <w:sz w:val="13"/>
              </w:rPr>
              <w:t>OV</w:t>
            </w:r>
          </w:p>
        </w:tc>
      </w:tr>
      <w:tr w:rsidR="00B33D0E" w:rsidRPr="00BB5519" w:rsidTr="00FB5956">
        <w:trPr>
          <w:cantSplit/>
          <w:trHeight w:val="70"/>
        </w:trPr>
        <w:tc>
          <w:tcPr>
            <w:tcW w:w="2585" w:type="dxa"/>
            <w:tcBorders>
              <w:bottom w:val="single" w:sz="4" w:space="0" w:color="auto"/>
            </w:tcBorders>
            <w:shd w:val="clear" w:color="auto" w:fill="auto"/>
          </w:tcPr>
          <w:p w:rsidR="00CC19FC" w:rsidRPr="00BB5519" w:rsidRDefault="00CC19FC" w:rsidP="005B6712">
            <w:pPr>
              <w:pStyle w:val="Heading2"/>
              <w:spacing w:beforeLines="20" w:before="48" w:afterLines="20" w:after="48"/>
              <w:ind w:left="0"/>
              <w:rPr>
                <w:rFonts w:ascii="Tahoma" w:hAnsi="Tahoma" w:cs="Tahoma"/>
                <w:b w:val="0"/>
                <w:sz w:val="14"/>
              </w:rPr>
            </w:pPr>
            <w:bookmarkStart w:id="117" w:name="_Toc336337894"/>
            <w:bookmarkStart w:id="118" w:name="_Toc354054592"/>
            <w:r w:rsidRPr="00BB5519">
              <w:rPr>
                <w:rFonts w:ascii="Tahoma" w:hAnsi="Tahoma" w:cs="Tahoma"/>
                <w:b w:val="0"/>
                <w:sz w:val="14"/>
              </w:rPr>
              <w:t xml:space="preserve">Word </w:t>
            </w:r>
            <w:bookmarkEnd w:id="117"/>
            <w:r w:rsidRPr="00BB5519">
              <w:rPr>
                <w:rFonts w:ascii="Tahoma" w:hAnsi="Tahoma" w:cs="Tahoma"/>
                <w:b w:val="0"/>
                <w:sz w:val="14"/>
              </w:rPr>
              <w:t>2013</w:t>
            </w:r>
            <w:bookmarkEnd w:id="118"/>
          </w:p>
        </w:tc>
        <w:tc>
          <w:tcPr>
            <w:tcW w:w="450" w:type="dxa"/>
            <w:tcBorders>
              <w:bottom w:val="single" w:sz="4" w:space="0" w:color="auto"/>
            </w:tcBorders>
            <w:shd w:val="clear" w:color="auto" w:fill="auto"/>
            <w:vAlign w:val="center"/>
          </w:tcPr>
          <w:p w:rsidR="00CC19FC" w:rsidRPr="00BB5519" w:rsidRDefault="00CC19FC" w:rsidP="00F62B9E">
            <w:pPr>
              <w:pStyle w:val="TableText"/>
              <w:widowControl w:val="0"/>
              <w:rPr>
                <w:rStyle w:val="EndnoteReference"/>
                <w:color w:val="0000FF"/>
                <w:sz w:val="13"/>
                <w:szCs w:val="13"/>
                <w:u w:val="single"/>
              </w:rPr>
            </w:pPr>
          </w:p>
        </w:tc>
        <w:tc>
          <w:tcPr>
            <w:tcW w:w="461" w:type="dxa"/>
            <w:tcBorders>
              <w:bottom w:val="single" w:sz="4" w:space="0" w:color="auto"/>
            </w:tcBorders>
            <w:shd w:val="clear" w:color="auto" w:fill="auto"/>
            <w:vAlign w:val="center"/>
          </w:tcPr>
          <w:p w:rsidR="00CC19FC" w:rsidRPr="00BB5519" w:rsidRDefault="00CC19FC" w:rsidP="004941B2">
            <w:pPr>
              <w:pStyle w:val="TableText"/>
              <w:spacing w:before="60" w:after="60"/>
              <w:rPr>
                <w:rFonts w:ascii="Tahoma" w:hAnsi="Tahoma" w:cs="Tahoma"/>
                <w:sz w:val="13"/>
              </w:rPr>
            </w:pPr>
            <w:r w:rsidRPr="00BB551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auto"/>
            <w:vAlign w:val="bottom"/>
          </w:tcPr>
          <w:p w:rsidR="00CC19FC" w:rsidRPr="00FB5956" w:rsidRDefault="00FB5956" w:rsidP="00FB5956">
            <w:pPr>
              <w:pStyle w:val="TableText"/>
              <w:spacing w:after="60"/>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auto"/>
            <w:vAlign w:val="center"/>
          </w:tcPr>
          <w:p w:rsidR="00CC19FC" w:rsidRPr="00BB5519" w:rsidRDefault="00CC19FC" w:rsidP="00FB5956">
            <w:pPr>
              <w:pStyle w:val="TableText"/>
              <w:rPr>
                <w:rFonts w:ascii="Tahoma" w:hAnsi="Tahoma" w:cs="Tahoma"/>
                <w:sz w:val="13"/>
              </w:rPr>
            </w:pPr>
          </w:p>
        </w:tc>
        <w:tc>
          <w:tcPr>
            <w:tcW w:w="368" w:type="dxa"/>
            <w:tcBorders>
              <w:bottom w:val="single" w:sz="4" w:space="0" w:color="auto"/>
              <w:right w:val="single" w:sz="18" w:space="0" w:color="auto"/>
            </w:tcBorders>
            <w:shd w:val="clear" w:color="auto" w:fill="auto"/>
            <w:vAlign w:val="center"/>
          </w:tcPr>
          <w:p w:rsidR="00CC19FC" w:rsidRPr="00BB5519" w:rsidRDefault="00CC19FC" w:rsidP="00FB5956">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auto"/>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BB5519" w:rsidRDefault="00CC19FC" w:rsidP="004B3534">
            <w:pPr>
              <w:pStyle w:val="TableText"/>
              <w:rPr>
                <w:rFonts w:ascii="Tahoma" w:hAnsi="Tahoma" w:cs="Tahoma"/>
                <w:sz w:val="13"/>
              </w:rPr>
            </w:pPr>
          </w:p>
        </w:tc>
      </w:tr>
      <w:tr w:rsidR="00EF228F" w:rsidRPr="00BB5519" w:rsidTr="00FB5956">
        <w:trPr>
          <w:cantSplit/>
          <w:trHeight w:val="323"/>
        </w:trPr>
        <w:tc>
          <w:tcPr>
            <w:tcW w:w="2585" w:type="dxa"/>
            <w:tcBorders>
              <w:bottom w:val="single" w:sz="4" w:space="0" w:color="auto"/>
            </w:tcBorders>
            <w:shd w:val="clear" w:color="auto" w:fill="FABF8F"/>
          </w:tcPr>
          <w:p w:rsidR="00CC19FC" w:rsidRPr="00BB5519" w:rsidRDefault="00CC19FC" w:rsidP="005B6712">
            <w:pPr>
              <w:pStyle w:val="Heading2"/>
              <w:spacing w:beforeLines="20" w:before="48" w:afterLines="20" w:after="48"/>
              <w:ind w:left="0"/>
              <w:rPr>
                <w:rFonts w:ascii="Tahoma" w:hAnsi="Tahoma" w:cs="Tahoma"/>
                <w:b w:val="0"/>
                <w:sz w:val="14"/>
              </w:rPr>
            </w:pPr>
            <w:bookmarkStart w:id="119" w:name="_Toc336337895"/>
            <w:bookmarkStart w:id="120" w:name="_Toc354054593"/>
            <w:r w:rsidRPr="00BB5519">
              <w:rPr>
                <w:rFonts w:ascii="Tahoma" w:hAnsi="Tahoma" w:cs="Tahoma"/>
                <w:b w:val="0"/>
                <w:sz w:val="14"/>
              </w:rPr>
              <w:t>Word für Mac 2011</w:t>
            </w:r>
            <w:bookmarkEnd w:id="119"/>
            <w:bookmarkEnd w:id="120"/>
          </w:p>
        </w:tc>
        <w:tc>
          <w:tcPr>
            <w:tcW w:w="450" w:type="dxa"/>
            <w:tcBorders>
              <w:bottom w:val="single" w:sz="4" w:space="0" w:color="auto"/>
            </w:tcBorders>
            <w:shd w:val="clear" w:color="auto" w:fill="FABF8F"/>
            <w:vAlign w:val="center"/>
          </w:tcPr>
          <w:p w:rsidR="00CC19FC" w:rsidRPr="00BB5519" w:rsidRDefault="00CC19FC" w:rsidP="00F62B9E">
            <w:pPr>
              <w:pStyle w:val="TableText"/>
              <w:widowControl w:val="0"/>
              <w:rPr>
                <w:rStyle w:val="EndnoteReference"/>
                <w:rFonts w:ascii="Tahoma" w:hAnsi="Tahoma"/>
                <w:color w:val="0000FF"/>
                <w:sz w:val="14"/>
              </w:rPr>
            </w:pPr>
          </w:p>
        </w:tc>
        <w:tc>
          <w:tcPr>
            <w:tcW w:w="461" w:type="dxa"/>
            <w:tcBorders>
              <w:bottom w:val="single" w:sz="4" w:space="0" w:color="auto"/>
            </w:tcBorders>
            <w:shd w:val="clear" w:color="auto" w:fill="FABF8F"/>
            <w:vAlign w:val="center"/>
          </w:tcPr>
          <w:p w:rsidR="00CC19FC" w:rsidRPr="00BB5519" w:rsidRDefault="00CC19FC" w:rsidP="004B3534">
            <w:pPr>
              <w:pStyle w:val="TableText"/>
              <w:spacing w:before="60" w:after="60"/>
              <w:rPr>
                <w:rFonts w:ascii="Tahoma" w:hAnsi="Tahoma" w:cs="Tahoma"/>
                <w:sz w:val="13"/>
              </w:rPr>
            </w:pPr>
            <w:r w:rsidRPr="00BB551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BB5519" w:rsidRDefault="00CC19FC" w:rsidP="004B3534">
            <w:pPr>
              <w:pStyle w:val="TableText"/>
              <w:rPr>
                <w:rFonts w:ascii="Tahoma" w:hAnsi="Tahoma" w:cs="Tahoma"/>
                <w:sz w:val="13"/>
              </w:rPr>
            </w:pPr>
            <w:r w:rsidRPr="00BB5519">
              <w:rPr>
                <w:rFonts w:ascii="Tahoma" w:hAnsi="Tahoma" w:cs="Tahoma"/>
                <w:sz w:val="13"/>
              </w:rPr>
              <w:t>DT</w:t>
            </w:r>
          </w:p>
        </w:tc>
        <w:tc>
          <w:tcPr>
            <w:tcW w:w="429" w:type="dxa"/>
            <w:tcBorders>
              <w:left w:val="single" w:sz="18" w:space="0" w:color="auto"/>
              <w:bottom w:val="single" w:sz="4" w:space="0" w:color="auto"/>
            </w:tcBorders>
            <w:shd w:val="clear" w:color="auto" w:fill="FABF8F"/>
            <w:vAlign w:val="bottom"/>
          </w:tcPr>
          <w:p w:rsidR="00CC19FC" w:rsidRPr="00BB5519" w:rsidRDefault="00CC19FC" w:rsidP="00FB5956">
            <w:pPr>
              <w:pStyle w:val="TableText"/>
              <w:spacing w:after="120"/>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3</w:t>
            </w:r>
          </w:p>
        </w:tc>
        <w:tc>
          <w:tcPr>
            <w:tcW w:w="429" w:type="dxa"/>
            <w:tcBorders>
              <w:bottom w:val="single" w:sz="4"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1</w:t>
            </w:r>
          </w:p>
        </w:tc>
        <w:tc>
          <w:tcPr>
            <w:tcW w:w="429" w:type="dxa"/>
            <w:tcBorders>
              <w:bottom w:val="single" w:sz="4"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1</w:t>
            </w:r>
          </w:p>
        </w:tc>
        <w:tc>
          <w:tcPr>
            <w:tcW w:w="490" w:type="dxa"/>
            <w:tcBorders>
              <w:left w:val="single" w:sz="18" w:space="0" w:color="auto"/>
              <w:bottom w:val="single" w:sz="4" w:space="0" w:color="auto"/>
            </w:tcBorders>
            <w:shd w:val="clear" w:color="auto" w:fill="FABF8F"/>
            <w:vAlign w:val="center"/>
          </w:tcPr>
          <w:p w:rsidR="00CC19FC" w:rsidRPr="00BB5519" w:rsidRDefault="00CC19FC" w:rsidP="00FB5956">
            <w:pPr>
              <w:pStyle w:val="TableText"/>
              <w:rPr>
                <w:rFonts w:ascii="Tahoma" w:hAnsi="Tahoma" w:cs="Tahoma"/>
                <w:sz w:val="13"/>
              </w:rPr>
            </w:pPr>
          </w:p>
        </w:tc>
        <w:tc>
          <w:tcPr>
            <w:tcW w:w="368" w:type="dxa"/>
            <w:tcBorders>
              <w:bottom w:val="single" w:sz="4" w:space="0" w:color="auto"/>
              <w:right w:val="single" w:sz="18" w:space="0" w:color="auto"/>
            </w:tcBorders>
            <w:shd w:val="clear" w:color="auto" w:fill="FABF8F"/>
            <w:vAlign w:val="center"/>
          </w:tcPr>
          <w:p w:rsidR="00CC19FC" w:rsidRPr="00BB5519" w:rsidRDefault="00CC19FC" w:rsidP="00FB5956">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BB5519" w:rsidRDefault="00CC19FC" w:rsidP="00FB5956">
            <w:pPr>
              <w:pStyle w:val="TableText"/>
              <w:rPr>
                <w:rFonts w:ascii="Tahoma" w:hAnsi="Tahoma" w:cs="Tahoma"/>
                <w:sz w:val="13"/>
              </w:rPr>
            </w:pPr>
            <w:r w:rsidRPr="00BB5519">
              <w:rPr>
                <w:rFonts w:ascii="Tahoma" w:hAnsi="Tahoma" w:cs="Tahoma"/>
                <w:sz w:val="13"/>
              </w:rPr>
              <w:t>P</w:t>
            </w:r>
          </w:p>
        </w:tc>
        <w:tc>
          <w:tcPr>
            <w:tcW w:w="514" w:type="dxa"/>
            <w:tcBorders>
              <w:bottom w:val="single" w:sz="4" w:space="0" w:color="auto"/>
            </w:tcBorders>
            <w:shd w:val="clear" w:color="auto" w:fill="FABF8F"/>
            <w:vAlign w:val="center"/>
          </w:tcPr>
          <w:p w:rsidR="00CC19FC" w:rsidRPr="00BB551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BB5519" w:rsidRDefault="00CC19FC" w:rsidP="004B3534">
            <w:pPr>
              <w:pStyle w:val="TableText"/>
              <w:rPr>
                <w:rFonts w:ascii="Tahoma" w:hAnsi="Tahoma" w:cs="Tahoma"/>
                <w:sz w:val="13"/>
              </w:rPr>
            </w:pPr>
          </w:p>
        </w:tc>
      </w:tr>
    </w:tbl>
    <w:p w:rsidR="00023FE7" w:rsidRPr="00BB5519" w:rsidRDefault="00360586">
      <w:pPr>
        <w:pStyle w:val="Bodywithspace"/>
        <w:ind w:left="0"/>
      </w:pPr>
      <w:r>
        <w:rPr>
          <w:noProof/>
          <w:sz w:val="14"/>
        </w:rPr>
        <mc:AlternateContent>
          <mc:Choice Requires="wps">
            <w:drawing>
              <wp:anchor distT="0" distB="0" distL="114300" distR="114300" simplePos="0" relativeHeight="251653632" behindDoc="0" locked="0" layoutInCell="1" allowOverlap="1" wp14:anchorId="6D62740F" wp14:editId="750B4527">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10A2" w:rsidRPr="009E4976" w:rsidRDefault="006B10A2">
                            <w:pPr>
                              <w:rPr>
                                <w:rFonts w:cs="Tahoma"/>
                                <w:i/>
                                <w:color w:val="000000"/>
                                <w:sz w:val="14"/>
                                <w:szCs w:val="14"/>
                                <w:lang w:val="de-DE"/>
                              </w:rPr>
                            </w:pPr>
                            <w:r w:rsidRPr="009E4976">
                              <w:rPr>
                                <w:rFonts w:cs="Tahoma"/>
                                <w:i/>
                                <w:color w:val="000000"/>
                                <w:sz w:val="14"/>
                                <w:szCs w:val="14"/>
                                <w:lang w:val="de-DE"/>
                              </w:rPr>
                              <w:t>Anmerkung: Wenn die Zelle für das Produkt leer ist, wird das Produkt derzeit nicht im Rahmen des Programms angeboten.</w:t>
                            </w:r>
                          </w:p>
                          <w:p w:rsidR="006B10A2" w:rsidRPr="009E4976" w:rsidRDefault="006B10A2">
                            <w:pPr>
                              <w:rPr>
                                <w:rFonts w:cs="Tahoma"/>
                                <w:i/>
                                <w:color w:val="000000"/>
                                <w:sz w:val="14"/>
                                <w:szCs w:val="14"/>
                                <w:lang w:val="de-DE"/>
                              </w:rPr>
                            </w:pPr>
                            <w:r w:rsidRPr="009E4976">
                              <w:rPr>
                                <w:rFonts w:cs="Tahoma"/>
                                <w:i/>
                                <w:color w:val="000000"/>
                                <w:sz w:val="14"/>
                                <w:szCs w:val="14"/>
                                <w:lang w:val="de-DE"/>
                              </w:rPr>
                              <w:t>*Bei Select Plus werden nur die Werte „L“ und die Dreijahreswerte für „L&amp;SA“/„SA“ verwendet.</w:t>
                            </w:r>
                          </w:p>
                          <w:p w:rsidR="006B10A2" w:rsidRPr="009E4976" w:rsidRDefault="006B10A2">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62740F"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6B10A2" w:rsidRPr="009E4976" w:rsidRDefault="006B10A2">
                      <w:pPr>
                        <w:rPr>
                          <w:rFonts w:cs="Tahoma"/>
                          <w:i/>
                          <w:color w:val="000000"/>
                          <w:sz w:val="14"/>
                          <w:szCs w:val="14"/>
                          <w:lang w:val="de-DE"/>
                        </w:rPr>
                      </w:pPr>
                      <w:r w:rsidRPr="009E4976">
                        <w:rPr>
                          <w:rFonts w:cs="Tahoma"/>
                          <w:i/>
                          <w:color w:val="000000"/>
                          <w:sz w:val="14"/>
                          <w:szCs w:val="14"/>
                          <w:lang w:val="de-DE"/>
                        </w:rPr>
                        <w:t>Anmerkung: Wenn die Zelle für das Produkt leer ist, wird das Produkt derzeit nicht im Rahmen des Programms angeboten.</w:t>
                      </w:r>
                    </w:p>
                    <w:p w:rsidR="006B10A2" w:rsidRPr="009E4976" w:rsidRDefault="006B10A2">
                      <w:pPr>
                        <w:rPr>
                          <w:rFonts w:cs="Tahoma"/>
                          <w:i/>
                          <w:color w:val="000000"/>
                          <w:sz w:val="14"/>
                          <w:szCs w:val="14"/>
                          <w:lang w:val="de-DE"/>
                        </w:rPr>
                      </w:pPr>
                      <w:r w:rsidRPr="009E4976">
                        <w:rPr>
                          <w:rFonts w:cs="Tahoma"/>
                          <w:i/>
                          <w:color w:val="000000"/>
                          <w:sz w:val="14"/>
                          <w:szCs w:val="14"/>
                          <w:lang w:val="de-DE"/>
                        </w:rPr>
                        <w:t>*Bei Select Plus werden nur die Werte „L“ und die Dreijahreswerte für „L&amp;SA“/„SA“ verwendet.</w:t>
                      </w:r>
                    </w:p>
                    <w:p w:rsidR="006B10A2" w:rsidRPr="009E4976" w:rsidRDefault="006B10A2">
                      <w:pPr>
                        <w:rPr>
                          <w:lang w:val="de-DE"/>
                        </w:rPr>
                      </w:pPr>
                    </w:p>
                  </w:txbxContent>
                </v:textbox>
              </v:shape>
            </w:pict>
          </mc:Fallback>
        </mc:AlternateContent>
      </w:r>
    </w:p>
    <w:p w:rsidR="00023FE7" w:rsidRPr="00BB5519" w:rsidRDefault="00023FE7">
      <w:pPr>
        <w:pStyle w:val="ProductPool"/>
      </w:pPr>
    </w:p>
    <w:p w:rsidR="00023FE7" w:rsidRPr="00BB5519" w:rsidRDefault="00023FE7" w:rsidP="003248A5">
      <w:pPr>
        <w:pStyle w:val="Heading3"/>
        <w:keepNext/>
        <w:keepLines/>
      </w:pPr>
      <w:bookmarkStart w:id="121" w:name="_Toc336337896"/>
      <w:bookmarkStart w:id="122" w:name="_Toc354054594"/>
      <w:r w:rsidRPr="00BB5519">
        <w:rPr>
          <w:rFonts w:ascii="Tahoma" w:hAnsi="Tahoma" w:cs="Tahoma"/>
          <w:sz w:val="22"/>
        </w:rPr>
        <w:lastRenderedPageBreak/>
        <w:t>SYSTEM-POOL</w:t>
      </w:r>
      <w:bookmarkEnd w:id="121"/>
      <w:bookmarkEnd w:id="122"/>
    </w:p>
    <w:p w:rsidR="00023FE7" w:rsidRPr="00BB5519" w:rsidRDefault="00023FE7" w:rsidP="003248A5">
      <w:pPr>
        <w:keepNext/>
        <w:keepLines/>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54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BB5519" w:rsidTr="004064E2">
        <w:trPr>
          <w:cantSplit/>
          <w:trHeight w:val="389"/>
          <w:tblHeader/>
        </w:trPr>
        <w:tc>
          <w:tcPr>
            <w:tcW w:w="2430" w:type="dxa"/>
            <w:vMerge w:val="restart"/>
            <w:tcBorders>
              <w:top w:val="single" w:sz="4" w:space="0" w:color="FFFFFF"/>
              <w:left w:val="single" w:sz="4" w:space="0" w:color="FFFFFF"/>
            </w:tcBorders>
          </w:tcPr>
          <w:p w:rsidR="00B27742" w:rsidRPr="00BB5519" w:rsidRDefault="00360586" w:rsidP="003248A5">
            <w:pPr>
              <w:keepNext/>
              <w:keepLines/>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4C68E3FA" wp14:editId="6EFEBC91">
                      <wp:simplePos x="0" y="0"/>
                      <wp:positionH relativeFrom="column">
                        <wp:posOffset>1554480</wp:posOffset>
                      </wp:positionH>
                      <wp:positionV relativeFrom="paragraph">
                        <wp:posOffset>641985</wp:posOffset>
                      </wp:positionV>
                      <wp:extent cx="269240" cy="222885"/>
                      <wp:effectExtent l="1905" t="3810" r="0" b="1905"/>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240"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10A2" w:rsidRDefault="006B10A2" w:rsidP="000E22A2">
                                  <w:pPr>
                                    <w:jc w:val="center"/>
                                    <w:rPr>
                                      <w:color w:val="0000FF"/>
                                      <w:sz w:val="20"/>
                                    </w:rPr>
                                  </w:pPr>
                                  <w:r>
                                    <w:rPr>
                                      <w:rFonts w:cs="Tahoma"/>
                                      <w:b/>
                                      <w:color w:val="0000FF"/>
                                      <w:sz w:val="8"/>
                                    </w:rPr>
                                    <w:t>(Strg + Klick)</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68E3FA" id="Text Box 61" o:spid="_x0000_s1027" type="#_x0000_t202" style="position:absolute;margin-left:122.4pt;margin-top:50.55pt;width:21.2pt;height:17.5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" filled="f" stroked="f">
                      <v:textbox inset="0,,0">
                        <w:txbxContent>
                          <w:p w:rsidR="006B10A2" w:rsidRDefault="006B10A2" w:rsidP="000E22A2">
                            <w:pPr>
                              <w:jc w:val="center"/>
                              <w:rPr>
                                <w:color w:val="0000FF"/>
                                <w:sz w:val="20"/>
                              </w:rPr>
                            </w:pPr>
                            <w:r>
                              <w:rPr>
                                <w:rFonts w:cs="Tahoma"/>
                                <w:b/>
                                <w:color w:val="0000FF"/>
                                <w:sz w:val="8"/>
                              </w:rPr>
                              <w:t>(Strg + Klick)</w:t>
                            </w:r>
                          </w:p>
                        </w:txbxContent>
                      </v:textbox>
                    </v:shape>
                  </w:pict>
                </mc:Fallback>
              </mc:AlternateContent>
            </w:r>
          </w:p>
        </w:tc>
        <w:tc>
          <w:tcPr>
            <w:tcW w:w="540" w:type="dxa"/>
            <w:vMerge w:val="restart"/>
            <w:tcBorders>
              <w:top w:val="single" w:sz="12" w:space="0" w:color="auto"/>
            </w:tcBorders>
            <w:textDirection w:val="btLr"/>
            <w:vAlign w:val="center"/>
          </w:tcPr>
          <w:p w:rsidR="00B27742" w:rsidRPr="00BB5519" w:rsidRDefault="00B27742" w:rsidP="003248A5">
            <w:pPr>
              <w:pStyle w:val="TableVerticalText"/>
              <w:keepNext/>
              <w:keepLines/>
              <w:rPr>
                <w:rFonts w:ascii="Tahoma" w:hAnsi="Tahoma" w:cs="Tahoma"/>
                <w:sz w:val="9"/>
              </w:rPr>
            </w:pPr>
            <w:r w:rsidRPr="00BB5519">
              <w:rPr>
                <w:rFonts w:ascii="Tahoma" w:hAnsi="Tahoma" w:cs="Tahoma"/>
                <w:sz w:val="9"/>
              </w:rPr>
              <w:t>Produkthinweise</w:t>
            </w:r>
          </w:p>
        </w:tc>
        <w:tc>
          <w:tcPr>
            <w:tcW w:w="450" w:type="dxa"/>
            <w:vMerge w:val="restart"/>
            <w:tcBorders>
              <w:top w:val="single" w:sz="12" w:space="0" w:color="auto"/>
            </w:tcBorders>
            <w:textDirection w:val="btLr"/>
          </w:tcPr>
          <w:p w:rsidR="00B27742" w:rsidRPr="00BB5519" w:rsidRDefault="000A77E2" w:rsidP="000C4CE4">
            <w:pPr>
              <w:pStyle w:val="TableVerticalText"/>
              <w:keepNext/>
              <w:keepLines/>
              <w:spacing w:before="120"/>
              <w:rPr>
                <w:rFonts w:ascii="Tahoma" w:hAnsi="Tahoma" w:cs="Tahoma"/>
                <w:sz w:val="9"/>
              </w:rPr>
            </w:pPr>
            <w:r>
              <w:rPr>
                <w:rFonts w:ascii="Tahoma" w:hAnsi="Tahoma" w:cs="Tahoma"/>
                <w:sz w:val="9"/>
              </w:rPr>
              <w:t>Verfügbarkeitsdatu</w:t>
            </w:r>
          </w:p>
        </w:tc>
        <w:tc>
          <w:tcPr>
            <w:tcW w:w="360" w:type="dxa"/>
            <w:vMerge w:val="restart"/>
            <w:tcBorders>
              <w:top w:val="single" w:sz="12" w:space="0" w:color="auto"/>
              <w:right w:val="single" w:sz="18" w:space="0" w:color="auto"/>
            </w:tcBorders>
            <w:textDirection w:val="btLr"/>
            <w:vAlign w:val="center"/>
          </w:tcPr>
          <w:p w:rsidR="00B27742" w:rsidRPr="00BB5519" w:rsidRDefault="00B27742" w:rsidP="003248A5">
            <w:pPr>
              <w:pStyle w:val="TableVerticalText"/>
              <w:keepNext/>
              <w:keepLines/>
              <w:rPr>
                <w:rFonts w:ascii="Tahoma" w:hAnsi="Tahoma" w:cs="Tahoma"/>
                <w:sz w:val="9"/>
              </w:rPr>
            </w:pPr>
            <w:r w:rsidRPr="00BB5519">
              <w:rPr>
                <w:rFonts w:ascii="Tahoma" w:hAnsi="Tahoma" w:cs="Tahoma"/>
                <w:sz w:val="9"/>
              </w:rPr>
              <w:t>SAV</w:t>
            </w:r>
          </w:p>
        </w:tc>
        <w:tc>
          <w:tcPr>
            <w:tcW w:w="3060" w:type="dxa"/>
            <w:gridSpan w:val="7"/>
            <w:tcBorders>
              <w:top w:val="single" w:sz="12" w:space="0" w:color="auto"/>
              <w:left w:val="single" w:sz="18" w:space="0" w:color="auto"/>
              <w:right w:val="single" w:sz="18" w:space="0" w:color="auto"/>
            </w:tcBorders>
            <w:vAlign w:val="center"/>
          </w:tcPr>
          <w:p w:rsidR="00B27742" w:rsidRPr="00BB5519" w:rsidRDefault="00B27742" w:rsidP="003248A5">
            <w:pPr>
              <w:pStyle w:val="TableHeadingsBlack"/>
              <w:keepNext/>
              <w:keepLines/>
              <w:rPr>
                <w:rFonts w:ascii="Tahoma" w:hAnsi="Tahoma" w:cs="Tahoma"/>
                <w:sz w:val="9"/>
              </w:rPr>
            </w:pPr>
            <w:r w:rsidRPr="00BB5519">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BB5519" w:rsidRDefault="00B27742" w:rsidP="003248A5">
            <w:pPr>
              <w:pStyle w:val="TableHeadingsBlack"/>
              <w:keepNext/>
              <w:keepLines/>
              <w:rPr>
                <w:rFonts w:ascii="Tahoma" w:hAnsi="Tahoma" w:cs="Tahoma"/>
                <w:sz w:val="9"/>
              </w:rPr>
            </w:pPr>
            <w:r w:rsidRPr="00BB5519">
              <w:rPr>
                <w:rFonts w:ascii="Tahoma" w:hAnsi="Tahoma" w:cs="Tahoma"/>
                <w:sz w:val="9"/>
              </w:rPr>
              <w:t>Open-Lizenz</w:t>
            </w:r>
          </w:p>
        </w:tc>
        <w:tc>
          <w:tcPr>
            <w:tcW w:w="450" w:type="dxa"/>
            <w:vMerge w:val="restart"/>
            <w:tcBorders>
              <w:top w:val="single" w:sz="12" w:space="0" w:color="auto"/>
              <w:left w:val="single" w:sz="18" w:space="0" w:color="auto"/>
            </w:tcBorders>
            <w:textDirection w:val="btLr"/>
            <w:vAlign w:val="center"/>
          </w:tcPr>
          <w:p w:rsidR="00B27742" w:rsidRPr="00BB5519" w:rsidRDefault="00B27742" w:rsidP="003248A5">
            <w:pPr>
              <w:pStyle w:val="TableVerticalText"/>
              <w:keepNext/>
              <w:keepLines/>
              <w:rPr>
                <w:rFonts w:ascii="Tahoma" w:hAnsi="Tahoma" w:cs="Tahoma"/>
                <w:sz w:val="9"/>
              </w:rPr>
            </w:pPr>
            <w:r w:rsidRPr="00BB5519">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B27742" w:rsidRPr="00BB5519" w:rsidRDefault="00B27742" w:rsidP="000A77E2">
            <w:pPr>
              <w:pStyle w:val="TableVerticalText"/>
              <w:keepNext/>
              <w:keepLines/>
              <w:rPr>
                <w:rFonts w:ascii="Tahoma" w:hAnsi="Tahoma" w:cs="Tahoma"/>
                <w:sz w:val="9"/>
              </w:rPr>
            </w:pPr>
            <w:r w:rsidRPr="00BB5519">
              <w:rPr>
                <w:rFonts w:ascii="Tahoma" w:hAnsi="Tahoma" w:cs="Tahoma"/>
                <w:sz w:val="9"/>
              </w:rPr>
              <w:t>EA und EA Abo</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BB5519" w:rsidRDefault="00B27742" w:rsidP="003248A5">
            <w:pPr>
              <w:pStyle w:val="TableVerticalText"/>
              <w:keepNext/>
              <w:keepLines/>
              <w:rPr>
                <w:rFonts w:ascii="Tahoma" w:hAnsi="Tahoma" w:cs="Tahoma"/>
                <w:sz w:val="9"/>
              </w:rPr>
            </w:pPr>
            <w:r w:rsidRPr="00BB5519">
              <w:rPr>
                <w:rFonts w:ascii="Tahoma" w:hAnsi="Tahoma" w:cs="Tahoma"/>
                <w:sz w:val="9"/>
              </w:rPr>
              <w:t>OV/OVS</w:t>
            </w:r>
          </w:p>
        </w:tc>
        <w:tc>
          <w:tcPr>
            <w:tcW w:w="450" w:type="dxa"/>
            <w:vMerge w:val="restart"/>
            <w:tcBorders>
              <w:top w:val="single" w:sz="12" w:space="0" w:color="auto"/>
            </w:tcBorders>
            <w:textDirection w:val="btLr"/>
          </w:tcPr>
          <w:p w:rsidR="00B27742" w:rsidRPr="00BB5519" w:rsidRDefault="009E4976" w:rsidP="003248A5">
            <w:pPr>
              <w:pStyle w:val="TableVerticalText"/>
              <w:keepNext/>
              <w:keepLines/>
              <w:spacing w:before="120"/>
              <w:jc w:val="left"/>
              <w:rPr>
                <w:rFonts w:ascii="Tahoma" w:hAnsi="Tahoma" w:cs="Tahoma"/>
                <w:sz w:val="9"/>
              </w:rPr>
            </w:pPr>
            <w:r w:rsidRPr="00BB5519">
              <w:rPr>
                <w:rFonts w:ascii="Tahoma" w:hAnsi="Tahoma" w:cs="Tahoma"/>
                <w:sz w:val="9"/>
              </w:rPr>
              <w:t xml:space="preserve"> </w:t>
            </w:r>
            <w:r w:rsidR="00B0036E" w:rsidRPr="00BB5519">
              <w:rPr>
                <w:rFonts w:ascii="Tahoma" w:hAnsi="Tahoma" w:cs="Tahoma"/>
                <w:sz w:val="9"/>
              </w:rPr>
              <w:t>EES/OVS-ES</w:t>
            </w:r>
          </w:p>
        </w:tc>
        <w:tc>
          <w:tcPr>
            <w:tcW w:w="540" w:type="dxa"/>
            <w:vMerge w:val="restart"/>
            <w:tcBorders>
              <w:top w:val="single" w:sz="12" w:space="0" w:color="auto"/>
            </w:tcBorders>
            <w:textDirection w:val="btLr"/>
            <w:vAlign w:val="center"/>
          </w:tcPr>
          <w:p w:rsidR="00B27742" w:rsidRPr="00BB5519" w:rsidRDefault="00B27742" w:rsidP="003248A5">
            <w:pPr>
              <w:pStyle w:val="TableVerticalText"/>
              <w:keepNext/>
              <w:keepLines/>
              <w:rPr>
                <w:rFonts w:ascii="Tahoma" w:hAnsi="Tahoma" w:cs="Tahoma"/>
                <w:sz w:val="9"/>
              </w:rPr>
            </w:pPr>
            <w:r w:rsidRPr="00BB5519">
              <w:rPr>
                <w:rFonts w:ascii="Tahoma" w:hAnsi="Tahoma" w:cs="Tahoma"/>
                <w:sz w:val="9"/>
              </w:rPr>
              <w:t>Mindestmenge bei Open-Programmen</w:t>
            </w:r>
          </w:p>
        </w:tc>
      </w:tr>
      <w:tr w:rsidR="00CE5AB1" w:rsidRPr="00BB5519" w:rsidTr="004064E2">
        <w:trPr>
          <w:cantSplit/>
          <w:trHeight w:val="262"/>
          <w:tblHeader/>
        </w:trPr>
        <w:tc>
          <w:tcPr>
            <w:tcW w:w="2430" w:type="dxa"/>
            <w:vMerge/>
            <w:tcBorders>
              <w:left w:val="single" w:sz="4" w:space="0" w:color="FFFFFF"/>
            </w:tcBorders>
          </w:tcPr>
          <w:p w:rsidR="00B27742" w:rsidRPr="00BB5519" w:rsidRDefault="00B27742" w:rsidP="003248A5">
            <w:pPr>
              <w:keepNext/>
              <w:keepLines/>
              <w:rPr>
                <w:rFonts w:cs="Tahoma"/>
                <w:sz w:val="20"/>
              </w:rPr>
            </w:pPr>
          </w:p>
        </w:tc>
        <w:tc>
          <w:tcPr>
            <w:tcW w:w="540" w:type="dxa"/>
            <w:vMerge/>
          </w:tcPr>
          <w:p w:rsidR="00B27742" w:rsidRPr="00BB5519" w:rsidRDefault="00B27742" w:rsidP="003248A5">
            <w:pPr>
              <w:keepNext/>
              <w:keepLines/>
              <w:rPr>
                <w:rFonts w:cs="Tahoma"/>
                <w:b/>
                <w:sz w:val="20"/>
              </w:rPr>
            </w:pPr>
          </w:p>
        </w:tc>
        <w:tc>
          <w:tcPr>
            <w:tcW w:w="450" w:type="dxa"/>
            <w:vMerge/>
          </w:tcPr>
          <w:p w:rsidR="00B27742" w:rsidRPr="00BB5519" w:rsidRDefault="00B27742" w:rsidP="003248A5">
            <w:pPr>
              <w:keepNext/>
              <w:keepLines/>
              <w:rPr>
                <w:rFonts w:cs="Tahoma"/>
                <w:sz w:val="20"/>
              </w:rPr>
            </w:pPr>
          </w:p>
        </w:tc>
        <w:tc>
          <w:tcPr>
            <w:tcW w:w="360" w:type="dxa"/>
            <w:vMerge/>
            <w:tcBorders>
              <w:right w:val="single" w:sz="18" w:space="0" w:color="auto"/>
            </w:tcBorders>
          </w:tcPr>
          <w:p w:rsidR="00B27742" w:rsidRPr="00BB5519" w:rsidRDefault="00B27742" w:rsidP="003248A5">
            <w:pPr>
              <w:keepNext/>
              <w:keepLines/>
              <w:rPr>
                <w:rFonts w:cs="Tahoma"/>
                <w:sz w:val="20"/>
              </w:rPr>
            </w:pPr>
          </w:p>
        </w:tc>
        <w:tc>
          <w:tcPr>
            <w:tcW w:w="450" w:type="dxa"/>
            <w:vMerge w:val="restart"/>
            <w:tcBorders>
              <w:left w:val="single" w:sz="18" w:space="0" w:color="auto"/>
            </w:tcBorders>
            <w:vAlign w:val="center"/>
          </w:tcPr>
          <w:p w:rsidR="00B27742" w:rsidRPr="00BB5519" w:rsidRDefault="00B27742" w:rsidP="003248A5">
            <w:pPr>
              <w:pStyle w:val="TableHeadingsRed"/>
              <w:keepNext/>
              <w:keepLines/>
              <w:rPr>
                <w:rFonts w:ascii="Tahoma" w:hAnsi="Tahoma" w:cs="Tahoma"/>
                <w:sz w:val="9"/>
              </w:rPr>
            </w:pPr>
            <w:r w:rsidRPr="00BB5519">
              <w:rPr>
                <w:rFonts w:ascii="Tahoma" w:hAnsi="Tahoma" w:cs="Tahoma"/>
                <w:sz w:val="9"/>
              </w:rPr>
              <w:t>L</w:t>
            </w:r>
          </w:p>
        </w:tc>
        <w:tc>
          <w:tcPr>
            <w:tcW w:w="1350" w:type="dxa"/>
            <w:gridSpan w:val="3"/>
            <w:vAlign w:val="center"/>
          </w:tcPr>
          <w:p w:rsidR="00B27742" w:rsidRPr="00BB5519" w:rsidRDefault="00B27742" w:rsidP="003248A5">
            <w:pPr>
              <w:pStyle w:val="TableHeadingsGreen"/>
              <w:keepNext/>
              <w:keepLines/>
              <w:rPr>
                <w:rFonts w:ascii="Tahoma" w:hAnsi="Tahoma" w:cs="Tahoma"/>
                <w:sz w:val="9"/>
              </w:rPr>
            </w:pPr>
            <w:r w:rsidRPr="00BB5519">
              <w:rPr>
                <w:rFonts w:ascii="Tahoma" w:hAnsi="Tahoma" w:cs="Tahoma"/>
                <w:sz w:val="9"/>
              </w:rPr>
              <w:t>L&amp;SA</w:t>
            </w:r>
          </w:p>
        </w:tc>
        <w:tc>
          <w:tcPr>
            <w:tcW w:w="1260" w:type="dxa"/>
            <w:gridSpan w:val="3"/>
            <w:tcBorders>
              <w:right w:val="single" w:sz="18" w:space="0" w:color="auto"/>
            </w:tcBorders>
            <w:vAlign w:val="center"/>
          </w:tcPr>
          <w:p w:rsidR="00B27742" w:rsidRPr="00BB5519" w:rsidRDefault="00B27742" w:rsidP="003248A5">
            <w:pPr>
              <w:pStyle w:val="TableHeadingsBlue"/>
              <w:keepNext/>
              <w:keepLines/>
              <w:rPr>
                <w:rFonts w:ascii="Tahoma" w:hAnsi="Tahoma" w:cs="Tahoma"/>
                <w:sz w:val="9"/>
              </w:rPr>
            </w:pPr>
            <w:r w:rsidRPr="00BB5519">
              <w:rPr>
                <w:rFonts w:ascii="Tahoma" w:hAnsi="Tahoma" w:cs="Tahoma"/>
                <w:sz w:val="9"/>
              </w:rPr>
              <w:t>SA</w:t>
            </w:r>
          </w:p>
        </w:tc>
        <w:tc>
          <w:tcPr>
            <w:tcW w:w="450" w:type="dxa"/>
            <w:vMerge w:val="restart"/>
            <w:tcBorders>
              <w:left w:val="single" w:sz="18" w:space="0" w:color="auto"/>
            </w:tcBorders>
            <w:vAlign w:val="center"/>
          </w:tcPr>
          <w:p w:rsidR="00B27742" w:rsidRPr="00BB5519" w:rsidRDefault="00B27742" w:rsidP="003248A5">
            <w:pPr>
              <w:pStyle w:val="TableHeadingsRed"/>
              <w:keepNext/>
              <w:keepLines/>
              <w:rPr>
                <w:rFonts w:ascii="Tahoma" w:hAnsi="Tahoma" w:cs="Tahoma"/>
                <w:sz w:val="9"/>
              </w:rPr>
            </w:pPr>
            <w:r w:rsidRPr="00BB5519">
              <w:rPr>
                <w:rFonts w:ascii="Tahoma" w:hAnsi="Tahoma" w:cs="Tahoma"/>
                <w:sz w:val="9"/>
              </w:rPr>
              <w:t>L</w:t>
            </w:r>
          </w:p>
        </w:tc>
        <w:tc>
          <w:tcPr>
            <w:tcW w:w="450" w:type="dxa"/>
            <w:vAlign w:val="center"/>
          </w:tcPr>
          <w:p w:rsidR="00B27742" w:rsidRPr="00BB5519" w:rsidRDefault="00B27742" w:rsidP="003248A5">
            <w:pPr>
              <w:pStyle w:val="TableHeadingsGreen"/>
              <w:keepNext/>
              <w:keepLines/>
              <w:rPr>
                <w:rFonts w:ascii="Tahoma" w:hAnsi="Tahoma" w:cs="Tahoma"/>
                <w:sz w:val="9"/>
              </w:rPr>
            </w:pPr>
            <w:r w:rsidRPr="00BB5519">
              <w:rPr>
                <w:rFonts w:ascii="Tahoma" w:hAnsi="Tahoma" w:cs="Tahoma"/>
                <w:sz w:val="9"/>
              </w:rPr>
              <w:t>L&amp;SA</w:t>
            </w:r>
          </w:p>
        </w:tc>
        <w:tc>
          <w:tcPr>
            <w:tcW w:w="450" w:type="dxa"/>
            <w:vMerge w:val="restart"/>
            <w:tcBorders>
              <w:right w:val="single" w:sz="18" w:space="0" w:color="auto"/>
            </w:tcBorders>
            <w:vAlign w:val="center"/>
          </w:tcPr>
          <w:p w:rsidR="00B27742" w:rsidRPr="00BB5519" w:rsidRDefault="00B27742" w:rsidP="003248A5">
            <w:pPr>
              <w:pStyle w:val="TableHeadingsBlue"/>
              <w:keepNext/>
              <w:keepLines/>
              <w:rPr>
                <w:rFonts w:ascii="Tahoma" w:hAnsi="Tahoma" w:cs="Tahoma"/>
                <w:sz w:val="9"/>
              </w:rPr>
            </w:pPr>
            <w:r w:rsidRPr="00BB5519">
              <w:rPr>
                <w:rFonts w:ascii="Tahoma" w:hAnsi="Tahoma" w:cs="Tahoma"/>
                <w:sz w:val="9"/>
              </w:rPr>
              <w:t>SA</w:t>
            </w:r>
          </w:p>
        </w:tc>
        <w:tc>
          <w:tcPr>
            <w:tcW w:w="450" w:type="dxa"/>
            <w:vMerge/>
            <w:tcBorders>
              <w:left w:val="single" w:sz="18" w:space="0" w:color="auto"/>
            </w:tcBorders>
          </w:tcPr>
          <w:p w:rsidR="00B27742" w:rsidRPr="00BB5519" w:rsidRDefault="00B27742" w:rsidP="003248A5">
            <w:pPr>
              <w:keepNext/>
              <w:keepLines/>
              <w:rPr>
                <w:rFonts w:cs="Tahoma"/>
                <w:sz w:val="20"/>
              </w:rPr>
            </w:pPr>
          </w:p>
        </w:tc>
        <w:tc>
          <w:tcPr>
            <w:tcW w:w="450" w:type="dxa"/>
            <w:vMerge/>
            <w:tcBorders>
              <w:right w:val="single" w:sz="18" w:space="0" w:color="auto"/>
            </w:tcBorders>
          </w:tcPr>
          <w:p w:rsidR="00B27742" w:rsidRPr="00BB5519" w:rsidRDefault="00B27742" w:rsidP="003248A5">
            <w:pPr>
              <w:keepNext/>
              <w:keepLines/>
              <w:rPr>
                <w:rFonts w:cs="Tahoma"/>
                <w:sz w:val="20"/>
              </w:rPr>
            </w:pPr>
          </w:p>
        </w:tc>
        <w:tc>
          <w:tcPr>
            <w:tcW w:w="450" w:type="dxa"/>
            <w:vMerge/>
            <w:tcBorders>
              <w:left w:val="single" w:sz="18" w:space="0" w:color="auto"/>
              <w:right w:val="single" w:sz="18" w:space="0" w:color="auto"/>
            </w:tcBorders>
          </w:tcPr>
          <w:p w:rsidR="00B27742" w:rsidRPr="00BB5519" w:rsidRDefault="00B27742" w:rsidP="003248A5">
            <w:pPr>
              <w:keepNext/>
              <w:keepLines/>
              <w:rPr>
                <w:rFonts w:cs="Tahoma"/>
                <w:sz w:val="20"/>
              </w:rPr>
            </w:pPr>
          </w:p>
        </w:tc>
        <w:tc>
          <w:tcPr>
            <w:tcW w:w="450" w:type="dxa"/>
            <w:vMerge/>
          </w:tcPr>
          <w:p w:rsidR="00B27742" w:rsidRPr="00BB5519" w:rsidRDefault="00B27742" w:rsidP="003248A5">
            <w:pPr>
              <w:keepNext/>
              <w:keepLines/>
              <w:rPr>
                <w:rFonts w:cs="Tahoma"/>
                <w:sz w:val="20"/>
              </w:rPr>
            </w:pPr>
          </w:p>
        </w:tc>
        <w:tc>
          <w:tcPr>
            <w:tcW w:w="540" w:type="dxa"/>
            <w:vMerge/>
          </w:tcPr>
          <w:p w:rsidR="00B27742" w:rsidRPr="00BB5519" w:rsidRDefault="00B27742" w:rsidP="003248A5">
            <w:pPr>
              <w:keepNext/>
              <w:keepLines/>
              <w:rPr>
                <w:rFonts w:cs="Tahoma"/>
                <w:sz w:val="20"/>
              </w:rPr>
            </w:pPr>
          </w:p>
        </w:tc>
      </w:tr>
      <w:tr w:rsidR="00AF4B30" w:rsidRPr="00BB5519" w:rsidTr="004064E2">
        <w:trPr>
          <w:cantSplit/>
          <w:trHeight w:val="818"/>
          <w:tblHeader/>
        </w:trPr>
        <w:tc>
          <w:tcPr>
            <w:tcW w:w="2430" w:type="dxa"/>
            <w:vMerge/>
            <w:tcBorders>
              <w:left w:val="single" w:sz="4" w:space="0" w:color="FFFFFF"/>
              <w:bottom w:val="single" w:sz="4" w:space="0" w:color="auto"/>
            </w:tcBorders>
          </w:tcPr>
          <w:p w:rsidR="00B27742" w:rsidRPr="00BB5519" w:rsidRDefault="00B27742" w:rsidP="003248A5">
            <w:pPr>
              <w:keepNext/>
              <w:keepLines/>
              <w:rPr>
                <w:rFonts w:cs="Tahoma"/>
                <w:sz w:val="20"/>
              </w:rPr>
            </w:pPr>
          </w:p>
        </w:tc>
        <w:tc>
          <w:tcPr>
            <w:tcW w:w="540" w:type="dxa"/>
            <w:vMerge/>
            <w:tcBorders>
              <w:bottom w:val="single" w:sz="4" w:space="0" w:color="auto"/>
            </w:tcBorders>
          </w:tcPr>
          <w:p w:rsidR="00B27742" w:rsidRPr="00BB5519" w:rsidRDefault="00B27742" w:rsidP="003248A5">
            <w:pPr>
              <w:keepNext/>
              <w:keepLines/>
              <w:rPr>
                <w:rFonts w:cs="Tahoma"/>
                <w:b/>
                <w:sz w:val="20"/>
              </w:rPr>
            </w:pPr>
          </w:p>
        </w:tc>
        <w:tc>
          <w:tcPr>
            <w:tcW w:w="450" w:type="dxa"/>
            <w:vMerge/>
            <w:tcBorders>
              <w:bottom w:val="single" w:sz="4" w:space="0" w:color="auto"/>
            </w:tcBorders>
          </w:tcPr>
          <w:p w:rsidR="00B27742" w:rsidRPr="00BB5519" w:rsidRDefault="00B27742" w:rsidP="003248A5">
            <w:pPr>
              <w:keepNext/>
              <w:keepLines/>
              <w:rPr>
                <w:rFonts w:cs="Tahoma"/>
                <w:sz w:val="20"/>
              </w:rPr>
            </w:pPr>
          </w:p>
        </w:tc>
        <w:tc>
          <w:tcPr>
            <w:tcW w:w="360" w:type="dxa"/>
            <w:vMerge/>
            <w:tcBorders>
              <w:bottom w:val="single" w:sz="4" w:space="0" w:color="auto"/>
              <w:right w:val="single" w:sz="18" w:space="0" w:color="auto"/>
            </w:tcBorders>
          </w:tcPr>
          <w:p w:rsidR="00B27742" w:rsidRPr="00BB5519" w:rsidRDefault="00B27742" w:rsidP="003248A5">
            <w:pPr>
              <w:keepNext/>
              <w:keepLines/>
              <w:rPr>
                <w:rFonts w:cs="Tahoma"/>
                <w:sz w:val="20"/>
              </w:rPr>
            </w:pPr>
          </w:p>
        </w:tc>
        <w:tc>
          <w:tcPr>
            <w:tcW w:w="450" w:type="dxa"/>
            <w:vMerge/>
            <w:tcBorders>
              <w:left w:val="single" w:sz="18" w:space="0" w:color="auto"/>
              <w:bottom w:val="single" w:sz="4" w:space="0" w:color="auto"/>
            </w:tcBorders>
            <w:vAlign w:val="center"/>
          </w:tcPr>
          <w:p w:rsidR="00B27742" w:rsidRPr="00BB5519" w:rsidRDefault="00B27742" w:rsidP="003248A5">
            <w:pPr>
              <w:keepNext/>
              <w:keepLines/>
              <w:jc w:val="center"/>
              <w:rPr>
                <w:rFonts w:cs="Tahoma"/>
                <w:sz w:val="20"/>
              </w:rPr>
            </w:pPr>
          </w:p>
        </w:tc>
        <w:tc>
          <w:tcPr>
            <w:tcW w:w="450" w:type="dxa"/>
            <w:tcBorders>
              <w:bottom w:val="single" w:sz="4" w:space="0" w:color="auto"/>
            </w:tcBorders>
            <w:vAlign w:val="center"/>
          </w:tcPr>
          <w:p w:rsidR="00B27742" w:rsidRPr="00BB5519" w:rsidRDefault="00B27742" w:rsidP="003248A5">
            <w:pPr>
              <w:pStyle w:val="TableHeadingsGreen"/>
              <w:keepNext/>
              <w:keepLines/>
              <w:rPr>
                <w:rFonts w:ascii="Tahoma" w:hAnsi="Tahoma" w:cs="Tahoma"/>
                <w:sz w:val="9"/>
              </w:rPr>
            </w:pPr>
            <w:r w:rsidRPr="00BB5519">
              <w:rPr>
                <w:rFonts w:ascii="Tahoma" w:hAnsi="Tahoma" w:cs="Tahoma"/>
                <w:sz w:val="9"/>
              </w:rPr>
              <w:t>3 Jahre</w:t>
            </w:r>
          </w:p>
        </w:tc>
        <w:tc>
          <w:tcPr>
            <w:tcW w:w="450" w:type="dxa"/>
            <w:tcBorders>
              <w:bottom w:val="single" w:sz="4" w:space="0" w:color="auto"/>
            </w:tcBorders>
            <w:vAlign w:val="center"/>
          </w:tcPr>
          <w:p w:rsidR="00B27742" w:rsidRPr="00BB5519" w:rsidRDefault="00B27742" w:rsidP="003248A5">
            <w:pPr>
              <w:pStyle w:val="TableHeadingsGreen"/>
              <w:keepNext/>
              <w:keepLines/>
              <w:rPr>
                <w:rFonts w:ascii="Tahoma" w:hAnsi="Tahoma" w:cs="Tahoma"/>
                <w:sz w:val="9"/>
              </w:rPr>
            </w:pPr>
            <w:r w:rsidRPr="00BB5519">
              <w:rPr>
                <w:rFonts w:ascii="Tahoma" w:hAnsi="Tahoma" w:cs="Tahoma"/>
                <w:sz w:val="9"/>
              </w:rPr>
              <w:t>2 Jahre</w:t>
            </w:r>
          </w:p>
        </w:tc>
        <w:tc>
          <w:tcPr>
            <w:tcW w:w="450" w:type="dxa"/>
            <w:tcBorders>
              <w:bottom w:val="single" w:sz="4" w:space="0" w:color="auto"/>
            </w:tcBorders>
            <w:vAlign w:val="center"/>
          </w:tcPr>
          <w:p w:rsidR="00B27742" w:rsidRPr="00BB5519" w:rsidRDefault="00B27742" w:rsidP="003248A5">
            <w:pPr>
              <w:pStyle w:val="TableHeadingsGreen"/>
              <w:keepNext/>
              <w:keepLines/>
              <w:rPr>
                <w:rFonts w:ascii="Tahoma" w:hAnsi="Tahoma" w:cs="Tahoma"/>
                <w:sz w:val="9"/>
              </w:rPr>
            </w:pPr>
            <w:r w:rsidRPr="00BB5519">
              <w:rPr>
                <w:rFonts w:ascii="Tahoma" w:hAnsi="Tahoma" w:cs="Tahoma"/>
                <w:sz w:val="9"/>
              </w:rPr>
              <w:t>1 Jahr</w:t>
            </w:r>
          </w:p>
        </w:tc>
        <w:tc>
          <w:tcPr>
            <w:tcW w:w="450" w:type="dxa"/>
            <w:tcBorders>
              <w:bottom w:val="single" w:sz="4" w:space="0" w:color="auto"/>
            </w:tcBorders>
            <w:vAlign w:val="center"/>
          </w:tcPr>
          <w:p w:rsidR="00B27742" w:rsidRPr="00BB5519" w:rsidRDefault="00B27742" w:rsidP="003248A5">
            <w:pPr>
              <w:pStyle w:val="TableHeadingsBlue"/>
              <w:keepNext/>
              <w:keepLines/>
              <w:rPr>
                <w:rFonts w:ascii="Tahoma" w:hAnsi="Tahoma" w:cs="Tahoma"/>
                <w:sz w:val="9"/>
              </w:rPr>
            </w:pPr>
            <w:r w:rsidRPr="00BB5519">
              <w:rPr>
                <w:rFonts w:ascii="Tahoma" w:hAnsi="Tahoma" w:cs="Tahoma"/>
                <w:sz w:val="9"/>
              </w:rPr>
              <w:t>3 Jahre</w:t>
            </w:r>
          </w:p>
        </w:tc>
        <w:tc>
          <w:tcPr>
            <w:tcW w:w="450" w:type="dxa"/>
            <w:tcBorders>
              <w:bottom w:val="single" w:sz="4" w:space="0" w:color="auto"/>
            </w:tcBorders>
            <w:vAlign w:val="center"/>
          </w:tcPr>
          <w:p w:rsidR="00B27742" w:rsidRPr="00BB5519" w:rsidRDefault="00B27742" w:rsidP="003248A5">
            <w:pPr>
              <w:pStyle w:val="TableHeadingsBlue"/>
              <w:keepNext/>
              <w:keepLines/>
              <w:rPr>
                <w:rFonts w:ascii="Tahoma" w:hAnsi="Tahoma" w:cs="Tahoma"/>
                <w:sz w:val="9"/>
              </w:rPr>
            </w:pPr>
            <w:r w:rsidRPr="00BB5519">
              <w:rPr>
                <w:rFonts w:ascii="Tahoma" w:hAnsi="Tahoma" w:cs="Tahoma"/>
                <w:sz w:val="9"/>
              </w:rPr>
              <w:t>2 Jahre</w:t>
            </w:r>
          </w:p>
        </w:tc>
        <w:tc>
          <w:tcPr>
            <w:tcW w:w="360" w:type="dxa"/>
            <w:tcBorders>
              <w:bottom w:val="single" w:sz="4" w:space="0" w:color="auto"/>
              <w:right w:val="single" w:sz="18" w:space="0" w:color="auto"/>
            </w:tcBorders>
            <w:vAlign w:val="center"/>
          </w:tcPr>
          <w:p w:rsidR="00B27742" w:rsidRPr="00BB5519" w:rsidRDefault="00B27742" w:rsidP="003248A5">
            <w:pPr>
              <w:pStyle w:val="TableHeadingsBlue"/>
              <w:keepNext/>
              <w:keepLines/>
              <w:rPr>
                <w:rFonts w:ascii="Tahoma" w:hAnsi="Tahoma" w:cs="Tahoma"/>
                <w:sz w:val="9"/>
              </w:rPr>
            </w:pPr>
            <w:r w:rsidRPr="00BB5519">
              <w:rPr>
                <w:rFonts w:ascii="Tahoma" w:hAnsi="Tahoma" w:cs="Tahoma"/>
                <w:sz w:val="9"/>
              </w:rPr>
              <w:t>1 Jahr</w:t>
            </w:r>
          </w:p>
        </w:tc>
        <w:tc>
          <w:tcPr>
            <w:tcW w:w="450" w:type="dxa"/>
            <w:vMerge/>
            <w:tcBorders>
              <w:left w:val="single" w:sz="18" w:space="0" w:color="auto"/>
              <w:bottom w:val="single" w:sz="4" w:space="0" w:color="auto"/>
            </w:tcBorders>
            <w:vAlign w:val="center"/>
          </w:tcPr>
          <w:p w:rsidR="00B27742" w:rsidRPr="00BB5519" w:rsidRDefault="00B27742" w:rsidP="003248A5">
            <w:pPr>
              <w:keepNext/>
              <w:keepLines/>
              <w:jc w:val="center"/>
              <w:rPr>
                <w:rFonts w:cs="Tahoma"/>
                <w:sz w:val="20"/>
              </w:rPr>
            </w:pPr>
          </w:p>
        </w:tc>
        <w:tc>
          <w:tcPr>
            <w:tcW w:w="450" w:type="dxa"/>
            <w:tcBorders>
              <w:bottom w:val="single" w:sz="4" w:space="0" w:color="auto"/>
            </w:tcBorders>
            <w:vAlign w:val="center"/>
          </w:tcPr>
          <w:p w:rsidR="00B27742" w:rsidRPr="00BB5519" w:rsidRDefault="00B27742" w:rsidP="003248A5">
            <w:pPr>
              <w:pStyle w:val="TableHeadingsGreen"/>
              <w:keepNext/>
              <w:keepLines/>
              <w:rPr>
                <w:rFonts w:ascii="Tahoma" w:hAnsi="Tahoma" w:cs="Tahoma"/>
                <w:sz w:val="9"/>
              </w:rPr>
            </w:pPr>
            <w:r w:rsidRPr="00BB5519">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BB5519" w:rsidRDefault="00B27742" w:rsidP="003248A5">
            <w:pPr>
              <w:keepNext/>
              <w:keepLines/>
              <w:jc w:val="center"/>
              <w:rPr>
                <w:rFonts w:cs="Tahoma"/>
                <w:sz w:val="20"/>
              </w:rPr>
            </w:pPr>
          </w:p>
        </w:tc>
        <w:tc>
          <w:tcPr>
            <w:tcW w:w="450" w:type="dxa"/>
            <w:vMerge/>
            <w:tcBorders>
              <w:left w:val="single" w:sz="18" w:space="0" w:color="auto"/>
              <w:bottom w:val="single" w:sz="4" w:space="0" w:color="auto"/>
            </w:tcBorders>
          </w:tcPr>
          <w:p w:rsidR="00B27742" w:rsidRPr="00BB5519" w:rsidRDefault="00B27742" w:rsidP="003248A5">
            <w:pPr>
              <w:keepNext/>
              <w:keepLines/>
              <w:rPr>
                <w:rFonts w:cs="Tahoma"/>
                <w:sz w:val="20"/>
              </w:rPr>
            </w:pPr>
          </w:p>
        </w:tc>
        <w:tc>
          <w:tcPr>
            <w:tcW w:w="450" w:type="dxa"/>
            <w:vMerge/>
            <w:tcBorders>
              <w:bottom w:val="single" w:sz="4" w:space="0" w:color="auto"/>
              <w:right w:val="single" w:sz="18" w:space="0" w:color="auto"/>
            </w:tcBorders>
          </w:tcPr>
          <w:p w:rsidR="00B27742" w:rsidRPr="00BB5519" w:rsidRDefault="00B27742" w:rsidP="003248A5">
            <w:pPr>
              <w:keepNext/>
              <w:keepLines/>
              <w:rPr>
                <w:rFonts w:cs="Tahoma"/>
                <w:sz w:val="20"/>
              </w:rPr>
            </w:pPr>
          </w:p>
        </w:tc>
        <w:tc>
          <w:tcPr>
            <w:tcW w:w="450" w:type="dxa"/>
            <w:vMerge/>
            <w:tcBorders>
              <w:left w:val="single" w:sz="18" w:space="0" w:color="auto"/>
              <w:bottom w:val="single" w:sz="4" w:space="0" w:color="auto"/>
              <w:right w:val="single" w:sz="18" w:space="0" w:color="auto"/>
            </w:tcBorders>
          </w:tcPr>
          <w:p w:rsidR="00B27742" w:rsidRPr="00BB5519" w:rsidRDefault="00B27742" w:rsidP="003248A5">
            <w:pPr>
              <w:keepNext/>
              <w:keepLines/>
              <w:rPr>
                <w:rFonts w:cs="Tahoma"/>
                <w:sz w:val="20"/>
              </w:rPr>
            </w:pPr>
          </w:p>
        </w:tc>
        <w:tc>
          <w:tcPr>
            <w:tcW w:w="450" w:type="dxa"/>
            <w:vMerge/>
            <w:tcBorders>
              <w:bottom w:val="single" w:sz="4" w:space="0" w:color="auto"/>
            </w:tcBorders>
          </w:tcPr>
          <w:p w:rsidR="00B27742" w:rsidRPr="00BB5519" w:rsidRDefault="00B27742" w:rsidP="003248A5">
            <w:pPr>
              <w:keepNext/>
              <w:keepLines/>
              <w:rPr>
                <w:rFonts w:cs="Tahoma"/>
                <w:sz w:val="20"/>
              </w:rPr>
            </w:pPr>
          </w:p>
        </w:tc>
        <w:tc>
          <w:tcPr>
            <w:tcW w:w="540" w:type="dxa"/>
            <w:vMerge/>
            <w:tcBorders>
              <w:bottom w:val="single" w:sz="4" w:space="0" w:color="auto"/>
            </w:tcBorders>
          </w:tcPr>
          <w:p w:rsidR="00B27742" w:rsidRPr="00BB5519" w:rsidRDefault="00B27742" w:rsidP="003248A5">
            <w:pPr>
              <w:keepNext/>
              <w:keepLines/>
              <w:rPr>
                <w:rFonts w:cs="Tahoma"/>
                <w:sz w:val="20"/>
              </w:rPr>
            </w:pPr>
          </w:p>
        </w:tc>
      </w:tr>
      <w:tr w:rsidR="001A63C6" w:rsidRPr="00BB5519" w:rsidTr="004064E2">
        <w:trPr>
          <w:trHeight w:val="145"/>
        </w:trPr>
        <w:tc>
          <w:tcPr>
            <w:tcW w:w="2430" w:type="dxa"/>
            <w:tcBorders>
              <w:bottom w:val="single" w:sz="4" w:space="0" w:color="auto"/>
            </w:tcBorders>
            <w:shd w:val="clear" w:color="auto" w:fill="FABF8F"/>
          </w:tcPr>
          <w:p w:rsidR="001A63C6" w:rsidRPr="00BB5519" w:rsidRDefault="001A63C6" w:rsidP="00F95BCC">
            <w:pPr>
              <w:pStyle w:val="ProductNames"/>
              <w:keepNext/>
              <w:rPr>
                <w:rFonts w:ascii="Tahoma" w:hAnsi="Tahoma" w:cs="Tahoma"/>
                <w:position w:val="0"/>
                <w:sz w:val="14"/>
              </w:rPr>
            </w:pPr>
            <w:bookmarkStart w:id="123" w:name="_Toc354054595"/>
            <w:r w:rsidRPr="00BB5519">
              <w:rPr>
                <w:rFonts w:ascii="Tahoma" w:hAnsi="Tahoma" w:cs="Tahoma"/>
                <w:position w:val="0"/>
                <w:sz w:val="14"/>
              </w:rPr>
              <w:t>Microsoft Desktop Optimization Pack für Software Assurance</w:t>
            </w:r>
            <w:bookmarkEnd w:id="123"/>
          </w:p>
        </w:tc>
        <w:tc>
          <w:tcPr>
            <w:tcW w:w="540" w:type="dxa"/>
            <w:tcBorders>
              <w:bottom w:val="single" w:sz="4" w:space="0" w:color="auto"/>
            </w:tcBorders>
            <w:shd w:val="clear" w:color="auto" w:fill="FABF8F"/>
            <w:vAlign w:val="center"/>
          </w:tcPr>
          <w:p w:rsidR="001A63C6" w:rsidRPr="00BB5519" w:rsidRDefault="005F5403" w:rsidP="003248A5">
            <w:pPr>
              <w:pStyle w:val="TableText"/>
              <w:keepNext/>
              <w:keepLines/>
              <w:widowControl w:val="0"/>
              <w:rPr>
                <w:b/>
                <w:color w:val="0000FF"/>
                <w:sz w:val="13"/>
                <w:szCs w:val="13"/>
                <w:u w:val="single"/>
              </w:rPr>
            </w:pPr>
            <w:hyperlink w:anchor="_24_Microsoft_Desktop" w:history="1">
              <w:r w:rsidR="00955428" w:rsidRPr="00041FEE">
                <w:rPr>
                  <w:rStyle w:val="Hyperlink"/>
                  <w:b/>
                  <w:sz w:val="13"/>
                  <w:szCs w:val="13"/>
                </w:rPr>
                <w:t>24</w:t>
              </w:r>
            </w:hyperlink>
          </w:p>
        </w:tc>
        <w:tc>
          <w:tcPr>
            <w:tcW w:w="450" w:type="dxa"/>
            <w:tcBorders>
              <w:bottom w:val="single" w:sz="4" w:space="0" w:color="auto"/>
            </w:tcBorders>
            <w:shd w:val="clear" w:color="auto" w:fill="FABF8F"/>
            <w:vAlign w:val="center"/>
          </w:tcPr>
          <w:p w:rsidR="001A63C6" w:rsidRPr="00BB5519" w:rsidRDefault="004D199A" w:rsidP="003248A5">
            <w:pPr>
              <w:pStyle w:val="TableText"/>
              <w:keepNext/>
              <w:keepLines/>
              <w:rPr>
                <w:rFonts w:ascii="Tahoma" w:hAnsi="Tahoma" w:cs="Tahoma"/>
                <w:sz w:val="13"/>
              </w:rPr>
            </w:pPr>
            <w:r w:rsidRPr="00BB5519">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3248A5">
            <w:pPr>
              <w:pStyle w:val="TableText"/>
              <w:keepNext/>
              <w:keepLines/>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9A015E" w:rsidP="003248A5">
            <w:pPr>
              <w:pStyle w:val="TableText"/>
              <w:keepNext/>
              <w:keepLines/>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3248A5">
            <w:pPr>
              <w:pStyle w:val="TableText"/>
              <w:keepNext/>
              <w:keepLines/>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3248A5">
            <w:pPr>
              <w:pStyle w:val="TableText"/>
              <w:keepNext/>
              <w:keepLines/>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3248A5">
            <w:pPr>
              <w:pStyle w:val="TableText"/>
              <w:keepNext/>
              <w:keepLines/>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4D199A" w:rsidP="003248A5">
            <w:pPr>
              <w:pStyle w:val="TableText"/>
              <w:keepNext/>
              <w:keepLines/>
              <w:rPr>
                <w:rFonts w:ascii="Tahoma" w:hAnsi="Tahoma" w:cs="Tahoma"/>
                <w:sz w:val="13"/>
              </w:rPr>
            </w:pPr>
            <w:r w:rsidRPr="00BB5519">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BB5519" w:rsidRDefault="004D199A" w:rsidP="003248A5">
            <w:pPr>
              <w:pStyle w:val="TableText"/>
              <w:keepNext/>
              <w:keepLines/>
              <w:rPr>
                <w:rFonts w:ascii="Tahoma" w:hAnsi="Tahoma" w:cs="Tahoma"/>
                <w:sz w:val="13"/>
              </w:rPr>
            </w:pPr>
            <w:r w:rsidRPr="00BB5519">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4D199A" w:rsidP="003248A5">
            <w:pPr>
              <w:pStyle w:val="TableText"/>
              <w:keepNext/>
              <w:keepLines/>
              <w:rPr>
                <w:rFonts w:ascii="Tahoma" w:hAnsi="Tahoma" w:cs="Tahoma"/>
                <w:sz w:val="13"/>
              </w:rPr>
            </w:pPr>
            <w:r w:rsidRPr="00BB5519">
              <w:rPr>
                <w:rFonts w:ascii="Tahoma" w:hAnsi="Tahoma" w:cs="Tahoma"/>
                <w:sz w:val="13"/>
              </w:rPr>
              <w:t>P</w:t>
            </w:r>
          </w:p>
        </w:tc>
        <w:tc>
          <w:tcPr>
            <w:tcW w:w="450" w:type="dxa"/>
            <w:tcBorders>
              <w:bottom w:val="single" w:sz="4" w:space="0" w:color="auto"/>
            </w:tcBorders>
            <w:shd w:val="clear" w:color="auto" w:fill="FABF8F"/>
            <w:vAlign w:val="center"/>
          </w:tcPr>
          <w:p w:rsidR="001A63C6" w:rsidRPr="00BB5519" w:rsidRDefault="009A015E" w:rsidP="003248A5">
            <w:pPr>
              <w:pStyle w:val="TableText"/>
              <w:keepNext/>
              <w:keepLines/>
              <w:rPr>
                <w:rFonts w:ascii="Tahoma" w:hAnsi="Tahoma" w:cs="Tahoma"/>
                <w:sz w:val="13"/>
              </w:rPr>
            </w:pPr>
            <w:r w:rsidRPr="00BB5519">
              <w:rPr>
                <w:rFonts w:ascii="Tahoma" w:hAnsi="Tahoma" w:cs="Tahoma"/>
                <w:sz w:val="13"/>
              </w:rPr>
              <w:t>A, ST</w:t>
            </w:r>
          </w:p>
        </w:tc>
        <w:tc>
          <w:tcPr>
            <w:tcW w:w="540" w:type="dxa"/>
            <w:tcBorders>
              <w:bottom w:val="single" w:sz="4" w:space="0" w:color="auto"/>
            </w:tcBorders>
            <w:shd w:val="clear" w:color="auto" w:fill="FABF8F"/>
            <w:vAlign w:val="center"/>
          </w:tcPr>
          <w:p w:rsidR="001A63C6" w:rsidRPr="00BB5519" w:rsidRDefault="001A63C6" w:rsidP="003248A5">
            <w:pPr>
              <w:pStyle w:val="TableText"/>
              <w:keepNext/>
              <w:keepLines/>
              <w:rPr>
                <w:rFonts w:ascii="Tahoma" w:hAnsi="Tahoma" w:cs="Tahoma"/>
                <w:sz w:val="13"/>
              </w:rPr>
            </w:pPr>
          </w:p>
        </w:tc>
      </w:tr>
      <w:tr w:rsidR="002854D4" w:rsidRPr="00BB5519" w:rsidTr="004064E2">
        <w:trPr>
          <w:trHeight w:val="145"/>
        </w:trPr>
        <w:tc>
          <w:tcPr>
            <w:tcW w:w="2430" w:type="dxa"/>
            <w:tcBorders>
              <w:bottom w:val="single" w:sz="4" w:space="0" w:color="auto"/>
            </w:tcBorders>
            <w:shd w:val="clear" w:color="auto" w:fill="auto"/>
          </w:tcPr>
          <w:p w:rsidR="002854D4" w:rsidRPr="00BB5519" w:rsidRDefault="002854D4" w:rsidP="00F70479">
            <w:pPr>
              <w:pStyle w:val="ProductNames"/>
              <w:rPr>
                <w:rFonts w:ascii="Tahoma" w:hAnsi="Tahoma" w:cs="Tahoma"/>
                <w:position w:val="0"/>
                <w:sz w:val="14"/>
              </w:rPr>
            </w:pPr>
            <w:bookmarkStart w:id="124" w:name="_Toc336337897"/>
            <w:bookmarkStart w:id="125" w:name="_Toc354054596"/>
            <w:r w:rsidRPr="00BB5519">
              <w:rPr>
                <w:rFonts w:ascii="Tahoma" w:hAnsi="Tahoma" w:cs="Tahoma"/>
                <w:position w:val="0"/>
                <w:sz w:val="14"/>
              </w:rPr>
              <w:t>Windows Companion-Abonnementlizenz</w:t>
            </w:r>
            <w:bookmarkEnd w:id="124"/>
            <w:bookmarkEnd w:id="125"/>
          </w:p>
        </w:tc>
        <w:tc>
          <w:tcPr>
            <w:tcW w:w="540" w:type="dxa"/>
            <w:tcBorders>
              <w:bottom w:val="single" w:sz="4" w:space="0" w:color="auto"/>
            </w:tcBorders>
            <w:shd w:val="clear" w:color="auto" w:fill="auto"/>
            <w:vAlign w:val="center"/>
          </w:tcPr>
          <w:p w:rsidR="002854D4" w:rsidRPr="00BB5519" w:rsidRDefault="005F5403" w:rsidP="00B0065F">
            <w:pPr>
              <w:pStyle w:val="TableText"/>
              <w:widowControl w:val="0"/>
              <w:rPr>
                <w:b/>
                <w:color w:val="0000FF"/>
                <w:sz w:val="13"/>
                <w:szCs w:val="13"/>
                <w:u w:val="single"/>
              </w:rPr>
            </w:pPr>
            <w:hyperlink w:anchor="_25_Windows®_Companion-Abonnementliz" w:history="1">
              <w:r w:rsidR="00955428" w:rsidRPr="00041FEE">
                <w:rPr>
                  <w:rStyle w:val="Hyperlink"/>
                  <w:b/>
                  <w:sz w:val="13"/>
                  <w:szCs w:val="13"/>
                </w:rPr>
                <w:t>25</w:t>
              </w:r>
            </w:hyperlink>
          </w:p>
        </w:tc>
        <w:tc>
          <w:tcPr>
            <w:tcW w:w="450" w:type="dxa"/>
            <w:tcBorders>
              <w:bottom w:val="single" w:sz="4" w:space="0" w:color="auto"/>
            </w:tcBorders>
            <w:shd w:val="clear" w:color="auto" w:fill="auto"/>
            <w:vAlign w:val="center"/>
          </w:tcPr>
          <w:p w:rsidR="002854D4" w:rsidRPr="00BB5519" w:rsidRDefault="002854D4" w:rsidP="004D199A">
            <w:pPr>
              <w:pStyle w:val="TableText"/>
              <w:rPr>
                <w:rFonts w:ascii="Tahoma" w:hAnsi="Tahoma" w:cs="Tahoma"/>
                <w:sz w:val="13"/>
              </w:rPr>
            </w:pPr>
            <w:r w:rsidRPr="00BB551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BB5519"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BB5519" w:rsidRDefault="002854D4">
            <w:pPr>
              <w:pStyle w:val="TableText"/>
              <w:rPr>
                <w:rFonts w:ascii="Tahoma" w:hAnsi="Tahoma" w:cs="Tahoma"/>
                <w:sz w:val="13"/>
              </w:rPr>
            </w:pPr>
            <w:r w:rsidRPr="00BB551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BB5519"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BB5519"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BB5519"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BB5519" w:rsidRDefault="002854D4" w:rsidP="004479EA">
            <w:pPr>
              <w:pStyle w:val="TableText"/>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BB5519" w:rsidRDefault="002854D4" w:rsidP="008925CF">
            <w:pPr>
              <w:pStyle w:val="TableText"/>
              <w:rPr>
                <w:rFonts w:ascii="Tahoma" w:hAnsi="Tahoma" w:cs="Tahoma"/>
                <w:sz w:val="13"/>
              </w:rPr>
            </w:pPr>
            <w:r w:rsidRPr="00BB551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BB5519"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BB5519" w:rsidRDefault="002854D4">
            <w:pPr>
              <w:pStyle w:val="TableText"/>
              <w:rPr>
                <w:rFonts w:ascii="Tahoma" w:hAnsi="Tahoma" w:cs="Tahoma"/>
                <w:sz w:val="13"/>
              </w:rPr>
            </w:pPr>
            <w:r w:rsidRPr="00BB5519">
              <w:rPr>
                <w:rFonts w:ascii="Tahoma" w:hAnsi="Tahoma" w:cs="Tahoma"/>
                <w:sz w:val="13"/>
              </w:rPr>
              <w:t>A (nur EES)</w:t>
            </w:r>
          </w:p>
        </w:tc>
        <w:tc>
          <w:tcPr>
            <w:tcW w:w="540" w:type="dxa"/>
            <w:tcBorders>
              <w:bottom w:val="single" w:sz="4" w:space="0" w:color="auto"/>
            </w:tcBorders>
            <w:shd w:val="clear" w:color="auto" w:fill="auto"/>
            <w:vAlign w:val="center"/>
          </w:tcPr>
          <w:p w:rsidR="002854D4" w:rsidRPr="00BB5519" w:rsidRDefault="002854D4">
            <w:pPr>
              <w:pStyle w:val="TableText"/>
              <w:rPr>
                <w:rFonts w:ascii="Tahoma" w:hAnsi="Tahoma" w:cs="Tahoma"/>
                <w:sz w:val="13"/>
              </w:rPr>
            </w:pPr>
          </w:p>
        </w:tc>
      </w:tr>
      <w:tr w:rsidR="00B33D0E" w:rsidRPr="00BB5519" w:rsidTr="004064E2">
        <w:trPr>
          <w:trHeight w:val="145"/>
        </w:trPr>
        <w:tc>
          <w:tcPr>
            <w:tcW w:w="2430" w:type="dxa"/>
            <w:tcBorders>
              <w:bottom w:val="single" w:sz="4" w:space="0" w:color="auto"/>
            </w:tcBorders>
            <w:shd w:val="clear" w:color="auto" w:fill="FABF8F"/>
          </w:tcPr>
          <w:p w:rsidR="008357AC" w:rsidRPr="00BB5519" w:rsidRDefault="008357AC" w:rsidP="00F70479">
            <w:pPr>
              <w:pStyle w:val="ProductNames"/>
              <w:rPr>
                <w:rFonts w:ascii="Tahoma" w:hAnsi="Tahoma" w:cs="Tahoma"/>
                <w:position w:val="0"/>
                <w:sz w:val="14"/>
              </w:rPr>
            </w:pPr>
            <w:bookmarkStart w:id="126" w:name="_Toc336337898"/>
            <w:bookmarkStart w:id="127" w:name="_Toc354054597"/>
            <w:r w:rsidRPr="00BB5519">
              <w:rPr>
                <w:rFonts w:ascii="Tahoma" w:hAnsi="Tahoma" w:cs="Tahoma"/>
                <w:position w:val="0"/>
                <w:sz w:val="14"/>
              </w:rPr>
              <w:t>Windows Vista DVD Playback Pack</w:t>
            </w:r>
            <w:bookmarkEnd w:id="126"/>
            <w:bookmarkEnd w:id="127"/>
            <w:r w:rsidRPr="00BB5519">
              <w:rPr>
                <w:rFonts w:ascii="Tahoma" w:hAnsi="Tahoma" w:cs="Tahoma"/>
                <w:position w:val="0"/>
                <w:sz w:val="14"/>
              </w:rPr>
              <w:t xml:space="preserve"> </w:t>
            </w:r>
          </w:p>
        </w:tc>
        <w:tc>
          <w:tcPr>
            <w:tcW w:w="540" w:type="dxa"/>
            <w:tcBorders>
              <w:bottom w:val="single" w:sz="4" w:space="0" w:color="auto"/>
            </w:tcBorders>
            <w:shd w:val="clear" w:color="auto" w:fill="FABF8F"/>
            <w:vAlign w:val="center"/>
          </w:tcPr>
          <w:p w:rsidR="008357AC" w:rsidRPr="00BB5519" w:rsidRDefault="005F5403" w:rsidP="00B0065F">
            <w:pPr>
              <w:pStyle w:val="TableText"/>
              <w:widowControl w:val="0"/>
              <w:rPr>
                <w:b/>
                <w:color w:val="0000FF"/>
                <w:sz w:val="13"/>
                <w:szCs w:val="13"/>
                <w:u w:val="single"/>
              </w:rPr>
            </w:pPr>
            <w:hyperlink w:anchor="Sys_24WindowsVistaDVDPack" w:history="1">
              <w:r w:rsidR="00955428" w:rsidRPr="00BB5519">
                <w:rPr>
                  <w:rStyle w:val="Hyperlink"/>
                  <w:b/>
                  <w:sz w:val="13"/>
                  <w:szCs w:val="13"/>
                </w:rPr>
                <w:t>2</w:t>
              </w:r>
            </w:hyperlink>
            <w:r w:rsidR="00955428" w:rsidRPr="00BB5519">
              <w:rPr>
                <w:rStyle w:val="Hyperlink"/>
                <w:b/>
                <w:sz w:val="13"/>
                <w:szCs w:val="13"/>
              </w:rPr>
              <w:t>6</w:t>
            </w:r>
          </w:p>
        </w:tc>
        <w:tc>
          <w:tcPr>
            <w:tcW w:w="450" w:type="dxa"/>
            <w:tcBorders>
              <w:bottom w:val="single" w:sz="4" w:space="0" w:color="auto"/>
            </w:tcBorders>
            <w:shd w:val="clear" w:color="auto" w:fill="FABF8F"/>
          </w:tcPr>
          <w:p w:rsidR="008357AC" w:rsidRPr="00BB5519" w:rsidDel="00587D23" w:rsidRDefault="008357AC" w:rsidP="00384940">
            <w:pPr>
              <w:pStyle w:val="TableText"/>
              <w:rPr>
                <w:rFonts w:ascii="Tahoma" w:hAnsi="Tahoma" w:cs="Tahoma"/>
                <w:sz w:val="13"/>
              </w:rPr>
            </w:pPr>
            <w:r w:rsidRPr="00BB5519">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BB5519"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BB5519" w:rsidRDefault="00FC7674">
            <w:pPr>
              <w:pStyle w:val="TableText"/>
              <w:rPr>
                <w:rFonts w:ascii="Tahoma" w:hAnsi="Tahoma" w:cs="Tahoma"/>
                <w:sz w:val="13"/>
              </w:rPr>
            </w:pPr>
            <w:r w:rsidRPr="00BB551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BB5519" w:rsidRDefault="00FC7674">
            <w:pPr>
              <w:pStyle w:val="TableText"/>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8357AC" w:rsidRPr="00BB5519"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BB5519"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BB5519"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BB5519"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BB5519" w:rsidRDefault="008357AC">
            <w:pPr>
              <w:pStyle w:val="TableText"/>
              <w:rPr>
                <w:rFonts w:ascii="Tahoma" w:hAnsi="Tahoma" w:cs="Tahoma"/>
                <w:sz w:val="13"/>
              </w:rPr>
            </w:pPr>
          </w:p>
        </w:tc>
        <w:tc>
          <w:tcPr>
            <w:tcW w:w="450" w:type="dxa"/>
            <w:tcBorders>
              <w:bottom w:val="single" w:sz="4" w:space="0" w:color="auto"/>
            </w:tcBorders>
            <w:shd w:val="clear" w:color="auto" w:fill="FABF8F"/>
          </w:tcPr>
          <w:p w:rsidR="008357AC" w:rsidRPr="00BB5519" w:rsidRDefault="008357AC">
            <w:pPr>
              <w:pStyle w:val="TableText"/>
              <w:rPr>
                <w:rFonts w:ascii="Tahoma" w:hAnsi="Tahoma" w:cs="Tahoma"/>
                <w:sz w:val="13"/>
              </w:rPr>
            </w:pPr>
          </w:p>
        </w:tc>
        <w:tc>
          <w:tcPr>
            <w:tcW w:w="540" w:type="dxa"/>
            <w:tcBorders>
              <w:bottom w:val="single" w:sz="4" w:space="0" w:color="auto"/>
            </w:tcBorders>
            <w:shd w:val="clear" w:color="auto" w:fill="FABF8F"/>
            <w:vAlign w:val="center"/>
          </w:tcPr>
          <w:p w:rsidR="008357AC" w:rsidRPr="00BB5519" w:rsidRDefault="008357AC">
            <w:pPr>
              <w:pStyle w:val="TableText"/>
              <w:rPr>
                <w:rFonts w:ascii="Tahoma" w:hAnsi="Tahoma" w:cs="Tahoma"/>
                <w:sz w:val="13"/>
              </w:rPr>
            </w:pPr>
          </w:p>
        </w:tc>
      </w:tr>
      <w:tr w:rsidR="00B50A5B" w:rsidRPr="00BB5519" w:rsidTr="004064E2">
        <w:trPr>
          <w:trHeight w:val="145"/>
        </w:trPr>
        <w:tc>
          <w:tcPr>
            <w:tcW w:w="2430" w:type="dxa"/>
            <w:tcBorders>
              <w:bottom w:val="single" w:sz="4" w:space="0" w:color="auto"/>
            </w:tcBorders>
            <w:shd w:val="clear" w:color="auto" w:fill="auto"/>
          </w:tcPr>
          <w:p w:rsidR="00B27742" w:rsidRPr="00BB5519" w:rsidRDefault="00B27742" w:rsidP="00F70479">
            <w:pPr>
              <w:pStyle w:val="ProductNames"/>
              <w:rPr>
                <w:rFonts w:ascii="Tahoma" w:hAnsi="Tahoma" w:cs="Tahoma"/>
                <w:position w:val="0"/>
                <w:sz w:val="14"/>
              </w:rPr>
            </w:pPr>
            <w:bookmarkStart w:id="128" w:name="_Toc336337901"/>
            <w:bookmarkStart w:id="129" w:name="_Toc354054598"/>
            <w:r w:rsidRPr="00BB5519">
              <w:rPr>
                <w:rFonts w:ascii="Tahoma" w:hAnsi="Tahoma" w:cs="Tahoma"/>
                <w:position w:val="0"/>
                <w:sz w:val="14"/>
              </w:rPr>
              <w:t>Vermietungsrechte für Windows</w:t>
            </w:r>
            <w:bookmarkEnd w:id="128"/>
            <w:bookmarkEnd w:id="129"/>
          </w:p>
        </w:tc>
        <w:tc>
          <w:tcPr>
            <w:tcW w:w="540" w:type="dxa"/>
            <w:tcBorders>
              <w:bottom w:val="single" w:sz="4" w:space="0" w:color="auto"/>
            </w:tcBorders>
            <w:shd w:val="clear" w:color="auto" w:fill="auto"/>
            <w:vAlign w:val="center"/>
          </w:tcPr>
          <w:p w:rsidR="00B27742" w:rsidRPr="00BB5519" w:rsidRDefault="00B27742" w:rsidP="008A7B14">
            <w:pPr>
              <w:pStyle w:val="TableText"/>
              <w:widowControl w:val="0"/>
              <w:rPr>
                <w:sz w:val="13"/>
                <w:szCs w:val="13"/>
              </w:rPr>
            </w:pPr>
          </w:p>
        </w:tc>
        <w:tc>
          <w:tcPr>
            <w:tcW w:w="450" w:type="dxa"/>
            <w:tcBorders>
              <w:bottom w:val="single" w:sz="4" w:space="0" w:color="auto"/>
            </w:tcBorders>
            <w:shd w:val="clear" w:color="auto" w:fill="auto"/>
            <w:vAlign w:val="center"/>
          </w:tcPr>
          <w:p w:rsidR="00B27742" w:rsidRPr="00BB5519" w:rsidRDefault="00B27742" w:rsidP="004D199A">
            <w:pPr>
              <w:pStyle w:val="TableText"/>
              <w:rPr>
                <w:rFonts w:ascii="Tahoma" w:hAnsi="Tahoma" w:cs="Tahoma"/>
                <w:sz w:val="13"/>
              </w:rPr>
            </w:pPr>
            <w:r w:rsidRPr="00BB5519">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5519" w:rsidRDefault="00391582">
            <w:pPr>
              <w:pStyle w:val="TableText"/>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5519" w:rsidRDefault="00391582">
            <w:pPr>
              <w:pStyle w:val="TableText"/>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BB5519"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r>
      <w:tr w:rsidR="00024DF4" w:rsidRPr="00BB5519" w:rsidTr="004064E2">
        <w:trPr>
          <w:trHeight w:val="145"/>
        </w:trPr>
        <w:tc>
          <w:tcPr>
            <w:tcW w:w="2430" w:type="dxa"/>
            <w:tcBorders>
              <w:bottom w:val="single" w:sz="4" w:space="0" w:color="auto"/>
            </w:tcBorders>
            <w:shd w:val="clear" w:color="auto" w:fill="FABF8F"/>
          </w:tcPr>
          <w:p w:rsidR="00024DF4" w:rsidRPr="00BB5519" w:rsidRDefault="00024DF4" w:rsidP="00F70479">
            <w:pPr>
              <w:pStyle w:val="ProductNames"/>
              <w:rPr>
                <w:rFonts w:ascii="Tahoma" w:hAnsi="Tahoma" w:cs="Tahoma"/>
                <w:position w:val="0"/>
                <w:sz w:val="14"/>
              </w:rPr>
            </w:pPr>
            <w:bookmarkStart w:id="130" w:name="_Toc336337902"/>
            <w:bookmarkStart w:id="131" w:name="_Toc354054599"/>
            <w:r w:rsidRPr="00BB5519">
              <w:rPr>
                <w:rFonts w:ascii="Tahoma" w:hAnsi="Tahoma" w:cs="Tahoma"/>
                <w:position w:val="0"/>
                <w:sz w:val="14"/>
              </w:rPr>
              <w:t xml:space="preserve">Windows 8 Enterprise </w:t>
            </w:r>
            <w:r w:rsidR="00041FEE">
              <w:rPr>
                <w:rFonts w:ascii="Tahoma" w:hAnsi="Tahoma" w:cs="Tahoma"/>
                <w:position w:val="0"/>
                <w:sz w:val="14"/>
              </w:rPr>
              <w:br/>
            </w:r>
            <w:r w:rsidRPr="00BB5519">
              <w:rPr>
                <w:rFonts w:ascii="Tahoma" w:hAnsi="Tahoma" w:cs="Tahoma"/>
                <w:position w:val="0"/>
                <w:sz w:val="14"/>
              </w:rPr>
              <w:t>Sideloading (100 Pack)</w:t>
            </w:r>
            <w:bookmarkEnd w:id="130"/>
            <w:bookmarkEnd w:id="131"/>
          </w:p>
        </w:tc>
        <w:tc>
          <w:tcPr>
            <w:tcW w:w="540" w:type="dxa"/>
            <w:tcBorders>
              <w:bottom w:val="single" w:sz="4" w:space="0" w:color="auto"/>
            </w:tcBorders>
            <w:shd w:val="clear" w:color="auto" w:fill="FABF8F"/>
            <w:vAlign w:val="center"/>
          </w:tcPr>
          <w:p w:rsidR="00024DF4" w:rsidRPr="00BB5519" w:rsidRDefault="005F5403" w:rsidP="00B0065F">
            <w:pPr>
              <w:pStyle w:val="TableText"/>
              <w:widowControl w:val="0"/>
              <w:rPr>
                <w:b/>
                <w:sz w:val="13"/>
                <w:szCs w:val="13"/>
                <w:u w:val="single"/>
              </w:rPr>
            </w:pPr>
            <w:hyperlink w:anchor="_27_Windows®_8" w:history="1">
              <w:r w:rsidR="00955428" w:rsidRPr="00041FEE">
                <w:rPr>
                  <w:rStyle w:val="Hyperlink"/>
                  <w:b/>
                  <w:sz w:val="13"/>
                  <w:szCs w:val="13"/>
                </w:rPr>
                <w:t>27</w:t>
              </w:r>
            </w:hyperlink>
          </w:p>
        </w:tc>
        <w:tc>
          <w:tcPr>
            <w:tcW w:w="450" w:type="dxa"/>
            <w:tcBorders>
              <w:bottom w:val="single" w:sz="4" w:space="0" w:color="auto"/>
            </w:tcBorders>
            <w:shd w:val="clear" w:color="auto" w:fill="FABF8F"/>
          </w:tcPr>
          <w:p w:rsidR="00024DF4" w:rsidRPr="00BB5519" w:rsidRDefault="00024DF4" w:rsidP="009124DC">
            <w:pPr>
              <w:pStyle w:val="TableText"/>
              <w:spacing w:before="120"/>
              <w:rPr>
                <w:rFonts w:ascii="Tahoma" w:hAnsi="Tahoma" w:cs="Tahoma"/>
                <w:sz w:val="13"/>
              </w:rPr>
            </w:pPr>
            <w:r w:rsidRPr="00BB551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024DF4" w:rsidRPr="00BB5519" w:rsidRDefault="00024DF4">
            <w:pPr>
              <w:pStyle w:val="TableText"/>
              <w:rPr>
                <w:rFonts w:ascii="Tahoma" w:hAnsi="Tahoma" w:cs="Tahoma"/>
                <w:sz w:val="13"/>
              </w:rPr>
            </w:pPr>
            <w:r w:rsidRPr="00BB5519">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024DF4" w:rsidRPr="00BB5519" w:rsidRDefault="00024DF4">
            <w:pPr>
              <w:pStyle w:val="TableText"/>
              <w:rPr>
                <w:rFonts w:ascii="Tahoma" w:hAnsi="Tahoma" w:cs="Tahoma"/>
                <w:sz w:val="13"/>
              </w:rPr>
            </w:pPr>
            <w:r w:rsidRPr="00BB5519">
              <w:rPr>
                <w:rFonts w:ascii="Tahoma" w:hAnsi="Tahoma" w:cs="Tahoma"/>
                <w:sz w:val="13"/>
              </w:rPr>
              <w:t>12</w:t>
            </w:r>
          </w:p>
        </w:tc>
        <w:tc>
          <w:tcPr>
            <w:tcW w:w="450" w:type="dxa"/>
            <w:tcBorders>
              <w:left w:val="single" w:sz="18" w:space="0" w:color="auto"/>
              <w:bottom w:val="single" w:sz="4" w:space="0" w:color="auto"/>
            </w:tcBorders>
            <w:shd w:val="clear" w:color="auto" w:fill="FABF8F"/>
            <w:vAlign w:val="center"/>
          </w:tcPr>
          <w:p w:rsidR="00024DF4" w:rsidRPr="00BB5519" w:rsidRDefault="00024DF4">
            <w:pPr>
              <w:pStyle w:val="TableText"/>
              <w:rPr>
                <w:rFonts w:ascii="Tahoma" w:hAnsi="Tahoma" w:cs="Tahoma"/>
                <w:sz w:val="13"/>
              </w:rPr>
            </w:pPr>
            <w:r w:rsidRPr="00BB5519">
              <w:rPr>
                <w:rFonts w:ascii="Tahoma" w:hAnsi="Tahoma" w:cs="Tahoma"/>
                <w:sz w:val="13"/>
              </w:rPr>
              <w:t>12</w:t>
            </w:r>
          </w:p>
        </w:tc>
        <w:tc>
          <w:tcPr>
            <w:tcW w:w="450" w:type="dxa"/>
            <w:tcBorders>
              <w:bottom w:val="single" w:sz="4" w:space="0" w:color="auto"/>
            </w:tcBorders>
            <w:shd w:val="clear" w:color="auto" w:fill="FABF8F"/>
            <w:vAlign w:val="center"/>
          </w:tcPr>
          <w:p w:rsidR="00024DF4" w:rsidRPr="00BB5519"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BB5519"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24DF4" w:rsidRPr="00BB5519"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24DF4" w:rsidRPr="00BB5519"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024DF4" w:rsidRPr="00BB5519" w:rsidRDefault="00024DF4">
            <w:pPr>
              <w:pStyle w:val="TableText"/>
              <w:rPr>
                <w:rFonts w:ascii="Tahoma" w:hAnsi="Tahoma" w:cs="Tahoma"/>
                <w:sz w:val="13"/>
              </w:rPr>
            </w:pPr>
          </w:p>
        </w:tc>
        <w:tc>
          <w:tcPr>
            <w:tcW w:w="450" w:type="dxa"/>
            <w:tcBorders>
              <w:bottom w:val="single" w:sz="4" w:space="0" w:color="auto"/>
            </w:tcBorders>
            <w:shd w:val="clear" w:color="auto" w:fill="FABF8F"/>
          </w:tcPr>
          <w:p w:rsidR="00024DF4" w:rsidRPr="00BB5519"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024DF4" w:rsidRPr="00BB5519" w:rsidRDefault="00024DF4">
            <w:pPr>
              <w:pStyle w:val="TableText"/>
              <w:rPr>
                <w:rFonts w:ascii="Tahoma" w:hAnsi="Tahoma" w:cs="Tahoma"/>
                <w:sz w:val="13"/>
              </w:rPr>
            </w:pPr>
            <w:r w:rsidRPr="00BB5519">
              <w:rPr>
                <w:rFonts w:ascii="Tahoma" w:hAnsi="Tahoma" w:cs="Tahoma"/>
                <w:sz w:val="13"/>
              </w:rPr>
              <w:t>OL</w:t>
            </w:r>
          </w:p>
        </w:tc>
      </w:tr>
      <w:tr w:rsidR="00B50A5B" w:rsidRPr="00BB5519" w:rsidTr="004064E2">
        <w:trPr>
          <w:trHeight w:val="145"/>
        </w:trPr>
        <w:tc>
          <w:tcPr>
            <w:tcW w:w="2430" w:type="dxa"/>
            <w:tcBorders>
              <w:bottom w:val="single" w:sz="4" w:space="0" w:color="auto"/>
            </w:tcBorders>
            <w:shd w:val="clear" w:color="auto" w:fill="auto"/>
            <w:vAlign w:val="center"/>
          </w:tcPr>
          <w:p w:rsidR="00B27742" w:rsidRPr="00BB5519" w:rsidRDefault="00B27742" w:rsidP="0070485B">
            <w:pPr>
              <w:pStyle w:val="ProductNames"/>
              <w:rPr>
                <w:rFonts w:ascii="Tahoma" w:hAnsi="Tahoma" w:cs="Tahoma"/>
                <w:position w:val="0"/>
                <w:sz w:val="14"/>
              </w:rPr>
            </w:pPr>
            <w:bookmarkStart w:id="132" w:name="_Toc336337903"/>
            <w:bookmarkStart w:id="133" w:name="_Toc354054600"/>
            <w:r w:rsidRPr="00BB5519">
              <w:rPr>
                <w:rFonts w:ascii="Tahoma" w:hAnsi="Tahoma" w:cs="Tahoma"/>
                <w:position w:val="0"/>
                <w:sz w:val="14"/>
              </w:rPr>
              <w:t>Windows</w:t>
            </w:r>
            <w:r w:rsidRPr="00621662">
              <w:rPr>
                <w:rFonts w:ascii="Tahoma" w:hAnsi="Tahoma" w:cs="Tahoma"/>
                <w:position w:val="0"/>
                <w:sz w:val="14"/>
                <w:vertAlign w:val="superscript"/>
              </w:rPr>
              <w:t>®</w:t>
            </w:r>
            <w:r w:rsidRPr="00BB5519">
              <w:rPr>
                <w:rFonts w:ascii="Tahoma" w:hAnsi="Tahoma" w:cs="Tahoma"/>
                <w:position w:val="0"/>
                <w:sz w:val="14"/>
              </w:rPr>
              <w:t xml:space="preserve"> 7 Partners in Learning</w:t>
            </w:r>
            <w:bookmarkEnd w:id="132"/>
            <w:bookmarkEnd w:id="133"/>
          </w:p>
        </w:tc>
        <w:tc>
          <w:tcPr>
            <w:tcW w:w="540" w:type="dxa"/>
            <w:tcBorders>
              <w:bottom w:val="single" w:sz="4" w:space="0" w:color="auto"/>
            </w:tcBorders>
            <w:shd w:val="clear" w:color="auto" w:fill="auto"/>
            <w:vAlign w:val="center"/>
          </w:tcPr>
          <w:p w:rsidR="00B27742" w:rsidRPr="00BB5519" w:rsidRDefault="005F5403" w:rsidP="00B0065F">
            <w:pPr>
              <w:pStyle w:val="TableText"/>
              <w:widowControl w:val="0"/>
              <w:rPr>
                <w:b/>
                <w:sz w:val="13"/>
                <w:szCs w:val="13"/>
                <w:u w:val="single"/>
              </w:rPr>
            </w:pPr>
            <w:hyperlink w:anchor="_28_Windows®_7" w:history="1">
              <w:r w:rsidR="00955428" w:rsidRPr="00041FEE">
                <w:rPr>
                  <w:rStyle w:val="Hyperlink"/>
                  <w:b/>
                  <w:sz w:val="13"/>
                  <w:szCs w:val="13"/>
                </w:rPr>
                <w:t>28</w:t>
              </w:r>
            </w:hyperlink>
          </w:p>
        </w:tc>
        <w:tc>
          <w:tcPr>
            <w:tcW w:w="450" w:type="dxa"/>
            <w:tcBorders>
              <w:bottom w:val="single" w:sz="4" w:space="0" w:color="auto"/>
            </w:tcBorders>
            <w:shd w:val="clear" w:color="auto" w:fill="auto"/>
          </w:tcPr>
          <w:p w:rsidR="00B27742" w:rsidRPr="00BB5519" w:rsidRDefault="00B27742" w:rsidP="009124DC">
            <w:pPr>
              <w:pStyle w:val="TableText"/>
              <w:spacing w:before="120"/>
              <w:rPr>
                <w:rFonts w:ascii="Tahoma" w:hAnsi="Tahoma" w:cs="Tahoma"/>
                <w:sz w:val="13"/>
              </w:rPr>
            </w:pPr>
            <w:r w:rsidRPr="00BB5519">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5519" w:rsidRDefault="00B27742">
            <w:pPr>
              <w:pStyle w:val="TableText"/>
              <w:rPr>
                <w:rFonts w:ascii="Tahoma" w:hAnsi="Tahoma" w:cs="Tahoma"/>
                <w:sz w:val="13"/>
              </w:rPr>
            </w:pPr>
            <w:r w:rsidRPr="00BB5519">
              <w:rPr>
                <w:rFonts w:ascii="Tahoma" w:hAnsi="Tahoma" w:cs="Tahoma"/>
                <w:sz w:val="13"/>
              </w:rPr>
              <w:t xml:space="preserve">2 </w:t>
            </w:r>
            <w:r w:rsidRPr="00BB5519">
              <w:rPr>
                <w:rFonts w:ascii="Tahoma" w:hAnsi="Tahoma" w:cs="Tahoma"/>
                <w:sz w:val="10"/>
                <w:szCs w:val="12"/>
              </w:rPr>
              <w:t>(nur School</w:t>
            </w:r>
          </w:p>
        </w:tc>
        <w:tc>
          <w:tcPr>
            <w:tcW w:w="450" w:type="dxa"/>
            <w:tcBorders>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BB5519"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BB5519"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BB5519" w:rsidRDefault="00B27742">
            <w:pPr>
              <w:pStyle w:val="TableText"/>
              <w:rPr>
                <w:rFonts w:ascii="Tahoma" w:hAnsi="Tahoma" w:cs="Tahoma"/>
                <w:sz w:val="13"/>
              </w:rPr>
            </w:pPr>
          </w:p>
        </w:tc>
      </w:tr>
      <w:tr w:rsidR="00B50A5B" w:rsidRPr="00BB5519" w:rsidTr="004064E2">
        <w:trPr>
          <w:trHeight w:val="145"/>
        </w:trPr>
        <w:tc>
          <w:tcPr>
            <w:tcW w:w="2430" w:type="dxa"/>
            <w:tcBorders>
              <w:bottom w:val="single" w:sz="4" w:space="0" w:color="auto"/>
            </w:tcBorders>
            <w:shd w:val="clear" w:color="auto" w:fill="FABF8F"/>
          </w:tcPr>
          <w:p w:rsidR="00B27742" w:rsidRPr="00BB5519" w:rsidRDefault="00B27742" w:rsidP="00F70479">
            <w:pPr>
              <w:pStyle w:val="ProductNames"/>
              <w:rPr>
                <w:rFonts w:ascii="Tahoma" w:hAnsi="Tahoma" w:cs="Tahoma"/>
                <w:position w:val="0"/>
                <w:sz w:val="14"/>
              </w:rPr>
            </w:pPr>
            <w:bookmarkStart w:id="134" w:name="_Toc336337904"/>
            <w:bookmarkStart w:id="135" w:name="_Toc354054601"/>
            <w:r w:rsidRPr="00BB5519">
              <w:rPr>
                <w:rFonts w:ascii="Tahoma" w:hAnsi="Tahoma" w:cs="Tahoma"/>
                <w:position w:val="0"/>
                <w:sz w:val="14"/>
              </w:rPr>
              <w:t>Windows</w:t>
            </w:r>
            <w:r w:rsidRPr="00621662">
              <w:rPr>
                <w:rFonts w:ascii="Tahoma" w:hAnsi="Tahoma" w:cs="Tahoma"/>
                <w:position w:val="0"/>
                <w:sz w:val="14"/>
                <w:vertAlign w:val="superscript"/>
              </w:rPr>
              <w:t>®</w:t>
            </w:r>
            <w:r w:rsidRPr="00BB5519">
              <w:rPr>
                <w:rFonts w:ascii="Tahoma" w:hAnsi="Tahoma" w:cs="Tahoma"/>
                <w:position w:val="0"/>
                <w:sz w:val="14"/>
              </w:rPr>
              <w:t xml:space="preserve"> 8 Pro</w:t>
            </w:r>
            <w:bookmarkEnd w:id="134"/>
            <w:bookmarkEnd w:id="135"/>
            <w:r w:rsidRPr="00BB5519">
              <w:rPr>
                <w:rFonts w:ascii="Tahoma" w:hAnsi="Tahoma" w:cs="Tahoma"/>
                <w:position w:val="0"/>
                <w:sz w:val="14"/>
              </w:rPr>
              <w:t xml:space="preserve"> </w:t>
            </w:r>
          </w:p>
        </w:tc>
        <w:tc>
          <w:tcPr>
            <w:tcW w:w="540" w:type="dxa"/>
            <w:tcBorders>
              <w:bottom w:val="single" w:sz="4" w:space="0" w:color="auto"/>
            </w:tcBorders>
            <w:shd w:val="clear" w:color="auto" w:fill="FABF8F"/>
            <w:vAlign w:val="center"/>
          </w:tcPr>
          <w:p w:rsidR="00B27742" w:rsidRPr="00BB5519" w:rsidRDefault="005F5403" w:rsidP="00B0065F">
            <w:pPr>
              <w:pStyle w:val="TableText"/>
              <w:widowControl w:val="0"/>
              <w:rPr>
                <w:rStyle w:val="EndnoteReference"/>
                <w:b w:val="0"/>
                <w:color w:val="0000FF"/>
                <w:sz w:val="13"/>
                <w:szCs w:val="13"/>
                <w:u w:val="single"/>
              </w:rPr>
            </w:pPr>
            <w:hyperlink w:anchor="_29_Windows®_8" w:history="1">
              <w:r w:rsidR="00955428" w:rsidRPr="00BB5519">
                <w:rPr>
                  <w:rStyle w:val="Hyperlink"/>
                  <w:b/>
                  <w:sz w:val="13"/>
                  <w:szCs w:val="13"/>
                </w:rPr>
                <w:t>29</w:t>
              </w:r>
            </w:hyperlink>
          </w:p>
        </w:tc>
        <w:tc>
          <w:tcPr>
            <w:tcW w:w="450" w:type="dxa"/>
            <w:tcBorders>
              <w:bottom w:val="single" w:sz="4" w:space="0" w:color="auto"/>
            </w:tcBorders>
            <w:shd w:val="clear" w:color="auto" w:fill="FABF8F"/>
          </w:tcPr>
          <w:p w:rsidR="00B27742" w:rsidRPr="00BB5519" w:rsidRDefault="00B27742" w:rsidP="009124DC">
            <w:pPr>
              <w:pStyle w:val="TableText"/>
              <w:spacing w:before="120"/>
              <w:rPr>
                <w:rFonts w:ascii="Tahoma" w:hAnsi="Tahoma" w:cs="Tahoma"/>
                <w:sz w:val="13"/>
              </w:rPr>
            </w:pPr>
            <w:r w:rsidRPr="00BB5519">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5</w:t>
            </w:r>
          </w:p>
        </w:tc>
        <w:tc>
          <w:tcPr>
            <w:tcW w:w="450" w:type="dxa"/>
            <w:tcBorders>
              <w:bottom w:val="single" w:sz="4"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4</w:t>
            </w:r>
          </w:p>
        </w:tc>
        <w:tc>
          <w:tcPr>
            <w:tcW w:w="450" w:type="dxa"/>
            <w:tcBorders>
              <w:bottom w:val="single" w:sz="4"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BB5519" w:rsidRDefault="00664EE9">
            <w:pPr>
              <w:pStyle w:val="TableText"/>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E, P</w:t>
            </w:r>
          </w:p>
        </w:tc>
        <w:tc>
          <w:tcPr>
            <w:tcW w:w="450" w:type="dxa"/>
            <w:tcBorders>
              <w:bottom w:val="single" w:sz="4" w:space="0" w:color="auto"/>
            </w:tcBorders>
            <w:shd w:val="clear" w:color="auto" w:fill="FABF8F"/>
            <w:vAlign w:val="center"/>
          </w:tcPr>
          <w:p w:rsidR="00B27742" w:rsidRPr="00BB5519" w:rsidRDefault="00B27742" w:rsidP="004000C7">
            <w:pPr>
              <w:pStyle w:val="TableText"/>
              <w:rPr>
                <w:rFonts w:ascii="Tahoma" w:hAnsi="Tahoma" w:cs="Tahoma"/>
                <w:sz w:val="13"/>
              </w:rPr>
            </w:pPr>
            <w:r w:rsidRPr="00BB5519">
              <w:rPr>
                <w:rFonts w:ascii="Tahoma" w:hAnsi="Tahoma" w:cs="Tahoma"/>
                <w:sz w:val="13"/>
              </w:rPr>
              <w:t>E,ST</w:t>
            </w:r>
          </w:p>
        </w:tc>
        <w:tc>
          <w:tcPr>
            <w:tcW w:w="540" w:type="dxa"/>
            <w:tcBorders>
              <w:bottom w:val="single" w:sz="4" w:space="0" w:color="auto"/>
            </w:tcBorders>
            <w:shd w:val="clear" w:color="auto" w:fill="FABF8F"/>
            <w:vAlign w:val="center"/>
          </w:tcPr>
          <w:p w:rsidR="00B27742" w:rsidRPr="00BB5519" w:rsidRDefault="00B27742">
            <w:pPr>
              <w:pStyle w:val="TableText"/>
              <w:rPr>
                <w:rFonts w:ascii="Tahoma" w:hAnsi="Tahoma" w:cs="Tahoma"/>
                <w:sz w:val="13"/>
              </w:rPr>
            </w:pPr>
          </w:p>
        </w:tc>
      </w:tr>
      <w:tr w:rsidR="00B50A5B" w:rsidRPr="00BB5519" w:rsidTr="004064E2">
        <w:trPr>
          <w:trHeight w:val="145"/>
        </w:trPr>
        <w:tc>
          <w:tcPr>
            <w:tcW w:w="2430" w:type="dxa"/>
            <w:tcBorders>
              <w:bottom w:val="single" w:sz="4" w:space="0" w:color="auto"/>
            </w:tcBorders>
            <w:shd w:val="clear" w:color="auto" w:fill="auto"/>
          </w:tcPr>
          <w:p w:rsidR="00B27742" w:rsidRPr="00BB5519" w:rsidRDefault="00B27742" w:rsidP="00F70479">
            <w:pPr>
              <w:pStyle w:val="ProductNames"/>
              <w:rPr>
                <w:rFonts w:ascii="Tahoma" w:hAnsi="Tahoma" w:cs="Tahoma"/>
                <w:position w:val="0"/>
                <w:sz w:val="14"/>
              </w:rPr>
            </w:pPr>
            <w:bookmarkStart w:id="136" w:name="_Toc336337905"/>
            <w:bookmarkStart w:id="137" w:name="_Toc354054602"/>
            <w:r w:rsidRPr="00BB5519">
              <w:rPr>
                <w:rFonts w:ascii="Tahoma" w:hAnsi="Tahoma" w:cs="Tahoma"/>
                <w:position w:val="0"/>
                <w:sz w:val="14"/>
              </w:rPr>
              <w:t>Windows</w:t>
            </w:r>
            <w:r w:rsidRPr="00621662">
              <w:rPr>
                <w:rFonts w:ascii="Tahoma" w:hAnsi="Tahoma" w:cs="Tahoma"/>
                <w:position w:val="0"/>
                <w:sz w:val="14"/>
                <w:vertAlign w:val="superscript"/>
              </w:rPr>
              <w:t>®</w:t>
            </w:r>
            <w:r w:rsidRPr="00BB5519">
              <w:rPr>
                <w:rFonts w:ascii="Tahoma" w:hAnsi="Tahoma" w:cs="Tahoma"/>
                <w:position w:val="0"/>
                <w:sz w:val="14"/>
              </w:rPr>
              <w:t xml:space="preserve"> 8 Pro mit MDOP</w:t>
            </w:r>
            <w:bookmarkEnd w:id="136"/>
            <w:bookmarkEnd w:id="137"/>
            <w:r w:rsidRPr="00BB5519">
              <w:rPr>
                <w:rFonts w:ascii="Tahoma" w:hAnsi="Tahoma" w:cs="Tahoma"/>
                <w:position w:val="0"/>
                <w:sz w:val="14"/>
              </w:rPr>
              <w:t xml:space="preserve"> </w:t>
            </w:r>
          </w:p>
        </w:tc>
        <w:tc>
          <w:tcPr>
            <w:tcW w:w="540" w:type="dxa"/>
            <w:tcBorders>
              <w:bottom w:val="single" w:sz="4" w:space="0" w:color="auto"/>
            </w:tcBorders>
            <w:shd w:val="clear" w:color="auto" w:fill="auto"/>
            <w:vAlign w:val="center"/>
          </w:tcPr>
          <w:p w:rsidR="00B27742" w:rsidRPr="00BB5519" w:rsidRDefault="00B27742"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B27742" w:rsidRPr="00BB5519" w:rsidRDefault="001327D3" w:rsidP="00690165">
            <w:pPr>
              <w:pStyle w:val="TableText"/>
              <w:spacing w:before="12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BB5519" w:rsidRDefault="00B27742" w:rsidP="005D1AD1">
            <w:pPr>
              <w:pStyle w:val="TableText"/>
              <w:rPr>
                <w:rFonts w:ascii="Tahoma" w:hAnsi="Tahoma" w:cs="Tahoma"/>
                <w:sz w:val="13"/>
              </w:rPr>
            </w:pPr>
            <w:r w:rsidRPr="00BB5519">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BB5519" w:rsidRDefault="00B27742" w:rsidP="005D1AD1">
            <w:pPr>
              <w:pStyle w:val="TableText"/>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B27742" w:rsidRPr="00BB5519" w:rsidRDefault="00287725" w:rsidP="005D1AD1">
            <w:pPr>
              <w:pStyle w:val="TableText"/>
              <w:rPr>
                <w:rFonts w:ascii="Tahoma" w:hAnsi="Tahoma" w:cs="Tahoma"/>
                <w:sz w:val="13"/>
              </w:rPr>
            </w:pPr>
            <w:r w:rsidRPr="00BB5519">
              <w:rPr>
                <w:rFonts w:ascii="Tahoma" w:hAnsi="Tahoma" w:cs="Tahoma"/>
                <w:sz w:val="13"/>
              </w:rPr>
              <w:t>6</w:t>
            </w:r>
          </w:p>
        </w:tc>
        <w:tc>
          <w:tcPr>
            <w:tcW w:w="450" w:type="dxa"/>
            <w:tcBorders>
              <w:bottom w:val="single" w:sz="4" w:space="0" w:color="auto"/>
            </w:tcBorders>
            <w:shd w:val="clear" w:color="auto" w:fill="auto"/>
            <w:vAlign w:val="center"/>
          </w:tcPr>
          <w:p w:rsidR="00B27742" w:rsidRPr="00BB5519" w:rsidRDefault="00287725" w:rsidP="005D1AD1">
            <w:pPr>
              <w:pStyle w:val="TableText"/>
              <w:rPr>
                <w:rFonts w:ascii="Tahoma" w:hAnsi="Tahoma" w:cs="Tahoma"/>
                <w:sz w:val="13"/>
              </w:rPr>
            </w:pPr>
            <w:r w:rsidRPr="00BB5519">
              <w:rPr>
                <w:rFonts w:ascii="Tahoma" w:hAnsi="Tahoma" w:cs="Tahoma"/>
                <w:sz w:val="13"/>
              </w:rPr>
              <w:t>5</w:t>
            </w:r>
          </w:p>
        </w:tc>
        <w:tc>
          <w:tcPr>
            <w:tcW w:w="450" w:type="dxa"/>
            <w:tcBorders>
              <w:bottom w:val="single" w:sz="4" w:space="0" w:color="auto"/>
            </w:tcBorders>
            <w:shd w:val="clear" w:color="auto" w:fill="auto"/>
            <w:vAlign w:val="center"/>
          </w:tcPr>
          <w:p w:rsidR="00B27742" w:rsidRPr="00BB5519" w:rsidRDefault="00287725" w:rsidP="005D1AD1">
            <w:pPr>
              <w:pStyle w:val="TableText"/>
              <w:rPr>
                <w:rFonts w:ascii="Tahoma" w:hAnsi="Tahoma" w:cs="Tahoma"/>
                <w:sz w:val="13"/>
              </w:rPr>
            </w:pPr>
            <w:r w:rsidRPr="00BB5519">
              <w:rPr>
                <w:rFonts w:ascii="Tahoma" w:hAnsi="Tahoma" w:cs="Tahoma"/>
                <w:sz w:val="13"/>
              </w:rPr>
              <w:t>4</w:t>
            </w:r>
          </w:p>
        </w:tc>
        <w:tc>
          <w:tcPr>
            <w:tcW w:w="450" w:type="dxa"/>
            <w:tcBorders>
              <w:bottom w:val="single" w:sz="4" w:space="0" w:color="auto"/>
            </w:tcBorders>
            <w:shd w:val="clear" w:color="auto" w:fill="auto"/>
            <w:vAlign w:val="center"/>
          </w:tcPr>
          <w:p w:rsidR="00B27742" w:rsidRPr="00BB5519" w:rsidRDefault="00B27742" w:rsidP="005D1AD1">
            <w:pPr>
              <w:pStyle w:val="TableText"/>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auto"/>
            <w:vAlign w:val="center"/>
          </w:tcPr>
          <w:p w:rsidR="00B27742" w:rsidRPr="00BB5519" w:rsidRDefault="00B27742" w:rsidP="005D1AD1">
            <w:pPr>
              <w:pStyle w:val="TableText"/>
              <w:rPr>
                <w:rFonts w:ascii="Tahoma" w:hAnsi="Tahoma" w:cs="Tahoma"/>
                <w:sz w:val="13"/>
              </w:rPr>
            </w:pPr>
            <w:r w:rsidRPr="00BB5519">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BB5519" w:rsidRDefault="00B27742" w:rsidP="005D1AD1">
            <w:pPr>
              <w:pStyle w:val="TableText"/>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BB5519"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BB5519"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BB5519"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BB5519" w:rsidRDefault="00664EE9" w:rsidP="005D1AD1">
            <w:pPr>
              <w:pStyle w:val="TableText"/>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BB5519" w:rsidRDefault="00B27742" w:rsidP="005D1AD1">
            <w:pPr>
              <w:pStyle w:val="TableText"/>
              <w:rPr>
                <w:rFonts w:ascii="Tahoma" w:hAnsi="Tahoma" w:cs="Tahoma"/>
                <w:sz w:val="13"/>
              </w:rPr>
            </w:pPr>
            <w:r w:rsidRPr="00BB551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BB5519" w:rsidRDefault="00B27742" w:rsidP="005D1AD1">
            <w:pPr>
              <w:pStyle w:val="TableText"/>
              <w:rPr>
                <w:rFonts w:ascii="Tahoma" w:hAnsi="Tahoma" w:cs="Tahoma"/>
                <w:sz w:val="13"/>
              </w:rPr>
            </w:pPr>
            <w:r w:rsidRPr="00BB5519">
              <w:rPr>
                <w:rFonts w:ascii="Tahoma" w:hAnsi="Tahoma" w:cs="Tahoma"/>
                <w:sz w:val="13"/>
              </w:rPr>
              <w:t>E, P</w:t>
            </w:r>
          </w:p>
        </w:tc>
        <w:tc>
          <w:tcPr>
            <w:tcW w:w="450" w:type="dxa"/>
            <w:tcBorders>
              <w:bottom w:val="single" w:sz="4" w:space="0" w:color="auto"/>
            </w:tcBorders>
            <w:shd w:val="clear" w:color="auto" w:fill="auto"/>
            <w:vAlign w:val="center"/>
          </w:tcPr>
          <w:p w:rsidR="00B27742" w:rsidRPr="00BB5519" w:rsidRDefault="00B27742" w:rsidP="004000C7">
            <w:pPr>
              <w:pStyle w:val="TableText"/>
              <w:rPr>
                <w:rFonts w:ascii="Tahoma" w:hAnsi="Tahoma" w:cs="Tahoma"/>
                <w:sz w:val="13"/>
              </w:rPr>
            </w:pPr>
            <w:r w:rsidRPr="00BB5519">
              <w:rPr>
                <w:rFonts w:ascii="Tahoma" w:hAnsi="Tahoma" w:cs="Tahoma"/>
                <w:sz w:val="13"/>
              </w:rPr>
              <w:t>E,ST</w:t>
            </w:r>
          </w:p>
        </w:tc>
        <w:tc>
          <w:tcPr>
            <w:tcW w:w="540" w:type="dxa"/>
            <w:tcBorders>
              <w:bottom w:val="single" w:sz="4" w:space="0" w:color="auto"/>
            </w:tcBorders>
            <w:shd w:val="clear" w:color="auto" w:fill="auto"/>
            <w:vAlign w:val="center"/>
          </w:tcPr>
          <w:p w:rsidR="00B27742" w:rsidRPr="00BB5519" w:rsidRDefault="00B27742" w:rsidP="005D1AD1">
            <w:pPr>
              <w:pStyle w:val="TableText"/>
              <w:rPr>
                <w:rFonts w:ascii="Tahoma" w:hAnsi="Tahoma" w:cs="Tahoma"/>
                <w:sz w:val="13"/>
              </w:rPr>
            </w:pPr>
          </w:p>
        </w:tc>
      </w:tr>
      <w:tr w:rsidR="00B50A5B" w:rsidRPr="00BB5519" w:rsidTr="004064E2">
        <w:trPr>
          <w:trHeight w:val="123"/>
        </w:trPr>
        <w:tc>
          <w:tcPr>
            <w:tcW w:w="2430" w:type="dxa"/>
            <w:shd w:val="clear" w:color="auto" w:fill="FABF8F"/>
          </w:tcPr>
          <w:p w:rsidR="00B27742" w:rsidRPr="00BB5519" w:rsidRDefault="00B27742" w:rsidP="0070485B">
            <w:pPr>
              <w:pStyle w:val="ProductNames"/>
              <w:spacing w:before="40" w:after="40"/>
              <w:rPr>
                <w:rFonts w:ascii="Tahoma" w:hAnsi="Tahoma" w:cs="Tahoma"/>
                <w:position w:val="0"/>
                <w:sz w:val="14"/>
              </w:rPr>
            </w:pPr>
            <w:bookmarkStart w:id="138" w:name="_Toc336337906"/>
            <w:bookmarkStart w:id="139" w:name="_Toc354054603"/>
            <w:r w:rsidRPr="00BB5519">
              <w:rPr>
                <w:rFonts w:ascii="Tahoma" w:hAnsi="Tahoma" w:cs="Tahoma"/>
                <w:position w:val="0"/>
                <w:sz w:val="14"/>
              </w:rPr>
              <w:t>Windows Virtual Desktop Access (VDA)</w:t>
            </w:r>
            <w:bookmarkEnd w:id="138"/>
            <w:bookmarkEnd w:id="139"/>
          </w:p>
        </w:tc>
        <w:tc>
          <w:tcPr>
            <w:tcW w:w="540" w:type="dxa"/>
            <w:shd w:val="clear" w:color="auto" w:fill="FABF8F"/>
            <w:vAlign w:val="center"/>
          </w:tcPr>
          <w:p w:rsidR="00B27742" w:rsidRPr="00BB5519" w:rsidRDefault="00B27742">
            <w:pPr>
              <w:pStyle w:val="TableText"/>
              <w:widowControl w:val="0"/>
              <w:rPr>
                <w:rStyle w:val="EndnoteReference"/>
                <w:rFonts w:ascii="Tahoma" w:hAnsi="Tahoma"/>
                <w:color w:val="0000FF"/>
                <w:sz w:val="13"/>
                <w:szCs w:val="13"/>
              </w:rPr>
            </w:pPr>
          </w:p>
        </w:tc>
        <w:tc>
          <w:tcPr>
            <w:tcW w:w="450" w:type="dxa"/>
            <w:shd w:val="clear" w:color="auto" w:fill="FABF8F"/>
            <w:vAlign w:val="center"/>
          </w:tcPr>
          <w:p w:rsidR="00B27742" w:rsidRPr="00BB5519" w:rsidRDefault="00B27742" w:rsidP="007E466C">
            <w:pPr>
              <w:pStyle w:val="TableText"/>
              <w:rPr>
                <w:rFonts w:ascii="Tahoma" w:hAnsi="Tahoma" w:cs="Tahoma"/>
                <w:sz w:val="13"/>
              </w:rPr>
            </w:pPr>
            <w:r w:rsidRPr="00BB5519">
              <w:rPr>
                <w:rFonts w:ascii="Tahoma" w:hAnsi="Tahoma" w:cs="Tahoma"/>
                <w:sz w:val="13"/>
              </w:rPr>
              <w:t>07/10</w:t>
            </w:r>
          </w:p>
        </w:tc>
        <w:tc>
          <w:tcPr>
            <w:tcW w:w="360" w:type="dxa"/>
            <w:tcBorders>
              <w:right w:val="single" w:sz="18"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2</w:t>
            </w:r>
          </w:p>
        </w:tc>
        <w:tc>
          <w:tcPr>
            <w:tcW w:w="450" w:type="dxa"/>
            <w:tcBorders>
              <w:left w:val="single" w:sz="18" w:space="0" w:color="auto"/>
            </w:tcBorders>
            <w:shd w:val="clear" w:color="auto" w:fill="FABF8F"/>
            <w:vAlign w:val="center"/>
          </w:tcPr>
          <w:p w:rsidR="00B27742" w:rsidRPr="00BB5519" w:rsidRDefault="00B27742">
            <w:pPr>
              <w:pStyle w:val="TableText"/>
              <w:rPr>
                <w:rFonts w:ascii="Tahoma" w:hAnsi="Tahoma" w:cs="Tahoma"/>
                <w:sz w:val="13"/>
              </w:rPr>
            </w:pPr>
          </w:p>
        </w:tc>
        <w:tc>
          <w:tcPr>
            <w:tcW w:w="450" w:type="dxa"/>
            <w:shd w:val="clear" w:color="auto" w:fill="FABF8F"/>
            <w:vAlign w:val="center"/>
          </w:tcPr>
          <w:p w:rsidR="00B27742" w:rsidRPr="00BB5519"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BB5519"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BB5519" w:rsidRDefault="00751F50">
            <w:pPr>
              <w:pStyle w:val="TableText"/>
              <w:rPr>
                <w:rFonts w:ascii="Tahoma" w:hAnsi="Tahoma" w:cs="Tahoma"/>
                <w:sz w:val="13"/>
              </w:rPr>
            </w:pPr>
            <w:r w:rsidRPr="00BB5519">
              <w:rPr>
                <w:rFonts w:ascii="Tahoma" w:hAnsi="Tahoma" w:cs="Tahoma"/>
                <w:sz w:val="13"/>
              </w:rPr>
              <w:t>1)</w:t>
            </w:r>
          </w:p>
        </w:tc>
        <w:tc>
          <w:tcPr>
            <w:tcW w:w="450" w:type="dxa"/>
            <w:tcBorders>
              <w:right w:val="single" w:sz="18" w:space="0" w:color="auto"/>
            </w:tcBorders>
            <w:shd w:val="clear" w:color="auto" w:fill="FABF8F"/>
            <w:vAlign w:val="center"/>
          </w:tcPr>
          <w:p w:rsidR="00B27742" w:rsidRPr="00BB5519" w:rsidRDefault="00B27742" w:rsidP="00BD5039">
            <w:pPr>
              <w:pStyle w:val="TableText"/>
              <w:rPr>
                <w:rFonts w:ascii="Tahoma" w:hAnsi="Tahoma" w:cs="Tahoma"/>
                <w:sz w:val="13"/>
              </w:rPr>
            </w:pPr>
            <w:r w:rsidRPr="00BB5519">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BB5519" w:rsidRDefault="00B27742">
            <w:pPr>
              <w:pStyle w:val="TableText"/>
              <w:rPr>
                <w:rFonts w:ascii="Tahoma" w:hAnsi="Tahoma" w:cs="Tahoma"/>
                <w:sz w:val="13"/>
              </w:rPr>
            </w:pPr>
            <w:r w:rsidRPr="00BB5519">
              <w:rPr>
                <w:rFonts w:ascii="Tahoma" w:hAnsi="Tahoma" w:cs="Tahoma"/>
                <w:sz w:val="13"/>
              </w:rPr>
              <w:t>P</w:t>
            </w:r>
          </w:p>
        </w:tc>
        <w:tc>
          <w:tcPr>
            <w:tcW w:w="450" w:type="dxa"/>
            <w:shd w:val="clear" w:color="auto" w:fill="FABF8F"/>
            <w:vAlign w:val="center"/>
          </w:tcPr>
          <w:p w:rsidR="00B27742" w:rsidRPr="00BB5519" w:rsidRDefault="00954BF1" w:rsidP="00722522">
            <w:pPr>
              <w:pStyle w:val="TableText"/>
              <w:rPr>
                <w:rFonts w:ascii="Tahoma" w:hAnsi="Tahoma" w:cs="Tahoma"/>
                <w:sz w:val="13"/>
              </w:rPr>
            </w:pPr>
            <w:r w:rsidRPr="00BB5519">
              <w:rPr>
                <w:rFonts w:ascii="Tahoma" w:hAnsi="Tahoma" w:cs="Tahoma"/>
                <w:sz w:val="13"/>
              </w:rPr>
              <w:t>A</w:t>
            </w:r>
          </w:p>
        </w:tc>
        <w:tc>
          <w:tcPr>
            <w:tcW w:w="540" w:type="dxa"/>
            <w:shd w:val="clear" w:color="auto" w:fill="FABF8F"/>
            <w:vAlign w:val="center"/>
          </w:tcPr>
          <w:p w:rsidR="00B27742" w:rsidRPr="00BB5519" w:rsidRDefault="00B27742">
            <w:pPr>
              <w:pStyle w:val="TableText"/>
              <w:rPr>
                <w:rFonts w:ascii="Tahoma" w:hAnsi="Tahoma" w:cs="Tahoma"/>
                <w:sz w:val="13"/>
              </w:rPr>
            </w:pPr>
          </w:p>
        </w:tc>
      </w:tr>
      <w:tr w:rsidR="006F741C" w:rsidRPr="00BB5519" w:rsidTr="004064E2">
        <w:trPr>
          <w:trHeight w:val="123"/>
        </w:trPr>
        <w:tc>
          <w:tcPr>
            <w:tcW w:w="2430" w:type="dxa"/>
            <w:shd w:val="clear" w:color="auto" w:fill="auto"/>
          </w:tcPr>
          <w:p w:rsidR="006F741C" w:rsidRPr="00BB5519" w:rsidRDefault="006F741C" w:rsidP="00F70479">
            <w:pPr>
              <w:pStyle w:val="ProductNames"/>
              <w:rPr>
                <w:rFonts w:ascii="Tahoma" w:hAnsi="Tahoma" w:cs="Tahoma"/>
                <w:position w:val="0"/>
                <w:sz w:val="14"/>
              </w:rPr>
            </w:pPr>
            <w:bookmarkStart w:id="140" w:name="_Toc354054604"/>
            <w:r w:rsidRPr="00BB5519">
              <w:rPr>
                <w:rFonts w:ascii="Tahoma" w:hAnsi="Tahoma" w:cs="Tahoma"/>
                <w:position w:val="0"/>
                <w:sz w:val="14"/>
              </w:rPr>
              <w:t>Windows Intune (Pro Gerät)</w:t>
            </w:r>
            <w:bookmarkEnd w:id="140"/>
          </w:p>
        </w:tc>
        <w:tc>
          <w:tcPr>
            <w:tcW w:w="540" w:type="dxa"/>
            <w:shd w:val="clear" w:color="auto" w:fill="auto"/>
            <w:vAlign w:val="center"/>
          </w:tcPr>
          <w:p w:rsidR="006F741C" w:rsidRPr="00BB5519" w:rsidRDefault="005F5403" w:rsidP="00B0065F">
            <w:pPr>
              <w:pStyle w:val="TableText"/>
              <w:widowControl w:val="0"/>
              <w:rPr>
                <w:rStyle w:val="EndnoteReference"/>
                <w:b w:val="0"/>
                <w:color w:val="0000FF"/>
                <w:sz w:val="13"/>
                <w:szCs w:val="13"/>
              </w:rPr>
            </w:pPr>
            <w:hyperlink w:anchor="_29_Windows®_8" w:history="1">
              <w:r w:rsidR="00955428" w:rsidRPr="00041FEE">
                <w:rPr>
                  <w:rStyle w:val="Hyperlink"/>
                  <w:b/>
                  <w:sz w:val="13"/>
                  <w:szCs w:val="13"/>
                </w:rPr>
                <w:t>29</w:t>
              </w:r>
            </w:hyperlink>
          </w:p>
        </w:tc>
        <w:tc>
          <w:tcPr>
            <w:tcW w:w="450" w:type="dxa"/>
            <w:shd w:val="clear" w:color="auto" w:fill="auto"/>
          </w:tcPr>
          <w:p w:rsidR="006F741C" w:rsidRPr="00BB5519" w:rsidRDefault="006F741C" w:rsidP="006640D1">
            <w:pPr>
              <w:pStyle w:val="TableText"/>
              <w:spacing w:before="120"/>
              <w:rPr>
                <w:rFonts w:ascii="Tahoma" w:hAnsi="Tahoma" w:cs="Tahoma"/>
                <w:sz w:val="13"/>
              </w:rPr>
            </w:pPr>
            <w:r w:rsidRPr="00BB5519">
              <w:rPr>
                <w:rFonts w:ascii="Tahoma" w:hAnsi="Tahoma" w:cs="Tahoma"/>
                <w:sz w:val="13"/>
              </w:rPr>
              <w:t>4/11</w:t>
            </w:r>
          </w:p>
        </w:tc>
        <w:tc>
          <w:tcPr>
            <w:tcW w:w="360" w:type="dxa"/>
            <w:tcBorders>
              <w:right w:val="single" w:sz="18" w:space="0" w:color="auto"/>
            </w:tcBorders>
            <w:shd w:val="clear" w:color="auto" w:fill="auto"/>
            <w:vAlign w:val="center"/>
          </w:tcPr>
          <w:p w:rsidR="006F741C" w:rsidRPr="00BB5519"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BB5519"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BB5519" w:rsidRDefault="006F741C">
            <w:pPr>
              <w:pStyle w:val="TableText"/>
              <w:rPr>
                <w:rFonts w:ascii="Tahoma" w:hAnsi="Tahoma" w:cs="Tahoma"/>
                <w:sz w:val="13"/>
              </w:rPr>
            </w:pPr>
          </w:p>
        </w:tc>
        <w:tc>
          <w:tcPr>
            <w:tcW w:w="450" w:type="dxa"/>
            <w:shd w:val="clear" w:color="auto" w:fill="auto"/>
            <w:vAlign w:val="center"/>
          </w:tcPr>
          <w:p w:rsidR="006F741C" w:rsidRPr="00BB5519"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BB5519"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BB5519"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BB5519"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BB5519" w:rsidRDefault="006F741C">
            <w:pPr>
              <w:pStyle w:val="TableText"/>
              <w:rPr>
                <w:rFonts w:ascii="Tahoma" w:hAnsi="Tahoma" w:cs="Tahoma"/>
                <w:sz w:val="13"/>
              </w:rPr>
            </w:pPr>
          </w:p>
        </w:tc>
        <w:tc>
          <w:tcPr>
            <w:tcW w:w="450" w:type="dxa"/>
            <w:shd w:val="clear" w:color="auto" w:fill="auto"/>
            <w:vAlign w:val="center"/>
          </w:tcPr>
          <w:p w:rsidR="006F741C" w:rsidRPr="00BB5519" w:rsidRDefault="006F741C" w:rsidP="00722522">
            <w:pPr>
              <w:pStyle w:val="TableText"/>
              <w:rPr>
                <w:rFonts w:ascii="Tahoma" w:hAnsi="Tahoma" w:cs="Tahoma"/>
                <w:sz w:val="13"/>
              </w:rPr>
            </w:pPr>
          </w:p>
        </w:tc>
        <w:tc>
          <w:tcPr>
            <w:tcW w:w="540" w:type="dxa"/>
            <w:shd w:val="clear" w:color="auto" w:fill="auto"/>
            <w:vAlign w:val="center"/>
          </w:tcPr>
          <w:p w:rsidR="006F741C" w:rsidRPr="00BB5519" w:rsidRDefault="006F741C">
            <w:pPr>
              <w:pStyle w:val="TableText"/>
              <w:rPr>
                <w:rFonts w:ascii="Tahoma" w:hAnsi="Tahoma" w:cs="Tahoma"/>
                <w:sz w:val="13"/>
              </w:rPr>
            </w:pPr>
          </w:p>
        </w:tc>
      </w:tr>
      <w:tr w:rsidR="00955DF1" w:rsidRPr="00BB5519" w:rsidTr="004064E2">
        <w:trPr>
          <w:trHeight w:val="123"/>
        </w:trPr>
        <w:tc>
          <w:tcPr>
            <w:tcW w:w="2430" w:type="dxa"/>
            <w:tcBorders>
              <w:bottom w:val="single" w:sz="4" w:space="0" w:color="auto"/>
            </w:tcBorders>
            <w:shd w:val="clear" w:color="auto" w:fill="FABF8F"/>
          </w:tcPr>
          <w:p w:rsidR="00955DF1" w:rsidRPr="00BB5519" w:rsidRDefault="00955DF1" w:rsidP="00163658">
            <w:pPr>
              <w:pStyle w:val="ProductNames"/>
              <w:rPr>
                <w:rFonts w:ascii="Tahoma" w:hAnsi="Tahoma" w:cs="Tahoma"/>
                <w:position w:val="0"/>
                <w:sz w:val="14"/>
              </w:rPr>
            </w:pPr>
            <w:bookmarkStart w:id="141" w:name="_Toc354054605"/>
            <w:r w:rsidRPr="00BB5519">
              <w:rPr>
                <w:rFonts w:ascii="Tahoma" w:hAnsi="Tahoma" w:cs="Tahoma"/>
                <w:position w:val="0"/>
                <w:sz w:val="14"/>
              </w:rPr>
              <w:t>Windows Intune-Add-On (Pro Gerät)</w:t>
            </w:r>
            <w:bookmarkEnd w:id="141"/>
          </w:p>
        </w:tc>
        <w:tc>
          <w:tcPr>
            <w:tcW w:w="540" w:type="dxa"/>
            <w:tcBorders>
              <w:bottom w:val="single" w:sz="4" w:space="0" w:color="auto"/>
            </w:tcBorders>
            <w:shd w:val="clear" w:color="auto" w:fill="FABF8F"/>
            <w:vAlign w:val="center"/>
          </w:tcPr>
          <w:p w:rsidR="00955DF1" w:rsidRPr="00BB5519" w:rsidRDefault="005F5403" w:rsidP="00B0065F">
            <w:pPr>
              <w:pStyle w:val="TableText"/>
              <w:widowControl w:val="0"/>
              <w:rPr>
                <w:rStyle w:val="EndnoteReference"/>
                <w:b w:val="0"/>
                <w:color w:val="0000FF"/>
                <w:sz w:val="13"/>
                <w:szCs w:val="13"/>
              </w:rPr>
            </w:pPr>
            <w:hyperlink w:anchor="_98_Windows_Multipoint" w:history="1">
              <w:r w:rsidR="00B0065F" w:rsidRPr="00041FEE">
                <w:rPr>
                  <w:rStyle w:val="Hyperlink"/>
                  <w:b/>
                  <w:sz w:val="13"/>
                  <w:szCs w:val="13"/>
                </w:rPr>
                <w:t>30</w:t>
              </w:r>
            </w:hyperlink>
            <w:hyperlink w:anchor="Sys_27WindowsVistaProUpgrade" w:history="1"/>
          </w:p>
        </w:tc>
        <w:tc>
          <w:tcPr>
            <w:tcW w:w="450" w:type="dxa"/>
            <w:tcBorders>
              <w:bottom w:val="single" w:sz="4" w:space="0" w:color="auto"/>
            </w:tcBorders>
            <w:shd w:val="clear" w:color="auto" w:fill="FABF8F"/>
          </w:tcPr>
          <w:p w:rsidR="00955DF1" w:rsidRPr="00BB5519" w:rsidRDefault="00955DF1" w:rsidP="00163658">
            <w:pPr>
              <w:pStyle w:val="TableText"/>
              <w:spacing w:before="120"/>
              <w:rPr>
                <w:rFonts w:ascii="Tahoma" w:hAnsi="Tahoma" w:cs="Tahoma"/>
                <w:sz w:val="13"/>
              </w:rPr>
            </w:pPr>
            <w:r w:rsidRPr="00BB5519">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BB5519"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BB5519"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BB5519"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BB5519"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BB5519"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BB5519"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BB5519"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BB5519"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BB5519"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BB5519" w:rsidRDefault="00955DF1">
            <w:pPr>
              <w:pStyle w:val="TableText"/>
              <w:rPr>
                <w:rFonts w:ascii="Tahoma" w:hAnsi="Tahoma" w:cs="Tahoma"/>
                <w:sz w:val="13"/>
              </w:rPr>
            </w:pPr>
          </w:p>
        </w:tc>
      </w:tr>
    </w:tbl>
    <w:p w:rsidR="00091558" w:rsidRPr="00BB5519" w:rsidRDefault="00091558">
      <w:pPr>
        <w:pStyle w:val="ProductPool"/>
      </w:pPr>
    </w:p>
    <w:p w:rsidR="0021637C" w:rsidRPr="00BB5519" w:rsidRDefault="0021637C" w:rsidP="004E292A">
      <w:pPr>
        <w:pStyle w:val="Heading3"/>
      </w:pPr>
    </w:p>
    <w:p w:rsidR="00023FE7" w:rsidRPr="00BB5519" w:rsidRDefault="00023FE7" w:rsidP="004E292A">
      <w:pPr>
        <w:pStyle w:val="Heading3"/>
      </w:pPr>
      <w:bookmarkStart w:id="142" w:name="_Toc336337908"/>
      <w:bookmarkStart w:id="143" w:name="_Toc354054606"/>
      <w:r w:rsidRPr="00BB5519">
        <w:rPr>
          <w:rFonts w:ascii="Tahoma" w:hAnsi="Tahoma" w:cs="Tahoma"/>
          <w:sz w:val="22"/>
          <w:szCs w:val="22"/>
        </w:rPr>
        <w:t>SERVER-POOL</w:t>
      </w:r>
      <w:bookmarkEnd w:id="142"/>
      <w:bookmarkEnd w:id="143"/>
    </w:p>
    <w:p w:rsidR="00023FE7" w:rsidRPr="00BB5519" w:rsidRDefault="00023FE7"/>
    <w:tbl>
      <w:tblPr>
        <w:tblW w:w="10656" w:type="dxa"/>
        <w:tblInd w:w="-5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56"/>
        <w:gridCol w:w="630"/>
        <w:gridCol w:w="450"/>
        <w:gridCol w:w="360"/>
        <w:gridCol w:w="360"/>
        <w:gridCol w:w="450"/>
        <w:gridCol w:w="450"/>
        <w:gridCol w:w="450"/>
        <w:gridCol w:w="450"/>
        <w:gridCol w:w="450"/>
        <w:gridCol w:w="450"/>
        <w:gridCol w:w="360"/>
        <w:gridCol w:w="90"/>
        <w:gridCol w:w="360"/>
        <w:gridCol w:w="450"/>
        <w:gridCol w:w="450"/>
        <w:gridCol w:w="450"/>
        <w:gridCol w:w="450"/>
        <w:gridCol w:w="540"/>
        <w:gridCol w:w="450"/>
      </w:tblGrid>
      <w:tr w:rsidR="001C38D4" w:rsidRPr="00BB5519" w:rsidTr="004064E2">
        <w:trPr>
          <w:cantSplit/>
          <w:trHeight w:val="389"/>
          <w:tblHeader/>
        </w:trPr>
        <w:tc>
          <w:tcPr>
            <w:tcW w:w="2556" w:type="dxa"/>
            <w:vMerge w:val="restart"/>
            <w:tcBorders>
              <w:top w:val="single" w:sz="4" w:space="0" w:color="FFFFFF"/>
              <w:left w:val="single" w:sz="4" w:space="0" w:color="FFFFFF"/>
            </w:tcBorders>
          </w:tcPr>
          <w:p w:rsidR="00C031FA" w:rsidRPr="00BB5519" w:rsidRDefault="00C031FA">
            <w:pPr>
              <w:rPr>
                <w:rFonts w:cs="Tahoma"/>
                <w:sz w:val="20"/>
              </w:rPr>
            </w:pPr>
          </w:p>
        </w:tc>
        <w:tc>
          <w:tcPr>
            <w:tcW w:w="630" w:type="dxa"/>
            <w:vMerge w:val="restart"/>
            <w:tcBorders>
              <w:top w:val="single" w:sz="12" w:space="0" w:color="auto"/>
            </w:tcBorders>
            <w:textDirection w:val="btLr"/>
            <w:vAlign w:val="center"/>
          </w:tcPr>
          <w:p w:rsidR="00C031FA" w:rsidRPr="00BB5519" w:rsidRDefault="00C031FA" w:rsidP="0081627E">
            <w:pPr>
              <w:pStyle w:val="TableVerticalText"/>
              <w:rPr>
                <w:rFonts w:ascii="Tahoma" w:hAnsi="Tahoma" w:cs="Tahoma"/>
                <w:sz w:val="9"/>
              </w:rPr>
            </w:pPr>
            <w:r w:rsidRPr="00BB5519">
              <w:rPr>
                <w:rFonts w:ascii="Tahoma" w:hAnsi="Tahoma" w:cs="Tahoma"/>
                <w:sz w:val="9"/>
              </w:rPr>
              <w:t>Produkthinweise</w:t>
            </w:r>
          </w:p>
        </w:tc>
        <w:tc>
          <w:tcPr>
            <w:tcW w:w="450" w:type="dxa"/>
            <w:vMerge w:val="restart"/>
            <w:tcBorders>
              <w:top w:val="single" w:sz="12" w:space="0" w:color="auto"/>
            </w:tcBorders>
            <w:textDirection w:val="btLr"/>
          </w:tcPr>
          <w:p w:rsidR="00C031FA" w:rsidRPr="00BB5519" w:rsidRDefault="00C031FA">
            <w:pPr>
              <w:pStyle w:val="TableVerticalText"/>
            </w:pPr>
          </w:p>
          <w:p w:rsidR="00C031FA" w:rsidRPr="00BB5519" w:rsidRDefault="00C031FA">
            <w:pPr>
              <w:pStyle w:val="TableVerticalText"/>
              <w:rPr>
                <w:rFonts w:ascii="Tahoma" w:hAnsi="Tahoma" w:cs="Tahoma"/>
                <w:sz w:val="9"/>
              </w:rPr>
            </w:pPr>
            <w:r w:rsidRPr="00BB5519">
              <w:rPr>
                <w:rFonts w:ascii="Tahoma" w:hAnsi="Tahoma" w:cs="Tahoma"/>
                <w:sz w:val="9"/>
              </w:rPr>
              <w:t>Verfügbarkeitsdatum</w:t>
            </w:r>
          </w:p>
        </w:tc>
        <w:tc>
          <w:tcPr>
            <w:tcW w:w="360" w:type="dxa"/>
            <w:vMerge w:val="restart"/>
            <w:tcBorders>
              <w:top w:val="single" w:sz="12" w:space="0" w:color="auto"/>
              <w:right w:val="single" w:sz="18" w:space="0" w:color="auto"/>
            </w:tcBorders>
            <w:textDirection w:val="btLr"/>
            <w:vAlign w:val="center"/>
          </w:tcPr>
          <w:p w:rsidR="00C031FA" w:rsidRPr="00BB5519" w:rsidRDefault="00C031FA">
            <w:pPr>
              <w:pStyle w:val="TableVerticalText"/>
              <w:rPr>
                <w:rFonts w:ascii="Tahoma" w:hAnsi="Tahoma" w:cs="Tahoma"/>
                <w:sz w:val="9"/>
              </w:rPr>
            </w:pPr>
            <w:r w:rsidRPr="00BB5519">
              <w:rPr>
                <w:rFonts w:ascii="Tahoma" w:hAnsi="Tahoma" w:cs="Tahoma"/>
                <w:sz w:val="9"/>
              </w:rPr>
              <w:t>SAB / OSB</w:t>
            </w:r>
          </w:p>
        </w:tc>
        <w:tc>
          <w:tcPr>
            <w:tcW w:w="3060" w:type="dxa"/>
            <w:gridSpan w:val="7"/>
            <w:tcBorders>
              <w:top w:val="single" w:sz="12" w:space="0" w:color="auto"/>
              <w:left w:val="single" w:sz="18" w:space="0" w:color="auto"/>
              <w:right w:val="single" w:sz="18" w:space="0" w:color="auto"/>
            </w:tcBorders>
            <w:vAlign w:val="center"/>
          </w:tcPr>
          <w:p w:rsidR="00C031FA" w:rsidRPr="00BB5519" w:rsidRDefault="00C031FA">
            <w:pPr>
              <w:pStyle w:val="TableHeadingsBlack"/>
              <w:rPr>
                <w:rFonts w:ascii="Tahoma" w:hAnsi="Tahoma" w:cs="Tahoma"/>
              </w:rPr>
            </w:pPr>
            <w:r w:rsidRPr="00BB5519">
              <w:rPr>
                <w:rFonts w:ascii="Tahoma" w:hAnsi="Tahoma" w:cs="Tahoma"/>
              </w:rPr>
              <w:t>Select/Select Plus*</w:t>
            </w:r>
          </w:p>
        </w:tc>
        <w:tc>
          <w:tcPr>
            <w:tcW w:w="1260" w:type="dxa"/>
            <w:gridSpan w:val="4"/>
            <w:tcBorders>
              <w:top w:val="single" w:sz="12" w:space="0" w:color="auto"/>
              <w:left w:val="single" w:sz="18" w:space="0" w:color="auto"/>
              <w:right w:val="single" w:sz="18" w:space="0" w:color="auto"/>
            </w:tcBorders>
            <w:vAlign w:val="center"/>
          </w:tcPr>
          <w:p w:rsidR="00C031FA" w:rsidRPr="00BB5519" w:rsidRDefault="00C031FA">
            <w:pPr>
              <w:pStyle w:val="TableHeadingsBlack"/>
              <w:rPr>
                <w:rFonts w:ascii="Tahoma" w:hAnsi="Tahoma" w:cs="Tahoma"/>
                <w:szCs w:val="11"/>
              </w:rPr>
            </w:pPr>
            <w:r w:rsidRPr="00BB5519">
              <w:rPr>
                <w:rFonts w:ascii="Tahoma" w:hAnsi="Tahoma" w:cs="Tahoma"/>
                <w:szCs w:val="11"/>
              </w:rPr>
              <w:t>Open-Lizenz</w:t>
            </w:r>
          </w:p>
        </w:tc>
        <w:tc>
          <w:tcPr>
            <w:tcW w:w="450" w:type="dxa"/>
            <w:vMerge w:val="restart"/>
            <w:tcBorders>
              <w:top w:val="single" w:sz="12" w:space="0" w:color="auto"/>
              <w:left w:val="single" w:sz="18" w:space="0" w:color="auto"/>
            </w:tcBorders>
            <w:textDirection w:val="btLr"/>
            <w:vAlign w:val="center"/>
          </w:tcPr>
          <w:p w:rsidR="00C031FA" w:rsidRPr="00BB5519" w:rsidRDefault="00C031FA">
            <w:pPr>
              <w:pStyle w:val="TableVerticalText"/>
              <w:rPr>
                <w:rFonts w:ascii="Tahoma" w:hAnsi="Tahoma" w:cs="Tahoma"/>
                <w:sz w:val="9"/>
              </w:rPr>
            </w:pPr>
            <w:r w:rsidRPr="00BB5519">
              <w:rPr>
                <w:rFonts w:ascii="Tahoma" w:hAnsi="Tahoma" w:cs="Tahoma"/>
                <w:sz w:val="9"/>
              </w:rPr>
              <w:t>Campus- und School-Einheiten</w:t>
            </w:r>
          </w:p>
        </w:tc>
        <w:tc>
          <w:tcPr>
            <w:tcW w:w="450" w:type="dxa"/>
            <w:vMerge w:val="restart"/>
            <w:tcBorders>
              <w:top w:val="single" w:sz="12" w:space="0" w:color="auto"/>
              <w:right w:val="single" w:sz="18" w:space="0" w:color="auto"/>
            </w:tcBorders>
            <w:textDirection w:val="btLr"/>
            <w:vAlign w:val="center"/>
          </w:tcPr>
          <w:p w:rsidR="00C031FA" w:rsidRPr="00BB5519" w:rsidRDefault="00C031FA">
            <w:pPr>
              <w:pStyle w:val="TableVerticalText"/>
              <w:rPr>
                <w:rFonts w:ascii="Tahoma" w:hAnsi="Tahoma" w:cs="Tahoma"/>
                <w:sz w:val="9"/>
              </w:rPr>
            </w:pPr>
            <w:r w:rsidRPr="00BB5519">
              <w:rPr>
                <w:rFonts w:ascii="Tahoma" w:hAnsi="Tahoma" w:cs="Tahoma"/>
                <w:sz w:val="9"/>
              </w:rPr>
              <w:t xml:space="preserve">EA und </w:t>
            </w:r>
            <w:r w:rsidRPr="00BB5519">
              <w:rPr>
                <w:rFonts w:ascii="Tahoma" w:hAnsi="Tahoma" w:cs="Tahoma"/>
                <w:sz w:val="9"/>
              </w:rPr>
              <w:br/>
              <w:t>EA Abo</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BB5519" w:rsidRDefault="00C031FA">
            <w:pPr>
              <w:pStyle w:val="TableVerticalText"/>
              <w:rPr>
                <w:rFonts w:ascii="Tahoma" w:hAnsi="Tahoma" w:cs="Tahoma"/>
                <w:sz w:val="9"/>
              </w:rPr>
            </w:pPr>
            <w:r w:rsidRPr="00BB5519">
              <w:rPr>
                <w:rFonts w:ascii="Tahoma" w:hAnsi="Tahoma" w:cs="Tahoma"/>
                <w:sz w:val="9"/>
              </w:rPr>
              <w:t>OV/OVS</w:t>
            </w:r>
          </w:p>
        </w:tc>
        <w:tc>
          <w:tcPr>
            <w:tcW w:w="540" w:type="dxa"/>
            <w:vMerge w:val="restart"/>
            <w:tcBorders>
              <w:top w:val="single" w:sz="12" w:space="0" w:color="auto"/>
            </w:tcBorders>
            <w:textDirection w:val="btLr"/>
          </w:tcPr>
          <w:p w:rsidR="00C031FA" w:rsidRPr="00BB5519" w:rsidRDefault="00C031FA" w:rsidP="00384940">
            <w:pPr>
              <w:pStyle w:val="TableVerticalText"/>
              <w:spacing w:before="120"/>
              <w:rPr>
                <w:rFonts w:ascii="Tahoma" w:hAnsi="Tahoma" w:cs="Tahoma"/>
                <w:sz w:val="9"/>
              </w:rPr>
            </w:pPr>
            <w:r w:rsidRPr="00BB5519">
              <w:rPr>
                <w:rFonts w:ascii="Tahoma" w:hAnsi="Tahoma" w:cs="Tahoma"/>
                <w:sz w:val="9"/>
              </w:rPr>
              <w:t>EES/OVS-ES</w:t>
            </w:r>
          </w:p>
        </w:tc>
        <w:tc>
          <w:tcPr>
            <w:tcW w:w="450" w:type="dxa"/>
            <w:vMerge w:val="restart"/>
            <w:tcBorders>
              <w:top w:val="single" w:sz="12" w:space="0" w:color="auto"/>
            </w:tcBorders>
            <w:textDirection w:val="btLr"/>
            <w:vAlign w:val="center"/>
          </w:tcPr>
          <w:p w:rsidR="00C031FA" w:rsidRPr="00BB5519" w:rsidRDefault="00C031FA" w:rsidP="00456002">
            <w:pPr>
              <w:pStyle w:val="TableVerticalText"/>
              <w:rPr>
                <w:rFonts w:ascii="Tahoma" w:hAnsi="Tahoma" w:cs="Tahoma"/>
                <w:sz w:val="9"/>
              </w:rPr>
            </w:pPr>
            <w:r w:rsidRPr="00BB5519">
              <w:rPr>
                <w:rFonts w:ascii="Tahoma" w:hAnsi="Tahoma" w:cs="Tahoma"/>
                <w:sz w:val="9"/>
              </w:rPr>
              <w:t>Mindestmenge bei Open-Programmen</w:t>
            </w:r>
          </w:p>
        </w:tc>
      </w:tr>
      <w:tr w:rsidR="001C38D4" w:rsidRPr="00BB5519" w:rsidTr="004064E2">
        <w:trPr>
          <w:cantSplit/>
          <w:trHeight w:val="262"/>
          <w:tblHeader/>
        </w:trPr>
        <w:tc>
          <w:tcPr>
            <w:tcW w:w="2556" w:type="dxa"/>
            <w:vMerge/>
            <w:tcBorders>
              <w:left w:val="single" w:sz="4" w:space="0" w:color="FFFFFF"/>
            </w:tcBorders>
          </w:tcPr>
          <w:p w:rsidR="00C031FA" w:rsidRPr="00BB5519" w:rsidRDefault="00C031FA">
            <w:pPr>
              <w:rPr>
                <w:rFonts w:cs="Tahoma"/>
                <w:sz w:val="20"/>
              </w:rPr>
            </w:pPr>
          </w:p>
        </w:tc>
        <w:tc>
          <w:tcPr>
            <w:tcW w:w="630" w:type="dxa"/>
            <w:vMerge/>
          </w:tcPr>
          <w:p w:rsidR="00C031FA" w:rsidRPr="00BB5519" w:rsidRDefault="00C031FA">
            <w:pPr>
              <w:rPr>
                <w:rFonts w:cs="Tahoma"/>
                <w:b/>
                <w:sz w:val="20"/>
              </w:rPr>
            </w:pPr>
          </w:p>
        </w:tc>
        <w:tc>
          <w:tcPr>
            <w:tcW w:w="450" w:type="dxa"/>
            <w:vMerge/>
          </w:tcPr>
          <w:p w:rsidR="00C031FA" w:rsidRPr="00BB5519" w:rsidRDefault="00C031FA">
            <w:pPr>
              <w:rPr>
                <w:rFonts w:cs="Tahoma"/>
                <w:sz w:val="20"/>
              </w:rPr>
            </w:pPr>
          </w:p>
        </w:tc>
        <w:tc>
          <w:tcPr>
            <w:tcW w:w="360" w:type="dxa"/>
            <w:vMerge/>
            <w:tcBorders>
              <w:right w:val="single" w:sz="18" w:space="0" w:color="auto"/>
            </w:tcBorders>
          </w:tcPr>
          <w:p w:rsidR="00C031FA" w:rsidRPr="00BB5519" w:rsidRDefault="00C031FA">
            <w:pPr>
              <w:rPr>
                <w:rFonts w:cs="Tahoma"/>
                <w:sz w:val="20"/>
              </w:rPr>
            </w:pPr>
          </w:p>
        </w:tc>
        <w:tc>
          <w:tcPr>
            <w:tcW w:w="360" w:type="dxa"/>
            <w:vMerge w:val="restart"/>
            <w:tcBorders>
              <w:left w:val="single" w:sz="18" w:space="0" w:color="auto"/>
            </w:tcBorders>
            <w:vAlign w:val="center"/>
          </w:tcPr>
          <w:p w:rsidR="00C031FA" w:rsidRPr="00BB5519" w:rsidRDefault="00C031FA">
            <w:pPr>
              <w:pStyle w:val="TableHeadingsRed"/>
              <w:rPr>
                <w:rFonts w:ascii="Tahoma" w:hAnsi="Tahoma" w:cs="Tahoma"/>
                <w:sz w:val="9"/>
              </w:rPr>
            </w:pPr>
            <w:r w:rsidRPr="00BB5519">
              <w:rPr>
                <w:rFonts w:ascii="Tahoma" w:hAnsi="Tahoma" w:cs="Tahoma"/>
                <w:sz w:val="9"/>
              </w:rPr>
              <w:t>L</w:t>
            </w:r>
          </w:p>
        </w:tc>
        <w:tc>
          <w:tcPr>
            <w:tcW w:w="1350" w:type="dxa"/>
            <w:gridSpan w:val="3"/>
            <w:vAlign w:val="center"/>
          </w:tcPr>
          <w:p w:rsidR="00C031FA" w:rsidRPr="00BB5519" w:rsidRDefault="00C031FA">
            <w:pPr>
              <w:pStyle w:val="TableHeadingsGreen"/>
              <w:rPr>
                <w:rFonts w:ascii="Tahoma" w:hAnsi="Tahoma" w:cs="Tahoma"/>
                <w:sz w:val="9"/>
              </w:rPr>
            </w:pPr>
            <w:r w:rsidRPr="00BB5519">
              <w:rPr>
                <w:rFonts w:ascii="Tahoma" w:hAnsi="Tahoma" w:cs="Tahoma"/>
                <w:sz w:val="9"/>
              </w:rPr>
              <w:t>L&amp;SA</w:t>
            </w:r>
          </w:p>
        </w:tc>
        <w:tc>
          <w:tcPr>
            <w:tcW w:w="1350" w:type="dxa"/>
            <w:gridSpan w:val="3"/>
            <w:tcBorders>
              <w:right w:val="single" w:sz="18" w:space="0" w:color="auto"/>
            </w:tcBorders>
            <w:vAlign w:val="center"/>
          </w:tcPr>
          <w:p w:rsidR="00C031FA" w:rsidRPr="00BB5519" w:rsidRDefault="00C031FA">
            <w:pPr>
              <w:pStyle w:val="TableHeadingsBlue"/>
              <w:rPr>
                <w:rFonts w:ascii="Tahoma" w:hAnsi="Tahoma" w:cs="Tahoma"/>
                <w:sz w:val="9"/>
              </w:rPr>
            </w:pPr>
            <w:r w:rsidRPr="00BB5519">
              <w:rPr>
                <w:rFonts w:ascii="Tahoma" w:hAnsi="Tahoma" w:cs="Tahoma"/>
                <w:sz w:val="9"/>
              </w:rPr>
              <w:t>SA</w:t>
            </w:r>
          </w:p>
        </w:tc>
        <w:tc>
          <w:tcPr>
            <w:tcW w:w="450" w:type="dxa"/>
            <w:gridSpan w:val="2"/>
            <w:vMerge w:val="restart"/>
            <w:tcBorders>
              <w:left w:val="single" w:sz="18" w:space="0" w:color="auto"/>
            </w:tcBorders>
            <w:vAlign w:val="center"/>
          </w:tcPr>
          <w:p w:rsidR="00C031FA" w:rsidRPr="00BB5519" w:rsidRDefault="00C031FA">
            <w:pPr>
              <w:pStyle w:val="TableHeadingsRed"/>
              <w:rPr>
                <w:rFonts w:ascii="Tahoma" w:hAnsi="Tahoma" w:cs="Tahoma"/>
                <w:sz w:val="9"/>
              </w:rPr>
            </w:pPr>
            <w:r w:rsidRPr="00BB5519">
              <w:rPr>
                <w:rFonts w:ascii="Tahoma" w:hAnsi="Tahoma" w:cs="Tahoma"/>
                <w:sz w:val="9"/>
              </w:rPr>
              <w:t>L</w:t>
            </w:r>
          </w:p>
        </w:tc>
        <w:tc>
          <w:tcPr>
            <w:tcW w:w="360" w:type="dxa"/>
            <w:vAlign w:val="center"/>
          </w:tcPr>
          <w:p w:rsidR="00C031FA" w:rsidRPr="00BB5519" w:rsidRDefault="00C031FA">
            <w:pPr>
              <w:pStyle w:val="TableHeadingsGreen"/>
              <w:rPr>
                <w:rFonts w:ascii="Tahoma" w:hAnsi="Tahoma" w:cs="Tahoma"/>
                <w:sz w:val="9"/>
              </w:rPr>
            </w:pPr>
            <w:r w:rsidRPr="00BB5519">
              <w:rPr>
                <w:rFonts w:ascii="Tahoma" w:hAnsi="Tahoma" w:cs="Tahoma"/>
                <w:sz w:val="9"/>
              </w:rPr>
              <w:t>L&amp;SA</w:t>
            </w:r>
          </w:p>
        </w:tc>
        <w:tc>
          <w:tcPr>
            <w:tcW w:w="450" w:type="dxa"/>
            <w:vMerge w:val="restart"/>
            <w:tcBorders>
              <w:right w:val="single" w:sz="18" w:space="0" w:color="auto"/>
            </w:tcBorders>
            <w:vAlign w:val="center"/>
          </w:tcPr>
          <w:p w:rsidR="00C031FA" w:rsidRPr="00BB5519" w:rsidRDefault="00C031FA">
            <w:pPr>
              <w:pStyle w:val="TableHeadingsBlue"/>
              <w:rPr>
                <w:rFonts w:ascii="Tahoma" w:hAnsi="Tahoma" w:cs="Tahoma"/>
                <w:sz w:val="9"/>
              </w:rPr>
            </w:pPr>
            <w:r w:rsidRPr="00BB5519">
              <w:rPr>
                <w:rFonts w:ascii="Tahoma" w:hAnsi="Tahoma" w:cs="Tahoma"/>
                <w:sz w:val="9"/>
              </w:rPr>
              <w:t>SA</w:t>
            </w:r>
          </w:p>
        </w:tc>
        <w:tc>
          <w:tcPr>
            <w:tcW w:w="450" w:type="dxa"/>
            <w:vMerge/>
            <w:tcBorders>
              <w:left w:val="single" w:sz="18" w:space="0" w:color="auto"/>
            </w:tcBorders>
          </w:tcPr>
          <w:p w:rsidR="00C031FA" w:rsidRPr="00BB5519" w:rsidRDefault="00C031FA">
            <w:pPr>
              <w:rPr>
                <w:rFonts w:cs="Tahoma"/>
                <w:sz w:val="20"/>
              </w:rPr>
            </w:pPr>
          </w:p>
        </w:tc>
        <w:tc>
          <w:tcPr>
            <w:tcW w:w="450" w:type="dxa"/>
            <w:vMerge/>
            <w:tcBorders>
              <w:right w:val="single" w:sz="18" w:space="0" w:color="auto"/>
            </w:tcBorders>
          </w:tcPr>
          <w:p w:rsidR="00C031FA" w:rsidRPr="00BB5519" w:rsidRDefault="00C031FA">
            <w:pPr>
              <w:rPr>
                <w:rFonts w:cs="Tahoma"/>
                <w:sz w:val="20"/>
              </w:rPr>
            </w:pPr>
          </w:p>
        </w:tc>
        <w:tc>
          <w:tcPr>
            <w:tcW w:w="450" w:type="dxa"/>
            <w:vMerge/>
            <w:tcBorders>
              <w:left w:val="single" w:sz="18" w:space="0" w:color="auto"/>
              <w:right w:val="single" w:sz="18" w:space="0" w:color="auto"/>
            </w:tcBorders>
          </w:tcPr>
          <w:p w:rsidR="00C031FA" w:rsidRPr="00BB5519" w:rsidRDefault="00C031FA">
            <w:pPr>
              <w:rPr>
                <w:rFonts w:cs="Tahoma"/>
                <w:sz w:val="20"/>
              </w:rPr>
            </w:pPr>
          </w:p>
        </w:tc>
        <w:tc>
          <w:tcPr>
            <w:tcW w:w="540" w:type="dxa"/>
            <w:vMerge/>
          </w:tcPr>
          <w:p w:rsidR="00C031FA" w:rsidRPr="00BB5519" w:rsidRDefault="00C031FA">
            <w:pPr>
              <w:rPr>
                <w:rFonts w:cs="Tahoma"/>
                <w:sz w:val="20"/>
              </w:rPr>
            </w:pPr>
          </w:p>
        </w:tc>
        <w:tc>
          <w:tcPr>
            <w:tcW w:w="450" w:type="dxa"/>
            <w:vMerge/>
          </w:tcPr>
          <w:p w:rsidR="00C031FA" w:rsidRPr="00BB5519" w:rsidRDefault="00C031FA">
            <w:pPr>
              <w:rPr>
                <w:rFonts w:cs="Tahoma"/>
                <w:sz w:val="20"/>
              </w:rPr>
            </w:pPr>
          </w:p>
        </w:tc>
      </w:tr>
      <w:tr w:rsidR="001C38D4" w:rsidRPr="00BB5519" w:rsidTr="004064E2">
        <w:trPr>
          <w:cantSplit/>
          <w:trHeight w:val="917"/>
          <w:tblHeader/>
        </w:trPr>
        <w:tc>
          <w:tcPr>
            <w:tcW w:w="2556" w:type="dxa"/>
            <w:vMerge/>
            <w:tcBorders>
              <w:left w:val="single" w:sz="4" w:space="0" w:color="FFFFFF"/>
              <w:bottom w:val="single" w:sz="4" w:space="0" w:color="auto"/>
            </w:tcBorders>
          </w:tcPr>
          <w:p w:rsidR="00C031FA" w:rsidRPr="00BB5519" w:rsidRDefault="00C031FA">
            <w:pPr>
              <w:rPr>
                <w:rFonts w:cs="Tahoma"/>
                <w:sz w:val="20"/>
              </w:rPr>
            </w:pPr>
          </w:p>
        </w:tc>
        <w:tc>
          <w:tcPr>
            <w:tcW w:w="630" w:type="dxa"/>
            <w:vMerge/>
            <w:tcBorders>
              <w:bottom w:val="single" w:sz="4" w:space="0" w:color="auto"/>
            </w:tcBorders>
          </w:tcPr>
          <w:p w:rsidR="00C031FA" w:rsidRPr="00BB5519" w:rsidRDefault="00C031FA">
            <w:pPr>
              <w:rPr>
                <w:rFonts w:cs="Tahoma"/>
                <w:b/>
                <w:sz w:val="20"/>
              </w:rPr>
            </w:pPr>
          </w:p>
        </w:tc>
        <w:tc>
          <w:tcPr>
            <w:tcW w:w="450" w:type="dxa"/>
            <w:vMerge/>
            <w:tcBorders>
              <w:bottom w:val="single" w:sz="4" w:space="0" w:color="auto"/>
            </w:tcBorders>
          </w:tcPr>
          <w:p w:rsidR="00C031FA" w:rsidRPr="00BB5519" w:rsidRDefault="00C031FA">
            <w:pPr>
              <w:rPr>
                <w:rFonts w:cs="Tahoma"/>
                <w:sz w:val="20"/>
              </w:rPr>
            </w:pPr>
          </w:p>
        </w:tc>
        <w:tc>
          <w:tcPr>
            <w:tcW w:w="360" w:type="dxa"/>
            <w:vMerge/>
            <w:tcBorders>
              <w:bottom w:val="single" w:sz="4" w:space="0" w:color="auto"/>
              <w:right w:val="single" w:sz="18" w:space="0" w:color="auto"/>
            </w:tcBorders>
          </w:tcPr>
          <w:p w:rsidR="00C031FA" w:rsidRPr="00BB5519" w:rsidRDefault="00C031FA">
            <w:pPr>
              <w:rPr>
                <w:rFonts w:cs="Tahoma"/>
                <w:sz w:val="20"/>
              </w:rPr>
            </w:pPr>
          </w:p>
        </w:tc>
        <w:tc>
          <w:tcPr>
            <w:tcW w:w="360" w:type="dxa"/>
            <w:vMerge/>
            <w:tcBorders>
              <w:left w:val="single" w:sz="18" w:space="0" w:color="auto"/>
              <w:bottom w:val="single" w:sz="4" w:space="0" w:color="auto"/>
            </w:tcBorders>
            <w:vAlign w:val="center"/>
          </w:tcPr>
          <w:p w:rsidR="00C031FA" w:rsidRPr="00BB5519" w:rsidRDefault="00C031FA">
            <w:pPr>
              <w:jc w:val="center"/>
              <w:rPr>
                <w:rFonts w:cs="Tahoma"/>
                <w:sz w:val="20"/>
              </w:rPr>
            </w:pPr>
          </w:p>
        </w:tc>
        <w:tc>
          <w:tcPr>
            <w:tcW w:w="450" w:type="dxa"/>
            <w:tcBorders>
              <w:bottom w:val="single" w:sz="4" w:space="0" w:color="auto"/>
            </w:tcBorders>
            <w:vAlign w:val="center"/>
          </w:tcPr>
          <w:p w:rsidR="00C031FA" w:rsidRPr="00BB5519" w:rsidRDefault="00C031FA">
            <w:pPr>
              <w:pStyle w:val="TableHeadingsGreen"/>
              <w:rPr>
                <w:rFonts w:ascii="Tahoma" w:hAnsi="Tahoma" w:cs="Tahoma"/>
                <w:sz w:val="9"/>
              </w:rPr>
            </w:pPr>
            <w:r w:rsidRPr="00BB5519">
              <w:rPr>
                <w:rFonts w:ascii="Tahoma" w:hAnsi="Tahoma" w:cs="Tahoma"/>
                <w:sz w:val="9"/>
              </w:rPr>
              <w:t>3 Jahre</w:t>
            </w:r>
          </w:p>
        </w:tc>
        <w:tc>
          <w:tcPr>
            <w:tcW w:w="450" w:type="dxa"/>
            <w:tcBorders>
              <w:bottom w:val="single" w:sz="4" w:space="0" w:color="auto"/>
            </w:tcBorders>
            <w:vAlign w:val="center"/>
          </w:tcPr>
          <w:p w:rsidR="00C031FA" w:rsidRPr="00BB5519" w:rsidRDefault="00C031FA">
            <w:pPr>
              <w:pStyle w:val="TableHeadingsGreen"/>
              <w:rPr>
                <w:rFonts w:ascii="Tahoma" w:hAnsi="Tahoma" w:cs="Tahoma"/>
                <w:sz w:val="9"/>
              </w:rPr>
            </w:pPr>
            <w:r w:rsidRPr="00BB5519">
              <w:rPr>
                <w:rFonts w:ascii="Tahoma" w:hAnsi="Tahoma" w:cs="Tahoma"/>
                <w:sz w:val="9"/>
              </w:rPr>
              <w:t>2 Jahre</w:t>
            </w:r>
          </w:p>
        </w:tc>
        <w:tc>
          <w:tcPr>
            <w:tcW w:w="450" w:type="dxa"/>
            <w:tcBorders>
              <w:bottom w:val="single" w:sz="4" w:space="0" w:color="auto"/>
            </w:tcBorders>
            <w:vAlign w:val="center"/>
          </w:tcPr>
          <w:p w:rsidR="00C031FA" w:rsidRPr="00BB5519" w:rsidRDefault="00C031FA">
            <w:pPr>
              <w:pStyle w:val="TableHeadingsGreen"/>
              <w:rPr>
                <w:rFonts w:ascii="Tahoma" w:hAnsi="Tahoma" w:cs="Tahoma"/>
                <w:sz w:val="9"/>
              </w:rPr>
            </w:pPr>
            <w:r w:rsidRPr="00BB5519">
              <w:rPr>
                <w:rFonts w:ascii="Tahoma" w:hAnsi="Tahoma" w:cs="Tahoma"/>
                <w:sz w:val="9"/>
              </w:rPr>
              <w:t>1 Jahr</w:t>
            </w:r>
          </w:p>
        </w:tc>
        <w:tc>
          <w:tcPr>
            <w:tcW w:w="450" w:type="dxa"/>
            <w:tcBorders>
              <w:bottom w:val="single" w:sz="4" w:space="0" w:color="auto"/>
            </w:tcBorders>
            <w:vAlign w:val="center"/>
          </w:tcPr>
          <w:p w:rsidR="00C031FA" w:rsidRPr="00BB5519" w:rsidRDefault="00C031FA">
            <w:pPr>
              <w:pStyle w:val="TableHeadingsBlue"/>
              <w:rPr>
                <w:rFonts w:ascii="Tahoma" w:hAnsi="Tahoma" w:cs="Tahoma"/>
                <w:sz w:val="9"/>
              </w:rPr>
            </w:pPr>
            <w:r w:rsidRPr="00BB5519">
              <w:rPr>
                <w:rFonts w:ascii="Tahoma" w:hAnsi="Tahoma" w:cs="Tahoma"/>
                <w:sz w:val="9"/>
              </w:rPr>
              <w:t>3 Jahre</w:t>
            </w:r>
          </w:p>
        </w:tc>
        <w:tc>
          <w:tcPr>
            <w:tcW w:w="450" w:type="dxa"/>
            <w:tcBorders>
              <w:bottom w:val="single" w:sz="4" w:space="0" w:color="auto"/>
            </w:tcBorders>
            <w:vAlign w:val="center"/>
          </w:tcPr>
          <w:p w:rsidR="00C031FA" w:rsidRPr="00BB5519" w:rsidRDefault="00C031FA">
            <w:pPr>
              <w:pStyle w:val="TableHeadingsBlue"/>
              <w:rPr>
                <w:rFonts w:ascii="Tahoma" w:hAnsi="Tahoma" w:cs="Tahoma"/>
                <w:sz w:val="9"/>
              </w:rPr>
            </w:pPr>
            <w:r w:rsidRPr="00BB5519">
              <w:rPr>
                <w:rFonts w:ascii="Tahoma" w:hAnsi="Tahoma" w:cs="Tahoma"/>
                <w:sz w:val="9"/>
              </w:rPr>
              <w:t>2 Jahre</w:t>
            </w:r>
          </w:p>
        </w:tc>
        <w:tc>
          <w:tcPr>
            <w:tcW w:w="450" w:type="dxa"/>
            <w:tcBorders>
              <w:bottom w:val="single" w:sz="4" w:space="0" w:color="auto"/>
              <w:right w:val="single" w:sz="18" w:space="0" w:color="auto"/>
            </w:tcBorders>
            <w:vAlign w:val="center"/>
          </w:tcPr>
          <w:p w:rsidR="00C031FA" w:rsidRPr="00BB5519" w:rsidRDefault="00C031FA">
            <w:pPr>
              <w:pStyle w:val="TableHeadingsBlue"/>
              <w:rPr>
                <w:rFonts w:ascii="Tahoma" w:hAnsi="Tahoma" w:cs="Tahoma"/>
                <w:sz w:val="9"/>
              </w:rPr>
            </w:pPr>
            <w:r w:rsidRPr="00BB5519">
              <w:rPr>
                <w:rFonts w:ascii="Tahoma" w:hAnsi="Tahoma" w:cs="Tahoma"/>
                <w:sz w:val="9"/>
              </w:rPr>
              <w:t>1 Jahr</w:t>
            </w:r>
          </w:p>
        </w:tc>
        <w:tc>
          <w:tcPr>
            <w:tcW w:w="450" w:type="dxa"/>
            <w:gridSpan w:val="2"/>
            <w:vMerge/>
            <w:tcBorders>
              <w:left w:val="single" w:sz="18" w:space="0" w:color="auto"/>
              <w:bottom w:val="single" w:sz="4" w:space="0" w:color="auto"/>
            </w:tcBorders>
            <w:vAlign w:val="center"/>
          </w:tcPr>
          <w:p w:rsidR="00C031FA" w:rsidRPr="00BB5519" w:rsidRDefault="00C031FA">
            <w:pPr>
              <w:jc w:val="center"/>
              <w:rPr>
                <w:rFonts w:cs="Tahoma"/>
                <w:sz w:val="20"/>
              </w:rPr>
            </w:pPr>
          </w:p>
        </w:tc>
        <w:tc>
          <w:tcPr>
            <w:tcW w:w="360" w:type="dxa"/>
            <w:tcBorders>
              <w:bottom w:val="single" w:sz="4" w:space="0" w:color="auto"/>
            </w:tcBorders>
            <w:vAlign w:val="center"/>
          </w:tcPr>
          <w:p w:rsidR="00C031FA" w:rsidRPr="00BB5519" w:rsidRDefault="00C031FA">
            <w:pPr>
              <w:pStyle w:val="TableHeadingsGreen"/>
              <w:rPr>
                <w:rFonts w:ascii="Tahoma" w:hAnsi="Tahoma" w:cs="Tahoma"/>
                <w:sz w:val="9"/>
              </w:rPr>
            </w:pPr>
            <w:r w:rsidRPr="00BB5519">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BB5519" w:rsidRDefault="00C031FA">
            <w:pPr>
              <w:jc w:val="center"/>
              <w:rPr>
                <w:rFonts w:cs="Tahoma"/>
                <w:sz w:val="20"/>
              </w:rPr>
            </w:pPr>
          </w:p>
        </w:tc>
        <w:tc>
          <w:tcPr>
            <w:tcW w:w="450" w:type="dxa"/>
            <w:vMerge/>
            <w:tcBorders>
              <w:left w:val="single" w:sz="18" w:space="0" w:color="auto"/>
              <w:bottom w:val="single" w:sz="4" w:space="0" w:color="auto"/>
            </w:tcBorders>
          </w:tcPr>
          <w:p w:rsidR="00C031FA" w:rsidRPr="00BB5519" w:rsidRDefault="00C031FA">
            <w:pPr>
              <w:rPr>
                <w:rFonts w:cs="Tahoma"/>
                <w:sz w:val="20"/>
              </w:rPr>
            </w:pPr>
          </w:p>
        </w:tc>
        <w:tc>
          <w:tcPr>
            <w:tcW w:w="450" w:type="dxa"/>
            <w:vMerge/>
            <w:tcBorders>
              <w:bottom w:val="single" w:sz="4" w:space="0" w:color="auto"/>
              <w:right w:val="single" w:sz="18" w:space="0" w:color="auto"/>
            </w:tcBorders>
          </w:tcPr>
          <w:p w:rsidR="00C031FA" w:rsidRPr="00BB5519"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BB5519" w:rsidRDefault="00C031FA">
            <w:pPr>
              <w:rPr>
                <w:rFonts w:cs="Tahoma"/>
                <w:sz w:val="20"/>
              </w:rPr>
            </w:pPr>
          </w:p>
        </w:tc>
        <w:tc>
          <w:tcPr>
            <w:tcW w:w="540" w:type="dxa"/>
            <w:vMerge/>
            <w:tcBorders>
              <w:bottom w:val="single" w:sz="4" w:space="0" w:color="auto"/>
            </w:tcBorders>
          </w:tcPr>
          <w:p w:rsidR="00C031FA" w:rsidRPr="00BB5519" w:rsidRDefault="00C031FA">
            <w:pPr>
              <w:rPr>
                <w:rFonts w:cs="Tahoma"/>
                <w:sz w:val="20"/>
              </w:rPr>
            </w:pPr>
          </w:p>
        </w:tc>
        <w:tc>
          <w:tcPr>
            <w:tcW w:w="450" w:type="dxa"/>
            <w:vMerge/>
            <w:tcBorders>
              <w:bottom w:val="single" w:sz="4" w:space="0" w:color="auto"/>
            </w:tcBorders>
          </w:tcPr>
          <w:p w:rsidR="00C031FA" w:rsidRPr="00BB5519" w:rsidRDefault="00C031FA">
            <w:pPr>
              <w:rPr>
                <w:rFonts w:cs="Tahoma"/>
                <w:sz w:val="20"/>
              </w:rPr>
            </w:pPr>
          </w:p>
        </w:tc>
      </w:tr>
      <w:tr w:rsidR="00EF228F" w:rsidRPr="00BB5519" w:rsidTr="004064E2">
        <w:trPr>
          <w:trHeight w:val="145"/>
        </w:trPr>
        <w:tc>
          <w:tcPr>
            <w:tcW w:w="2556" w:type="dxa"/>
            <w:tcBorders>
              <w:bottom w:val="single" w:sz="4" w:space="0" w:color="auto"/>
            </w:tcBorders>
            <w:shd w:val="clear" w:color="auto" w:fill="auto"/>
            <w:vAlign w:val="center"/>
          </w:tcPr>
          <w:p w:rsidR="00DC5AE8" w:rsidRPr="00BB5519" w:rsidRDefault="00DC5AE8" w:rsidP="007E466C">
            <w:pPr>
              <w:pStyle w:val="ProductNames"/>
              <w:spacing w:before="0" w:after="0"/>
              <w:rPr>
                <w:rFonts w:ascii="Tahoma" w:hAnsi="Tahoma" w:cs="Tahoma"/>
                <w:position w:val="0"/>
                <w:sz w:val="14"/>
              </w:rPr>
            </w:pPr>
            <w:bookmarkStart w:id="144" w:name="_Toc354054607"/>
            <w:r w:rsidRPr="00BB5519">
              <w:rPr>
                <w:rFonts w:ascii="Tahoma" w:hAnsi="Tahoma" w:cs="Tahoma"/>
                <w:position w:val="0"/>
                <w:sz w:val="14"/>
              </w:rPr>
              <w:t>Bing Maps Consumer Tracked Per Asset Monthly Sub</w:t>
            </w:r>
            <w:bookmarkEnd w:id="144"/>
          </w:p>
        </w:tc>
        <w:tc>
          <w:tcPr>
            <w:tcW w:w="630" w:type="dxa"/>
            <w:tcBorders>
              <w:bottom w:val="single" w:sz="4" w:space="0" w:color="auto"/>
            </w:tcBorders>
            <w:shd w:val="clear" w:color="auto" w:fill="auto"/>
            <w:vAlign w:val="center"/>
          </w:tcPr>
          <w:p w:rsidR="00DC5AE8" w:rsidRPr="00BB5519" w:rsidRDefault="005F5403" w:rsidP="00B0065F">
            <w:pPr>
              <w:jc w:val="center"/>
              <w:rPr>
                <w:rFonts w:ascii="Trebuchet MS" w:hAnsi="Trebuchet MS"/>
                <w:b/>
                <w:sz w:val="13"/>
                <w:szCs w:val="13"/>
              </w:rPr>
            </w:pPr>
            <w:hyperlink w:anchor="_31_Add-On_für" w:history="1">
              <w:r w:rsidR="00955428" w:rsidRPr="00B44A2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DC5AE8" w:rsidRPr="00BB5519" w:rsidRDefault="00DC5AE8" w:rsidP="002253A3">
            <w:pPr>
              <w:jc w:val="center"/>
              <w:rPr>
                <w:rFonts w:cs="Tahoma"/>
                <w:sz w:val="13"/>
              </w:rPr>
            </w:pPr>
            <w:r w:rsidRPr="00BB5519">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BB5519" w:rsidRDefault="00DC5AE8"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DC5AE8" w:rsidRPr="00BB5519" w:rsidRDefault="00DC5AE8" w:rsidP="002253A3">
            <w:pPr>
              <w:jc w:val="center"/>
              <w:rPr>
                <w:rFonts w:cs="Tahoma"/>
                <w:sz w:val="13"/>
              </w:rPr>
            </w:pPr>
            <w:r w:rsidRPr="00BB5519">
              <w:rPr>
                <w:rFonts w:cs="Tahoma"/>
                <w:sz w:val="13"/>
              </w:rPr>
              <w:t>1 Punkt</w:t>
            </w:r>
          </w:p>
        </w:tc>
        <w:tc>
          <w:tcPr>
            <w:tcW w:w="450" w:type="dxa"/>
            <w:gridSpan w:val="2"/>
            <w:tcBorders>
              <w:left w:val="single" w:sz="18" w:space="0" w:color="auto"/>
              <w:bottom w:val="single" w:sz="4" w:space="0" w:color="auto"/>
            </w:tcBorders>
            <w:shd w:val="clear" w:color="auto" w:fill="auto"/>
            <w:vAlign w:val="center"/>
          </w:tcPr>
          <w:p w:rsidR="00DC5AE8" w:rsidRPr="00BB5519" w:rsidRDefault="00DC5AE8" w:rsidP="002253A3">
            <w:pPr>
              <w:jc w:val="center"/>
              <w:rPr>
                <w:rFonts w:cs="Tahoma"/>
                <w:sz w:val="13"/>
              </w:rPr>
            </w:pPr>
            <w:r w:rsidRPr="00BB5519">
              <w:rPr>
                <w:rFonts w:cs="Tahoma"/>
                <w:sz w:val="13"/>
              </w:rPr>
              <w:t>1</w:t>
            </w:r>
          </w:p>
        </w:tc>
        <w:tc>
          <w:tcPr>
            <w:tcW w:w="360" w:type="dxa"/>
            <w:tcBorders>
              <w:bottom w:val="single" w:sz="4" w:space="0" w:color="auto"/>
            </w:tcBorders>
            <w:shd w:val="clear" w:color="auto" w:fill="auto"/>
            <w:vAlign w:val="center"/>
          </w:tcPr>
          <w:p w:rsidR="00DC5AE8" w:rsidRPr="00BB5519"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BB5519"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BB5519"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BB5519" w:rsidRDefault="00DC5AE8" w:rsidP="002253A3">
            <w:pPr>
              <w:jc w:val="center"/>
              <w:rPr>
                <w:rFonts w:cs="Tahoma"/>
                <w:sz w:val="13"/>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BB5519" w:rsidRDefault="00DC5AE8" w:rsidP="002253A3">
            <w:pPr>
              <w:jc w:val="center"/>
              <w:rPr>
                <w:rFonts w:cs="Tahoma"/>
                <w:sz w:val="13"/>
              </w:rPr>
            </w:pPr>
            <w:r w:rsidRPr="00BB5519">
              <w:rPr>
                <w:rFonts w:cs="Tahoma"/>
                <w:sz w:val="13"/>
              </w:rPr>
              <w:t>P</w:t>
            </w:r>
          </w:p>
        </w:tc>
        <w:tc>
          <w:tcPr>
            <w:tcW w:w="540" w:type="dxa"/>
            <w:tcBorders>
              <w:bottom w:val="single" w:sz="4" w:space="0" w:color="auto"/>
            </w:tcBorders>
            <w:shd w:val="clear" w:color="auto" w:fill="auto"/>
            <w:vAlign w:val="center"/>
          </w:tcPr>
          <w:p w:rsidR="00DC5AE8" w:rsidRPr="00BB5519" w:rsidRDefault="00DC5AE8" w:rsidP="002253A3">
            <w:pPr>
              <w:jc w:val="center"/>
              <w:rPr>
                <w:rFonts w:cs="Tahoma"/>
                <w:sz w:val="13"/>
              </w:rPr>
            </w:pPr>
          </w:p>
        </w:tc>
        <w:tc>
          <w:tcPr>
            <w:tcW w:w="450" w:type="dxa"/>
            <w:tcBorders>
              <w:bottom w:val="single" w:sz="4" w:space="0" w:color="auto"/>
            </w:tcBorders>
            <w:shd w:val="clear" w:color="auto" w:fill="auto"/>
            <w:vAlign w:val="center"/>
          </w:tcPr>
          <w:p w:rsidR="00DC5AE8" w:rsidRPr="00BB5519" w:rsidRDefault="00DC5AE8" w:rsidP="002253A3">
            <w:pPr>
              <w:jc w:val="center"/>
              <w:rPr>
                <w:rFonts w:cs="Tahoma"/>
                <w:sz w:val="13"/>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spacing w:before="0" w:after="0"/>
              <w:rPr>
                <w:rFonts w:ascii="Tahoma" w:hAnsi="Tahoma" w:cs="Tahoma"/>
                <w:position w:val="0"/>
                <w:sz w:val="14"/>
              </w:rPr>
            </w:pPr>
            <w:bookmarkStart w:id="145" w:name="_Toc354054608"/>
            <w:r w:rsidRPr="00BB5519">
              <w:rPr>
                <w:rFonts w:ascii="Tahoma" w:hAnsi="Tahoma" w:cs="Tahoma"/>
                <w:position w:val="0"/>
                <w:sz w:val="14"/>
              </w:rPr>
              <w:t>Bing Maps for Enterprise Platform Fee Monthly Sub</w:t>
            </w:r>
            <w:bookmarkEnd w:id="145"/>
          </w:p>
        </w:tc>
        <w:tc>
          <w:tcPr>
            <w:tcW w:w="630" w:type="dxa"/>
            <w:tcBorders>
              <w:bottom w:val="single" w:sz="4" w:space="0" w:color="auto"/>
            </w:tcBorders>
            <w:shd w:val="clear" w:color="auto" w:fill="FABF8F"/>
            <w:vAlign w:val="center"/>
          </w:tcPr>
          <w:p w:rsidR="001A63C6" w:rsidRPr="00BB5519" w:rsidRDefault="005F5403" w:rsidP="00B0065F">
            <w:pPr>
              <w:jc w:val="center"/>
              <w:rPr>
                <w:rFonts w:ascii="Trebuchet MS" w:hAnsi="Trebuchet MS" w:cs="Tahoma"/>
                <w:b/>
                <w:sz w:val="13"/>
                <w:szCs w:val="13"/>
              </w:rPr>
            </w:pPr>
            <w:hyperlink w:anchor="_31_Add-On_für" w:history="1">
              <w:r w:rsidR="00955428" w:rsidRPr="00B44A2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50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50</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spacing w:before="0" w:after="0"/>
              <w:rPr>
                <w:rFonts w:ascii="Tahoma" w:hAnsi="Tahoma" w:cs="Tahoma"/>
                <w:position w:val="0"/>
                <w:sz w:val="14"/>
              </w:rPr>
            </w:pPr>
            <w:bookmarkStart w:id="146" w:name="_Toc354054609"/>
            <w:r w:rsidRPr="00BB5519">
              <w:rPr>
                <w:rFonts w:ascii="Tahoma" w:hAnsi="Tahoma" w:cs="Tahoma"/>
                <w:position w:val="0"/>
                <w:sz w:val="14"/>
              </w:rPr>
              <w:t>Bing Maps Public Website Usage 100K Transactions Monthly Sub</w:t>
            </w:r>
            <w:bookmarkEnd w:id="146"/>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cs="Tahoma"/>
                <w:b/>
                <w:sz w:val="13"/>
                <w:szCs w:val="13"/>
              </w:rPr>
            </w:pPr>
            <w:hyperlink w:anchor="Srv_27BingMapsSvrandContentPack" w:history="1">
              <w:r w:rsidR="00955428" w:rsidRPr="00B44A2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50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50</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spacing w:before="0" w:after="0"/>
              <w:rPr>
                <w:rFonts w:ascii="Tahoma" w:hAnsi="Tahoma" w:cs="Tahoma"/>
                <w:position w:val="0"/>
                <w:sz w:val="14"/>
              </w:rPr>
            </w:pPr>
            <w:bookmarkStart w:id="147" w:name="_Toc354054610"/>
            <w:r w:rsidRPr="00BB5519">
              <w:rPr>
                <w:rFonts w:ascii="Tahoma" w:hAnsi="Tahoma" w:cs="Tahoma"/>
                <w:position w:val="0"/>
                <w:sz w:val="14"/>
              </w:rPr>
              <w:t>Bing Maps Public Website Usage 250K Transactions Monthly Sub</w:t>
            </w:r>
            <w:bookmarkEnd w:id="147"/>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cs="Tahoma"/>
                <w:b/>
                <w:sz w:val="13"/>
                <w:szCs w:val="13"/>
              </w:rPr>
            </w:pPr>
            <w:hyperlink w:anchor="_31_Add-On_für" w:history="1">
              <w:r w:rsidR="00955428" w:rsidRPr="00B44A2A">
                <w:rPr>
                  <w:rStyle w:val="Hyperlink"/>
                  <w:rFonts w:ascii="Trebuchet MS" w:hAnsi="Trebuchet MS"/>
                  <w:b/>
                  <w:sz w:val="13"/>
                  <w:szCs w:val="13"/>
                </w:rPr>
                <w:t>31</w:t>
              </w:r>
            </w:hyperlink>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125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125</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spacing w:before="0" w:after="0"/>
              <w:rPr>
                <w:rFonts w:ascii="Tahoma" w:hAnsi="Tahoma" w:cs="Tahoma"/>
                <w:position w:val="0"/>
                <w:sz w:val="14"/>
              </w:rPr>
            </w:pPr>
            <w:bookmarkStart w:id="148" w:name="_Toc354054611"/>
            <w:r w:rsidRPr="00BB5519">
              <w:rPr>
                <w:rFonts w:ascii="Tahoma" w:hAnsi="Tahoma" w:cs="Tahoma"/>
                <w:position w:val="0"/>
                <w:sz w:val="14"/>
              </w:rPr>
              <w:t>Bing Maps Public Website Usage 420K Transactions Monthly Sub</w:t>
            </w:r>
            <w:bookmarkEnd w:id="148"/>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cs="Tahoma"/>
                <w:b/>
                <w:sz w:val="13"/>
                <w:szCs w:val="13"/>
              </w:rPr>
            </w:pPr>
            <w:hyperlink w:anchor="_31_Add-On_für" w:history="1">
              <w:r w:rsidR="00955428" w:rsidRPr="00B44A2A">
                <w:rPr>
                  <w:rStyle w:val="Hyperlink"/>
                  <w:rFonts w:ascii="Trebuchet MS" w:hAnsi="Trebuchet MS"/>
                  <w:b/>
                  <w:sz w:val="13"/>
                  <w:szCs w:val="13"/>
                </w:rPr>
                <w:t>31</w:t>
              </w:r>
            </w:hyperlink>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spacing w:before="0" w:after="0"/>
              <w:rPr>
                <w:rFonts w:ascii="Tahoma" w:hAnsi="Tahoma" w:cs="Tahoma"/>
                <w:position w:val="0"/>
                <w:sz w:val="14"/>
              </w:rPr>
            </w:pPr>
            <w:bookmarkStart w:id="149" w:name="_Toc354054612"/>
            <w:r w:rsidRPr="00BB5519">
              <w:rPr>
                <w:rFonts w:ascii="Tahoma" w:hAnsi="Tahoma" w:cs="Tahoma"/>
                <w:position w:val="0"/>
                <w:sz w:val="14"/>
              </w:rPr>
              <w:t>Bing Maps Public Website Usage 840K Transactions Monthly Sub</w:t>
            </w:r>
            <w:bookmarkEnd w:id="149"/>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cs="Tahoma"/>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spacing w:before="0" w:after="0"/>
              <w:rPr>
                <w:rFonts w:ascii="Tahoma" w:hAnsi="Tahoma" w:cs="Tahoma"/>
                <w:position w:val="0"/>
                <w:sz w:val="14"/>
              </w:rPr>
            </w:pPr>
            <w:bookmarkStart w:id="150" w:name="_Toc354054613"/>
            <w:r w:rsidRPr="00BB5519">
              <w:rPr>
                <w:rFonts w:ascii="Tahoma" w:hAnsi="Tahoma" w:cs="Tahoma"/>
                <w:position w:val="0"/>
                <w:sz w:val="14"/>
              </w:rPr>
              <w:t>Bing Maps Public Website Usage 2.5m Transactions Monthly Sub</w:t>
            </w:r>
            <w:bookmarkEnd w:id="150"/>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cs="Tahoma"/>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spacing w:before="0" w:after="0"/>
              <w:rPr>
                <w:rFonts w:ascii="Tahoma" w:hAnsi="Tahoma" w:cs="Tahoma"/>
                <w:position w:val="0"/>
                <w:sz w:val="14"/>
              </w:rPr>
            </w:pPr>
            <w:bookmarkStart w:id="151" w:name="_Toc354054614"/>
            <w:r w:rsidRPr="00BB5519">
              <w:rPr>
                <w:rFonts w:ascii="Tahoma" w:hAnsi="Tahoma" w:cs="Tahoma"/>
                <w:position w:val="0"/>
                <w:sz w:val="14"/>
              </w:rPr>
              <w:t>Bing Maps Public Website Usage 4.2m Transactions Monthly Sub</w:t>
            </w:r>
            <w:bookmarkEnd w:id="151"/>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cs="Tahoma"/>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spacing w:before="0" w:after="0"/>
              <w:rPr>
                <w:rFonts w:ascii="Tahoma" w:hAnsi="Tahoma" w:cs="Tahoma"/>
                <w:position w:val="0"/>
                <w:sz w:val="14"/>
              </w:rPr>
            </w:pPr>
            <w:bookmarkStart w:id="152" w:name="_Toc354054615"/>
            <w:r w:rsidRPr="00BB5519">
              <w:rPr>
                <w:rFonts w:ascii="Tahoma" w:hAnsi="Tahoma" w:cs="Tahoma"/>
                <w:position w:val="0"/>
                <w:sz w:val="14"/>
              </w:rPr>
              <w:t>Bing Maps Public Website Usage 8.4m Transactions Monthly Sub</w:t>
            </w:r>
            <w:bookmarkEnd w:id="152"/>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cs="Tahoma"/>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spacing w:before="0" w:after="0"/>
              <w:rPr>
                <w:rFonts w:ascii="Tahoma" w:hAnsi="Tahoma" w:cs="Tahoma"/>
                <w:position w:val="0"/>
                <w:sz w:val="14"/>
              </w:rPr>
            </w:pPr>
            <w:bookmarkStart w:id="153" w:name="_Toc354054616"/>
            <w:r w:rsidRPr="00BB5519">
              <w:rPr>
                <w:rFonts w:ascii="Tahoma" w:hAnsi="Tahoma" w:cs="Tahoma"/>
                <w:position w:val="0"/>
                <w:sz w:val="14"/>
              </w:rPr>
              <w:t>Bing Maps Public Website Usage Unlimited Transactions Monthly Sub</w:t>
            </w:r>
            <w:bookmarkEnd w:id="153"/>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cs="Tahoma"/>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b/>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spacing w:before="0" w:after="0"/>
              <w:rPr>
                <w:rFonts w:ascii="Tahoma" w:hAnsi="Tahoma" w:cs="Tahoma"/>
                <w:position w:val="0"/>
                <w:sz w:val="14"/>
              </w:rPr>
            </w:pPr>
            <w:bookmarkStart w:id="154" w:name="_Toc354054617"/>
            <w:r w:rsidRPr="00BB5519">
              <w:rPr>
                <w:rFonts w:ascii="Tahoma" w:hAnsi="Tahoma" w:cs="Tahoma"/>
                <w:position w:val="0"/>
                <w:sz w:val="14"/>
              </w:rPr>
              <w:t>Bing Maps Internal Website Usage 100K Transactions Monthly Sub</w:t>
            </w:r>
            <w:bookmarkEnd w:id="154"/>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cs="Tahoma"/>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125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125</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spacing w:before="0" w:after="0"/>
              <w:rPr>
                <w:rFonts w:ascii="Tahoma" w:hAnsi="Tahoma" w:cs="Tahoma"/>
                <w:position w:val="0"/>
                <w:sz w:val="14"/>
              </w:rPr>
            </w:pPr>
            <w:bookmarkStart w:id="155" w:name="_Toc354054618"/>
            <w:r w:rsidRPr="00BB5519">
              <w:rPr>
                <w:rFonts w:ascii="Tahoma" w:hAnsi="Tahoma" w:cs="Tahoma"/>
                <w:position w:val="0"/>
                <w:sz w:val="14"/>
              </w:rPr>
              <w:t>Bing Maps Internal Website Usage 250K Transactions Monthly Sub</w:t>
            </w:r>
            <w:bookmarkEnd w:id="155"/>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cs="Tahoma"/>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4"/>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cs="Tahoma"/>
                <w:position w:val="0"/>
                <w:sz w:val="14"/>
              </w:rPr>
            </w:pPr>
            <w:bookmarkStart w:id="156" w:name="_Toc354054619"/>
            <w:r w:rsidRPr="00BB5519">
              <w:rPr>
                <w:rFonts w:ascii="Tahoma" w:hAnsi="Tahoma" w:cs="Tahoma"/>
                <w:position w:val="0"/>
                <w:sz w:val="14"/>
              </w:rPr>
              <w:t>Bing Maps Internal Website Usage 420K Transactions Monthly Sub</w:t>
            </w:r>
            <w:bookmarkEnd w:id="156"/>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cs="Tahoma"/>
                <w:position w:val="0"/>
                <w:sz w:val="14"/>
              </w:rPr>
            </w:pPr>
            <w:bookmarkStart w:id="157" w:name="_Toc354054620"/>
            <w:r w:rsidRPr="00BB5519">
              <w:rPr>
                <w:rFonts w:ascii="Tahoma" w:hAnsi="Tahoma" w:cs="Tahoma"/>
                <w:position w:val="0"/>
                <w:sz w:val="14"/>
              </w:rPr>
              <w:lastRenderedPageBreak/>
              <w:t>Bing Maps Internal Website Usage 1.25m Transactions Monthly Sub</w:t>
            </w:r>
            <w:bookmarkEnd w:id="157"/>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cs="Tahoma"/>
                <w:position w:val="0"/>
                <w:sz w:val="14"/>
              </w:rPr>
            </w:pPr>
            <w:bookmarkStart w:id="158" w:name="_Toc354054621"/>
            <w:r w:rsidRPr="00BB5519">
              <w:rPr>
                <w:rFonts w:ascii="Tahoma" w:hAnsi="Tahoma" w:cs="Tahoma"/>
                <w:position w:val="0"/>
                <w:sz w:val="14"/>
              </w:rPr>
              <w:t>Bing Maps Internal Website Usage 2.1m Transactions Monthly Sub</w:t>
            </w:r>
            <w:bookmarkEnd w:id="158"/>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cs="Tahoma"/>
                <w:position w:val="0"/>
                <w:sz w:val="14"/>
              </w:rPr>
            </w:pPr>
            <w:bookmarkStart w:id="159" w:name="_Toc354054622"/>
            <w:r w:rsidRPr="00BB5519">
              <w:rPr>
                <w:rFonts w:ascii="Tahoma" w:hAnsi="Tahoma" w:cs="Tahoma"/>
                <w:position w:val="0"/>
                <w:sz w:val="14"/>
              </w:rPr>
              <w:t>Bing Maps Internal Website Usage Unlimited Transactions Monthly Sub</w:t>
            </w:r>
            <w:bookmarkEnd w:id="159"/>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cs="Tahoma"/>
                <w:position w:val="0"/>
                <w:sz w:val="14"/>
              </w:rPr>
            </w:pPr>
            <w:bookmarkStart w:id="160" w:name="_Toc354054623"/>
            <w:r w:rsidRPr="00BB5519">
              <w:rPr>
                <w:rFonts w:ascii="Tahoma" w:hAnsi="Tahoma" w:cs="Tahoma"/>
                <w:position w:val="0"/>
                <w:sz w:val="14"/>
              </w:rPr>
              <w:t>Bing Maps Known Per User Monthly Sub</w:t>
            </w:r>
            <w:bookmarkEnd w:id="160"/>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 Punkt</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2E6EC0">
            <w:pPr>
              <w:pStyle w:val="ProductNames"/>
              <w:spacing w:beforeLines="20" w:before="48" w:afterLines="20" w:after="48"/>
              <w:rPr>
                <w:rFonts w:ascii="Tahoma" w:hAnsi="Tahoma" w:cs="Tahoma"/>
                <w:position w:val="0"/>
                <w:sz w:val="14"/>
              </w:rPr>
            </w:pPr>
            <w:bookmarkStart w:id="161" w:name="_Toc354054624"/>
            <w:r w:rsidRPr="00BB5519">
              <w:rPr>
                <w:rFonts w:ascii="Tahoma" w:hAnsi="Tahoma" w:cs="Tahoma"/>
                <w:position w:val="0"/>
                <w:sz w:val="14"/>
              </w:rPr>
              <w:t>Bing Maps Known 5K User Bundle Monthly</w:t>
            </w:r>
            <w:r w:rsidR="002E6EC0">
              <w:rPr>
                <w:rFonts w:ascii="Tahoma" w:hAnsi="Tahoma" w:cs="Tahoma"/>
                <w:position w:val="0"/>
                <w:sz w:val="14"/>
              </w:rPr>
              <w:t> </w:t>
            </w:r>
            <w:r w:rsidRPr="00BB5519">
              <w:rPr>
                <w:rFonts w:ascii="Tahoma" w:hAnsi="Tahoma" w:cs="Tahoma"/>
                <w:position w:val="0"/>
                <w:sz w:val="14"/>
              </w:rPr>
              <w:t>Sub</w:t>
            </w:r>
            <w:bookmarkEnd w:id="161"/>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200</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2E6EC0">
            <w:pPr>
              <w:pStyle w:val="ProductNames"/>
              <w:spacing w:beforeLines="20" w:before="48" w:afterLines="20" w:after="48"/>
              <w:rPr>
                <w:rFonts w:ascii="Tahoma" w:hAnsi="Tahoma" w:cs="Tahoma"/>
                <w:position w:val="0"/>
                <w:sz w:val="14"/>
              </w:rPr>
            </w:pPr>
            <w:bookmarkStart w:id="162" w:name="_Toc354054625"/>
            <w:r w:rsidRPr="00BB5519">
              <w:rPr>
                <w:rFonts w:ascii="Tahoma" w:hAnsi="Tahoma" w:cs="Tahoma"/>
                <w:position w:val="0"/>
                <w:sz w:val="14"/>
              </w:rPr>
              <w:t>Bing Maps Light Known Per User Monthly</w:t>
            </w:r>
            <w:r w:rsidR="002E6EC0">
              <w:rPr>
                <w:rFonts w:ascii="Tahoma" w:hAnsi="Tahoma" w:cs="Tahoma"/>
                <w:position w:val="0"/>
                <w:sz w:val="14"/>
              </w:rPr>
              <w:t> </w:t>
            </w:r>
            <w:r w:rsidRPr="00BB5519">
              <w:rPr>
                <w:rFonts w:ascii="Tahoma" w:hAnsi="Tahoma" w:cs="Tahoma"/>
                <w:position w:val="0"/>
                <w:sz w:val="14"/>
              </w:rPr>
              <w:t>Sub</w:t>
            </w:r>
            <w:bookmarkEnd w:id="162"/>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 Punkt</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cs="Tahoma"/>
                <w:position w:val="0"/>
                <w:sz w:val="14"/>
              </w:rPr>
            </w:pPr>
            <w:bookmarkStart w:id="163" w:name="_Toc354054626"/>
            <w:r w:rsidRPr="00BB5519">
              <w:rPr>
                <w:rFonts w:ascii="Tahoma" w:hAnsi="Tahoma" w:cs="Tahoma"/>
                <w:position w:val="0"/>
                <w:sz w:val="14"/>
              </w:rPr>
              <w:t>Bing Maps Light Known 5K User Bundle Monthly Sub</w:t>
            </w:r>
            <w:bookmarkEnd w:id="163"/>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125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125</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cs="Tahoma"/>
                <w:position w:val="0"/>
                <w:sz w:val="14"/>
              </w:rPr>
            </w:pPr>
            <w:bookmarkStart w:id="164" w:name="_Toc354054627"/>
            <w:r w:rsidRPr="00BB5519">
              <w:rPr>
                <w:rFonts w:ascii="Tahoma" w:hAnsi="Tahoma" w:cs="Tahoma"/>
                <w:position w:val="0"/>
                <w:sz w:val="14"/>
              </w:rPr>
              <w:t>Bing Maps Mobile Asset Management Platform Fee Monthly Sub</w:t>
            </w:r>
            <w:bookmarkEnd w:id="164"/>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50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50</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cs="Tahoma"/>
                <w:position w:val="0"/>
                <w:sz w:val="14"/>
              </w:rPr>
            </w:pPr>
            <w:bookmarkStart w:id="165" w:name="_Toc354054628"/>
            <w:r w:rsidRPr="00BB5519">
              <w:rPr>
                <w:rFonts w:ascii="Tahoma" w:hAnsi="Tahoma" w:cs="Tahoma"/>
                <w:position w:val="0"/>
                <w:sz w:val="14"/>
              </w:rPr>
              <w:t>Bing Maps Mobile Asset Management NA mit Routing Per Asset Monthly Sub</w:t>
            </w:r>
            <w:bookmarkEnd w:id="165"/>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1 Punkt</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1</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cs="Tahoma"/>
                <w:position w:val="0"/>
                <w:sz w:val="14"/>
              </w:rPr>
            </w:pPr>
            <w:bookmarkStart w:id="166" w:name="_Toc354054629"/>
            <w:r w:rsidRPr="00BB5519">
              <w:rPr>
                <w:rFonts w:ascii="Tahoma" w:hAnsi="Tahoma" w:cs="Tahoma"/>
                <w:position w:val="0"/>
                <w:sz w:val="14"/>
              </w:rPr>
              <w:t>Bing Maps Mobile Asset Management NA ohne Routing Per Asset Monthly Sub</w:t>
            </w:r>
            <w:bookmarkEnd w:id="166"/>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 Punkt</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FABF8F"/>
          </w:tcPr>
          <w:p w:rsidR="001A63C6" w:rsidRPr="00BB5519" w:rsidRDefault="001A63C6" w:rsidP="00C0225C">
            <w:pPr>
              <w:pStyle w:val="ProductNames"/>
              <w:spacing w:beforeLines="20" w:before="48" w:afterLines="20" w:after="48"/>
              <w:rPr>
                <w:rFonts w:ascii="Tahoma" w:hAnsi="Tahoma" w:cs="Tahoma"/>
                <w:position w:val="0"/>
                <w:sz w:val="14"/>
              </w:rPr>
            </w:pPr>
            <w:bookmarkStart w:id="167" w:name="_Toc354054630"/>
            <w:r w:rsidRPr="00BB5519">
              <w:rPr>
                <w:rFonts w:ascii="Tahoma" w:hAnsi="Tahoma" w:cs="Tahoma"/>
                <w:position w:val="0"/>
                <w:sz w:val="14"/>
              </w:rPr>
              <w:t>Bing Maps Mobile Asset Management Europe mit Routing Per Asset Monthly</w:t>
            </w:r>
            <w:r w:rsidR="00C0225C">
              <w:rPr>
                <w:rFonts w:ascii="Tahoma" w:hAnsi="Tahoma" w:cs="Tahoma"/>
                <w:position w:val="0"/>
                <w:sz w:val="14"/>
              </w:rPr>
              <w:t> </w:t>
            </w:r>
            <w:r w:rsidRPr="00BB5519">
              <w:rPr>
                <w:rFonts w:ascii="Tahoma" w:hAnsi="Tahoma" w:cs="Tahoma"/>
                <w:position w:val="0"/>
                <w:sz w:val="14"/>
              </w:rPr>
              <w:t>Sub</w:t>
            </w:r>
            <w:bookmarkEnd w:id="167"/>
          </w:p>
        </w:tc>
        <w:tc>
          <w:tcPr>
            <w:tcW w:w="630" w:type="dxa"/>
            <w:tcBorders>
              <w:bottom w:val="single" w:sz="4" w:space="0" w:color="auto"/>
            </w:tcBorders>
            <w:shd w:val="clear" w:color="auto" w:fill="FABF8F"/>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vAlign w:val="center"/>
          </w:tcPr>
          <w:p w:rsidR="001A63C6" w:rsidRPr="00BB5519" w:rsidRDefault="00D15BAA" w:rsidP="002253A3">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1 Punkt</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4"/>
              </w:rPr>
              <w:t>1</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4"/>
              </w:rPr>
            </w:pPr>
            <w:r w:rsidRPr="00BB5519">
              <w:rPr>
                <w:rFonts w:cs="Tahoma"/>
                <w:sz w:val="13"/>
              </w:rPr>
              <w:t>OL/OV</w:t>
            </w: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cs="Tahoma"/>
                <w:position w:val="0"/>
                <w:sz w:val="14"/>
              </w:rPr>
            </w:pPr>
            <w:bookmarkStart w:id="168" w:name="_Toc354054631"/>
            <w:r w:rsidRPr="00BB5519">
              <w:rPr>
                <w:rFonts w:ascii="Tahoma" w:hAnsi="Tahoma" w:cs="Tahoma"/>
                <w:position w:val="0"/>
                <w:sz w:val="14"/>
              </w:rPr>
              <w:t>Bing Maps Mobile Asset Management Europe ohne Routing Per Asset Monthly Sub</w:t>
            </w:r>
            <w:bookmarkEnd w:id="168"/>
          </w:p>
        </w:tc>
        <w:tc>
          <w:tcPr>
            <w:tcW w:w="630" w:type="dxa"/>
            <w:tcBorders>
              <w:bottom w:val="single" w:sz="4" w:space="0" w:color="auto"/>
            </w:tcBorders>
            <w:shd w:val="clear" w:color="auto" w:fill="auto"/>
            <w:vAlign w:val="center"/>
          </w:tcPr>
          <w:p w:rsidR="001A63C6" w:rsidRPr="00BB5519" w:rsidRDefault="005F5403" w:rsidP="00132E08">
            <w:pPr>
              <w:jc w:val="center"/>
              <w:rPr>
                <w:rFonts w:ascii="Trebuchet MS" w:hAnsi="Trebuchet MS"/>
                <w:b/>
                <w:sz w:val="13"/>
                <w:szCs w:val="13"/>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vAlign w:val="center"/>
          </w:tcPr>
          <w:p w:rsidR="00D15BAA" w:rsidRPr="00BB5519" w:rsidRDefault="00D15BAA" w:rsidP="00D15BAA">
            <w:pPr>
              <w:jc w:val="center"/>
              <w:rPr>
                <w:rFonts w:cs="Tahoma"/>
                <w:sz w:val="14"/>
              </w:rPr>
            </w:pPr>
            <w:r w:rsidRPr="00BB551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 Punkt</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4"/>
              </w:rPr>
              <w:t>1</w:t>
            </w: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4"/>
              </w:rPr>
            </w:pPr>
            <w:r w:rsidRPr="00BB5519">
              <w:rPr>
                <w:rFonts w:cs="Tahoma"/>
                <w:sz w:val="13"/>
              </w:rPr>
              <w:t>OL/OV</w:t>
            </w: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position w:val="0"/>
                <w:sz w:val="14"/>
              </w:rPr>
            </w:pPr>
            <w:bookmarkStart w:id="169" w:name="_Toc336337910"/>
            <w:bookmarkStart w:id="170" w:name="_Toc354054632"/>
            <w:r w:rsidRPr="00BB5519">
              <w:rPr>
                <w:rFonts w:ascii="Tahoma" w:hAnsi="Tahoma" w:cs="Tahoma"/>
                <w:position w:val="0"/>
                <w:sz w:val="14"/>
              </w:rPr>
              <w:t>Client-Zugriffslizenz („CAL“ oder „Client Access License“) für Bing Maps Server</w:t>
            </w:r>
            <w:bookmarkEnd w:id="169"/>
            <w:bookmarkEnd w:id="170"/>
          </w:p>
        </w:tc>
        <w:tc>
          <w:tcPr>
            <w:tcW w:w="630" w:type="dxa"/>
            <w:tcBorders>
              <w:bottom w:val="single" w:sz="4" w:space="0" w:color="auto"/>
            </w:tcBorders>
            <w:shd w:val="clear" w:color="auto" w:fill="FABF8F"/>
            <w:vAlign w:val="center"/>
          </w:tcPr>
          <w:p w:rsidR="001A63C6" w:rsidRPr="00BB5519" w:rsidRDefault="005F5403" w:rsidP="00132E08">
            <w:pPr>
              <w:jc w:val="center"/>
              <w:rPr>
                <w:rStyle w:val="EndnoteReference"/>
                <w:b w:val="0"/>
                <w:sz w:val="13"/>
                <w:szCs w:val="13"/>
                <w:u w:val="single"/>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FABF8F"/>
          </w:tcPr>
          <w:p w:rsidR="001A63C6" w:rsidRPr="00BB5519" w:rsidRDefault="001A63C6" w:rsidP="002253A3">
            <w:pPr>
              <w:jc w:val="center"/>
              <w:rPr>
                <w:rFonts w:cs="Tahoma"/>
                <w:sz w:val="13"/>
              </w:rPr>
            </w:pPr>
            <w:r w:rsidRPr="00BB5519">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1 Punkt</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1</w:t>
            </w: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P</w:t>
            </w:r>
          </w:p>
        </w:tc>
        <w:tc>
          <w:tcPr>
            <w:tcW w:w="540" w:type="dxa"/>
            <w:tcBorders>
              <w:bottom w:val="single" w:sz="4"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A</w:t>
            </w: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Heading3"/>
              <w:spacing w:beforeLines="20" w:before="48" w:afterLines="20" w:after="48"/>
              <w:rPr>
                <w:rFonts w:ascii="Tahoma" w:hAnsi="Tahoma" w:cs="Tahoma"/>
                <w:b w:val="0"/>
                <w:sz w:val="16"/>
                <w:lang w:val="de-DE"/>
              </w:rPr>
            </w:pPr>
            <w:bookmarkStart w:id="171" w:name="_Toc315288746"/>
            <w:bookmarkStart w:id="172" w:name="_Toc336337912"/>
            <w:bookmarkStart w:id="173" w:name="_Toc354054633"/>
            <w:r w:rsidRPr="00BB5519">
              <w:rPr>
                <w:rFonts w:ascii="Tahoma" w:hAnsi="Tahoma" w:cs="Tahoma"/>
                <w:b w:val="0"/>
                <w:sz w:val="14"/>
                <w:lang w:val="de-DE"/>
              </w:rPr>
              <w:t>CAL für Bing Maps Server mit erweitertem Inhaltspaket</w:t>
            </w:r>
            <w:bookmarkEnd w:id="171"/>
            <w:bookmarkEnd w:id="172"/>
            <w:bookmarkEnd w:id="173"/>
          </w:p>
        </w:tc>
        <w:tc>
          <w:tcPr>
            <w:tcW w:w="630" w:type="dxa"/>
            <w:tcBorders>
              <w:bottom w:val="single" w:sz="4" w:space="0" w:color="auto"/>
            </w:tcBorders>
            <w:shd w:val="clear" w:color="auto" w:fill="auto"/>
            <w:vAlign w:val="center"/>
          </w:tcPr>
          <w:p w:rsidR="001A63C6" w:rsidRPr="00BB5519" w:rsidRDefault="005F5403" w:rsidP="00132E08">
            <w:pPr>
              <w:jc w:val="center"/>
              <w:rPr>
                <w:rStyle w:val="EndnoteReference"/>
                <w:b w:val="0"/>
                <w:sz w:val="13"/>
                <w:szCs w:val="13"/>
                <w:u w:val="single"/>
              </w:rPr>
            </w:pPr>
            <w:hyperlink w:anchor="Srv_27BingMapsSvrandContentPack" w:history="1">
              <w:r w:rsidR="00955428" w:rsidRPr="00BB5519">
                <w:rPr>
                  <w:rStyle w:val="Hyperlink"/>
                  <w:rFonts w:ascii="Trebuchet MS" w:hAnsi="Trebuchet MS"/>
                  <w:b/>
                  <w:sz w:val="13"/>
                  <w:szCs w:val="13"/>
                </w:rPr>
                <w:t>3</w:t>
              </w:r>
            </w:hyperlink>
            <w:r w:rsidR="00955428" w:rsidRPr="00BB5519">
              <w:rPr>
                <w:rStyle w:val="Hyperlink"/>
                <w:rFonts w:ascii="Trebuchet MS" w:hAnsi="Trebuchet MS"/>
                <w:b/>
                <w:sz w:val="13"/>
                <w:szCs w:val="13"/>
              </w:rPr>
              <w:t>1</w:t>
            </w:r>
          </w:p>
        </w:tc>
        <w:tc>
          <w:tcPr>
            <w:tcW w:w="450" w:type="dxa"/>
            <w:tcBorders>
              <w:bottom w:val="single" w:sz="4" w:space="0" w:color="auto"/>
            </w:tcBorders>
            <w:shd w:val="clear" w:color="auto" w:fill="auto"/>
          </w:tcPr>
          <w:p w:rsidR="001A63C6" w:rsidRPr="00BB5519" w:rsidRDefault="001A63C6" w:rsidP="002253A3">
            <w:pPr>
              <w:jc w:val="center"/>
              <w:rPr>
                <w:rFonts w:cs="Tahoma"/>
                <w:sz w:val="13"/>
              </w:rPr>
            </w:pPr>
            <w:r w:rsidRPr="00BB5519">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r w:rsidRPr="00BB5519">
              <w:rPr>
                <w:rFonts w:cs="Tahoma"/>
                <w:sz w:val="13"/>
              </w:rPr>
              <w:t>27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r w:rsidRPr="00BB5519">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r w:rsidRPr="00BB5519">
              <w:rPr>
                <w:rFonts w:cs="Tahoma"/>
                <w:sz w:val="13"/>
              </w:rPr>
              <w:t>P</w:t>
            </w:r>
          </w:p>
        </w:tc>
        <w:tc>
          <w:tcPr>
            <w:tcW w:w="540" w:type="dxa"/>
            <w:tcBorders>
              <w:bottom w:val="single" w:sz="4" w:space="0" w:color="auto"/>
            </w:tcBorders>
            <w:shd w:val="clear" w:color="auto" w:fill="auto"/>
            <w:vAlign w:val="center"/>
          </w:tcPr>
          <w:p w:rsidR="001A63C6" w:rsidRPr="00BB5519" w:rsidRDefault="001A63C6" w:rsidP="002253A3">
            <w:pPr>
              <w:jc w:val="center"/>
              <w:rPr>
                <w:rFonts w:cs="Tahoma"/>
                <w:sz w:val="13"/>
              </w:rPr>
            </w:pPr>
            <w:r w:rsidRPr="00BB5519">
              <w:rPr>
                <w:rFonts w:cs="Tahoma"/>
                <w:sz w:val="13"/>
              </w:rPr>
              <w:t>A</w:t>
            </w: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position w:val="0"/>
                <w:sz w:val="14"/>
                <w:lang w:val="de-DE"/>
              </w:rPr>
            </w:pPr>
            <w:bookmarkStart w:id="174" w:name="_Toc315288747"/>
            <w:bookmarkStart w:id="175" w:name="_Toc336337913"/>
            <w:bookmarkStart w:id="176" w:name="_Toc354054634"/>
            <w:r w:rsidRPr="00BB5519">
              <w:rPr>
                <w:rFonts w:ascii="Tahoma" w:hAnsi="Tahoma"/>
                <w:position w:val="0"/>
                <w:sz w:val="14"/>
                <w:lang w:val="de-DE"/>
              </w:rPr>
              <w:t>Bing Maps Standard (Nutzer-AL)</w:t>
            </w:r>
            <w:bookmarkEnd w:id="174"/>
            <w:bookmarkEnd w:id="175"/>
            <w:bookmarkEnd w:id="176"/>
          </w:p>
        </w:tc>
        <w:tc>
          <w:tcPr>
            <w:tcW w:w="630" w:type="dxa"/>
            <w:tcBorders>
              <w:bottom w:val="single" w:sz="4" w:space="0" w:color="auto"/>
            </w:tcBorders>
            <w:shd w:val="clear" w:color="auto" w:fill="FABF8F"/>
            <w:vAlign w:val="center"/>
          </w:tcPr>
          <w:p w:rsidR="001A63C6" w:rsidRPr="00BB5519" w:rsidRDefault="001A63C6" w:rsidP="002253A3">
            <w:pPr>
              <w:jc w:val="center"/>
              <w:rPr>
                <w:rStyle w:val="EndnoteReference"/>
                <w:sz w:val="13"/>
                <w:szCs w:val="13"/>
                <w:u w:val="single"/>
                <w:lang w:val="de-DE"/>
              </w:rPr>
            </w:pPr>
          </w:p>
        </w:tc>
        <w:tc>
          <w:tcPr>
            <w:tcW w:w="450" w:type="dxa"/>
            <w:tcBorders>
              <w:bottom w:val="single" w:sz="4" w:space="0" w:color="auto"/>
            </w:tcBorders>
            <w:shd w:val="clear" w:color="auto" w:fill="FABF8F"/>
          </w:tcPr>
          <w:p w:rsidR="001A63C6" w:rsidRPr="00BB5519" w:rsidRDefault="001A63C6" w:rsidP="002253A3">
            <w:pPr>
              <w:jc w:val="center"/>
              <w:rPr>
                <w:rFonts w:cs="Tahoma"/>
                <w:sz w:val="13"/>
              </w:rPr>
            </w:pPr>
            <w:r w:rsidRPr="00BB5519">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1 Punkt</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p>
        </w:tc>
        <w:tc>
          <w:tcPr>
            <w:tcW w:w="360" w:type="dxa"/>
            <w:tcBorders>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P</w:t>
            </w:r>
          </w:p>
        </w:tc>
        <w:tc>
          <w:tcPr>
            <w:tcW w:w="540" w:type="dxa"/>
            <w:tcBorders>
              <w:bottom w:val="single" w:sz="4" w:space="0" w:color="auto"/>
            </w:tcBorders>
            <w:shd w:val="clear" w:color="auto" w:fill="FABF8F"/>
          </w:tcPr>
          <w:p w:rsidR="001A63C6" w:rsidRPr="00BB5519"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BB5519" w:rsidRDefault="001A63C6" w:rsidP="002253A3">
            <w:pPr>
              <w:jc w:val="center"/>
              <w:rPr>
                <w:rFonts w:cs="Tahoma"/>
                <w:sz w:val="13"/>
              </w:rPr>
            </w:pPr>
            <w:r w:rsidRPr="00BB5519">
              <w:rPr>
                <w:rFonts w:cs="Tahoma"/>
                <w:sz w:val="13"/>
              </w:rPr>
              <w:t>OL/OV</w:t>
            </w:r>
          </w:p>
        </w:tc>
      </w:tr>
      <w:tr w:rsidR="001A63C6" w:rsidRPr="00BB5519" w:rsidTr="004D1715">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position w:val="0"/>
                <w:sz w:val="14"/>
              </w:rPr>
            </w:pPr>
            <w:bookmarkStart w:id="177" w:name="_Toc336337914"/>
            <w:bookmarkStart w:id="178" w:name="_Toc354054635"/>
            <w:r w:rsidRPr="00BB5519">
              <w:rPr>
                <w:rFonts w:ascii="Tahoma" w:hAnsi="Tahoma"/>
                <w:position w:val="0"/>
                <w:sz w:val="14"/>
              </w:rPr>
              <w:t>Bing Maps Standard (Dienste-AL)</w:t>
            </w:r>
            <w:bookmarkEnd w:id="177"/>
            <w:bookmarkEnd w:id="178"/>
          </w:p>
        </w:tc>
        <w:tc>
          <w:tcPr>
            <w:tcW w:w="630" w:type="dxa"/>
            <w:tcBorders>
              <w:bottom w:val="single" w:sz="4" w:space="0" w:color="auto"/>
            </w:tcBorders>
            <w:shd w:val="clear" w:color="auto" w:fill="auto"/>
            <w:vAlign w:val="center"/>
          </w:tcPr>
          <w:p w:rsidR="001A63C6" w:rsidRPr="00BB5519"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rsidR="001A63C6" w:rsidRPr="00BB5519" w:rsidRDefault="001A63C6" w:rsidP="002253A3">
            <w:pPr>
              <w:jc w:val="center"/>
              <w:rPr>
                <w:rFonts w:cs="Tahoma"/>
                <w:sz w:val="13"/>
              </w:rPr>
            </w:pPr>
            <w:r w:rsidRPr="00BB5519">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4D1715" w:rsidRDefault="001A63C6" w:rsidP="004D1715">
            <w:pPr>
              <w:spacing w:before="40"/>
              <w:jc w:val="center"/>
              <w:rPr>
                <w:rFonts w:cs="Tahoma"/>
                <w:sz w:val="13"/>
              </w:rPr>
            </w:pPr>
            <w:r w:rsidRPr="00BB5519">
              <w:rPr>
                <w:rFonts w:cs="Tahoma"/>
                <w:sz w:val="13"/>
              </w:rPr>
              <w:t>75 Punkte</w:t>
            </w:r>
          </w:p>
          <w:p w:rsidR="001A63C6" w:rsidRPr="00BB5519" w:rsidRDefault="001A63C6" w:rsidP="004D1715">
            <w:pPr>
              <w:jc w:val="center"/>
              <w:rPr>
                <w:rFonts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360" w:type="dxa"/>
            <w:tcBorders>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r w:rsidRPr="00BB551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2253A3">
            <w:pPr>
              <w:jc w:val="center"/>
              <w:rPr>
                <w:rFonts w:cs="Tahoma"/>
                <w:sz w:val="13"/>
              </w:rPr>
            </w:pPr>
            <w:r w:rsidRPr="00BB5519">
              <w:rPr>
                <w:rFonts w:cs="Tahoma"/>
                <w:sz w:val="13"/>
              </w:rPr>
              <w:t>P</w:t>
            </w:r>
          </w:p>
        </w:tc>
        <w:tc>
          <w:tcPr>
            <w:tcW w:w="540" w:type="dxa"/>
            <w:tcBorders>
              <w:bottom w:val="single" w:sz="4" w:space="0" w:color="auto"/>
            </w:tcBorders>
            <w:shd w:val="clear" w:color="auto" w:fill="auto"/>
          </w:tcPr>
          <w:p w:rsidR="001A63C6" w:rsidRPr="00BB5519"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BB5519" w:rsidRDefault="001A63C6" w:rsidP="002253A3">
            <w:pPr>
              <w:jc w:val="center"/>
              <w:rPr>
                <w:rFonts w:cs="Tahoma"/>
                <w:sz w:val="13"/>
              </w:rPr>
            </w:pPr>
            <w:r w:rsidRPr="00BB5519">
              <w:rPr>
                <w:rFonts w:cs="Tahoma"/>
                <w:sz w:val="13"/>
              </w:rPr>
              <w:t>OL/OV</w:t>
            </w:r>
          </w:p>
        </w:tc>
      </w:tr>
      <w:tr w:rsidR="00B33D0E" w:rsidRPr="00BB5519" w:rsidTr="004064E2">
        <w:trPr>
          <w:trHeight w:val="64"/>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179" w:name="_Toc336337919"/>
            <w:bookmarkStart w:id="180" w:name="_Toc354054636"/>
            <w:r w:rsidRPr="00BB5519">
              <w:rPr>
                <w:rFonts w:ascii="Tahoma" w:hAnsi="Tahoma" w:cs="Tahoma"/>
                <w:position w:val="0"/>
                <w:sz w:val="14"/>
              </w:rPr>
              <w:t>BizTalk</w:t>
            </w:r>
            <w:r w:rsidRPr="00621662">
              <w:rPr>
                <w:rFonts w:cs="Tahoma"/>
                <w:position w:val="0"/>
                <w:szCs w:val="18"/>
                <w:vertAlign w:val="superscript"/>
              </w:rPr>
              <w:t>®</w:t>
            </w:r>
            <w:r w:rsidRPr="00BB5519">
              <w:rPr>
                <w:rFonts w:ascii="Tahoma" w:hAnsi="Tahoma" w:cs="Tahoma"/>
                <w:position w:val="0"/>
                <w:sz w:val="14"/>
              </w:rPr>
              <w:t xml:space="preserve"> Server 2013 Branch Edition</w:t>
            </w:r>
            <w:bookmarkEnd w:id="179"/>
            <w:bookmarkEnd w:id="180"/>
            <w:r w:rsidRPr="00BB5519">
              <w:rPr>
                <w:rFonts w:ascii="Tahoma" w:hAnsi="Tahoma" w:cs="Tahoma"/>
                <w:position w:val="0"/>
                <w:sz w:val="14"/>
              </w:rPr>
              <w:t xml:space="preserve"> </w:t>
            </w:r>
          </w:p>
        </w:tc>
        <w:tc>
          <w:tcPr>
            <w:tcW w:w="630" w:type="dxa"/>
            <w:tcBorders>
              <w:bottom w:val="single" w:sz="4" w:space="0" w:color="auto"/>
            </w:tcBorders>
            <w:shd w:val="clear" w:color="auto" w:fill="FABF8F"/>
            <w:vAlign w:val="center"/>
          </w:tcPr>
          <w:p w:rsidR="001A63C6" w:rsidRPr="00BB5519" w:rsidRDefault="005F5403" w:rsidP="00132E08">
            <w:pPr>
              <w:pStyle w:val="TableText"/>
              <w:widowControl w:val="0"/>
              <w:rPr>
                <w:rStyle w:val="EndnoteReference"/>
                <w:rFonts w:cs="Tahoma"/>
                <w:b w:val="0"/>
                <w:color w:val="0000FF"/>
                <w:sz w:val="13"/>
                <w:szCs w:val="13"/>
                <w:u w:val="single"/>
              </w:rPr>
            </w:pPr>
            <w:hyperlink w:anchor="_32_BizTalk_Server®" w:history="1">
              <w:r w:rsidR="00955428" w:rsidRPr="00BB5519">
                <w:rPr>
                  <w:rStyle w:val="Hyperlink"/>
                  <w:rFonts w:cs="Tahoma"/>
                  <w:b/>
                  <w:sz w:val="13"/>
                  <w:szCs w:val="13"/>
                </w:rPr>
                <w:t>3</w:t>
              </w:r>
            </w:hyperlink>
            <w:r w:rsidR="00955428" w:rsidRPr="00BB5519">
              <w:rPr>
                <w:rStyle w:val="Hyperlink"/>
                <w:rFonts w:cs="Tahoma"/>
                <w:b/>
                <w:sz w:val="13"/>
                <w:szCs w:val="13"/>
              </w:rPr>
              <w:t>2</w:t>
            </w:r>
            <w:hyperlink w:anchor="Srv_26_BizTalkServerBranch" w:history="1"/>
          </w:p>
        </w:tc>
        <w:tc>
          <w:tcPr>
            <w:tcW w:w="450" w:type="dxa"/>
            <w:tcBorders>
              <w:bottom w:val="single" w:sz="4" w:space="0" w:color="auto"/>
            </w:tcBorders>
            <w:shd w:val="clear" w:color="auto" w:fill="FABF8F"/>
            <w:vAlign w:val="center"/>
          </w:tcPr>
          <w:p w:rsidR="001A63C6" w:rsidRPr="00BB5519" w:rsidRDefault="002B327C" w:rsidP="001A63C6">
            <w:pPr>
              <w:pStyle w:val="TableText"/>
              <w:widowControl w:val="0"/>
              <w:rPr>
                <w:rFonts w:ascii="Tahoma" w:hAnsi="Tahoma" w:cs="Tahoma"/>
                <w:color w:val="000000"/>
                <w:sz w:val="13"/>
              </w:rPr>
            </w:pPr>
            <w:r w:rsidRPr="00BB5519">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63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13</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OL/OV</w:t>
            </w: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181" w:name="_Toc336337920"/>
            <w:bookmarkStart w:id="182" w:name="_Toc354054637"/>
            <w:r w:rsidRPr="00BB5519">
              <w:rPr>
                <w:rFonts w:ascii="Tahoma" w:hAnsi="Tahoma" w:cs="Tahoma"/>
                <w:position w:val="0"/>
                <w:sz w:val="14"/>
              </w:rPr>
              <w:t>BizTalk</w:t>
            </w:r>
            <w:r w:rsidRPr="00621662">
              <w:rPr>
                <w:rFonts w:cs="Tahoma"/>
                <w:position w:val="0"/>
                <w:szCs w:val="18"/>
                <w:vertAlign w:val="superscript"/>
              </w:rPr>
              <w:t>®</w:t>
            </w:r>
            <w:r w:rsidRPr="00BB5519">
              <w:rPr>
                <w:rFonts w:ascii="Tahoma" w:hAnsi="Tahoma" w:cs="Tahoma"/>
                <w:position w:val="0"/>
                <w:sz w:val="14"/>
              </w:rPr>
              <w:t xml:space="preserve"> Server 2013 Enterprise Edition</w:t>
            </w:r>
            <w:bookmarkEnd w:id="181"/>
            <w:bookmarkEnd w:id="182"/>
          </w:p>
        </w:tc>
        <w:tc>
          <w:tcPr>
            <w:tcW w:w="630" w:type="dxa"/>
            <w:tcBorders>
              <w:bottom w:val="single" w:sz="4" w:space="0" w:color="auto"/>
            </w:tcBorders>
            <w:shd w:val="clear" w:color="auto" w:fill="auto"/>
            <w:vAlign w:val="center"/>
          </w:tcPr>
          <w:p w:rsidR="001A63C6" w:rsidRPr="00BB5519" w:rsidRDefault="005F5403" w:rsidP="00132E08">
            <w:pPr>
              <w:pStyle w:val="TableText"/>
              <w:widowControl w:val="0"/>
              <w:rPr>
                <w:rStyle w:val="EndnoteReference"/>
                <w:rFonts w:cs="Tahoma"/>
                <w:b w:val="0"/>
                <w:color w:val="0000FF"/>
                <w:sz w:val="13"/>
                <w:szCs w:val="13"/>
                <w:u w:val="single"/>
              </w:rPr>
            </w:pPr>
            <w:hyperlink w:anchor="_33_BizTalk_Server®" w:history="1">
              <w:r w:rsidR="00132E08" w:rsidRPr="00056205">
                <w:rPr>
                  <w:rStyle w:val="Hyperlink"/>
                  <w:rFonts w:cs="Tahoma"/>
                  <w:b/>
                  <w:sz w:val="13"/>
                  <w:szCs w:val="13"/>
                </w:rPr>
                <w:t>33</w:t>
              </w:r>
            </w:hyperlink>
          </w:p>
        </w:tc>
        <w:tc>
          <w:tcPr>
            <w:tcW w:w="450" w:type="dxa"/>
            <w:tcBorders>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color w:val="000000"/>
                <w:sz w:val="13"/>
              </w:rPr>
            </w:pPr>
            <w:r w:rsidRPr="00BB5519">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400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OL/OV</w:t>
            </w:r>
          </w:p>
        </w:tc>
      </w:tr>
      <w:tr w:rsidR="002B327C" w:rsidRPr="00BB5519" w:rsidTr="004064E2">
        <w:trPr>
          <w:trHeight w:val="145"/>
        </w:trPr>
        <w:tc>
          <w:tcPr>
            <w:tcW w:w="2556" w:type="dxa"/>
            <w:tcBorders>
              <w:bottom w:val="single" w:sz="4" w:space="0" w:color="auto"/>
            </w:tcBorders>
            <w:shd w:val="clear" w:color="auto" w:fill="FABF8F"/>
            <w:vAlign w:val="center"/>
          </w:tcPr>
          <w:p w:rsidR="002B327C" w:rsidRPr="00BB5519" w:rsidRDefault="002B327C" w:rsidP="005B6712">
            <w:pPr>
              <w:pStyle w:val="ProductNames"/>
              <w:spacing w:beforeLines="20" w:before="48" w:afterLines="20" w:after="48"/>
              <w:rPr>
                <w:rFonts w:ascii="Tahoma" w:hAnsi="Tahoma" w:cs="Tahoma"/>
                <w:position w:val="0"/>
                <w:sz w:val="14"/>
              </w:rPr>
            </w:pPr>
            <w:bookmarkStart w:id="183" w:name="_Toc354054638"/>
            <w:r w:rsidRPr="00BB5519">
              <w:rPr>
                <w:rFonts w:ascii="Tahoma" w:hAnsi="Tahoma" w:cs="Tahoma"/>
                <w:position w:val="0"/>
                <w:sz w:val="14"/>
              </w:rPr>
              <w:t>BizTalk</w:t>
            </w:r>
            <w:r w:rsidRPr="00621662">
              <w:rPr>
                <w:rFonts w:cs="Tahoma"/>
                <w:position w:val="0"/>
                <w:szCs w:val="18"/>
                <w:vertAlign w:val="superscript"/>
              </w:rPr>
              <w:t>®</w:t>
            </w:r>
            <w:r w:rsidRPr="00BB5519">
              <w:rPr>
                <w:rFonts w:ascii="Tahoma" w:hAnsi="Tahoma" w:cs="Tahoma"/>
                <w:position w:val="0"/>
                <w:sz w:val="14"/>
              </w:rPr>
              <w:t xml:space="preserve"> Server 2013 Branch IDC</w:t>
            </w:r>
            <w:bookmarkEnd w:id="183"/>
          </w:p>
        </w:tc>
        <w:tc>
          <w:tcPr>
            <w:tcW w:w="630" w:type="dxa"/>
            <w:tcBorders>
              <w:bottom w:val="single" w:sz="4" w:space="0" w:color="auto"/>
            </w:tcBorders>
            <w:shd w:val="clear" w:color="auto" w:fill="FABF8F"/>
            <w:vAlign w:val="center"/>
          </w:tcPr>
          <w:p w:rsidR="002B327C" w:rsidRPr="00BB5519" w:rsidRDefault="002B327C" w:rsidP="001A63C6">
            <w:pPr>
              <w:pStyle w:val="TableText"/>
              <w:widowControl w:val="0"/>
            </w:pPr>
          </w:p>
        </w:tc>
        <w:tc>
          <w:tcPr>
            <w:tcW w:w="450" w:type="dxa"/>
            <w:tcBorders>
              <w:bottom w:val="single" w:sz="4" w:space="0" w:color="auto"/>
            </w:tcBorders>
            <w:shd w:val="clear" w:color="auto" w:fill="FABF8F"/>
            <w:vAlign w:val="center"/>
          </w:tcPr>
          <w:p w:rsidR="002B327C" w:rsidRPr="00BB5519" w:rsidDel="004D199A" w:rsidRDefault="002B327C" w:rsidP="001A63C6">
            <w:pPr>
              <w:pStyle w:val="TableText"/>
              <w:widowControl w:val="0"/>
              <w:rPr>
                <w:rFonts w:ascii="Tahoma" w:hAnsi="Tahoma" w:cs="Tahoma"/>
                <w:color w:val="000000"/>
                <w:sz w:val="13"/>
              </w:rPr>
            </w:pPr>
            <w:r w:rsidRPr="00BB5519">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BB5519"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r w:rsidRPr="00BB551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BB5519" w:rsidRDefault="002B327C"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184" w:name="_Toc336337922"/>
            <w:bookmarkStart w:id="185" w:name="_Toc354054639"/>
            <w:r w:rsidRPr="00BB5519">
              <w:rPr>
                <w:rFonts w:ascii="Tahoma" w:hAnsi="Tahoma" w:cs="Tahoma"/>
                <w:position w:val="0"/>
                <w:sz w:val="14"/>
              </w:rPr>
              <w:t>BizTalk</w:t>
            </w:r>
            <w:r w:rsidRPr="00621662">
              <w:rPr>
                <w:rFonts w:ascii="Tahoma" w:hAnsi="Tahoma" w:cs="Tahoma"/>
                <w:position w:val="0"/>
                <w:szCs w:val="18"/>
                <w:vertAlign w:val="superscript"/>
              </w:rPr>
              <w:t>®</w:t>
            </w:r>
            <w:r w:rsidRPr="00BB5519">
              <w:rPr>
                <w:rFonts w:ascii="Tahoma" w:hAnsi="Tahoma" w:cs="Tahoma"/>
                <w:position w:val="0"/>
                <w:sz w:val="14"/>
              </w:rPr>
              <w:t xml:space="preserve"> Server 2013 Standard Edition</w:t>
            </w:r>
            <w:bookmarkEnd w:id="184"/>
            <w:bookmarkEnd w:id="185"/>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5F5403" w:rsidP="00132E08">
            <w:pPr>
              <w:pStyle w:val="TableText"/>
              <w:widowControl w:val="0"/>
              <w:rPr>
                <w:rStyle w:val="EndnoteReference"/>
                <w:rFonts w:cs="Tahoma"/>
                <w:b w:val="0"/>
                <w:color w:val="0000FF"/>
                <w:sz w:val="13"/>
                <w:szCs w:val="13"/>
                <w:u w:val="single"/>
              </w:rPr>
            </w:pPr>
            <w:hyperlink w:anchor="_34_BizTalk_Server®" w:history="1">
              <w:r w:rsidR="00132E08" w:rsidRPr="00056205">
                <w:rPr>
                  <w:rStyle w:val="Hyperlink"/>
                  <w:rFonts w:cs="Tahoma"/>
                  <w:b/>
                  <w:sz w:val="13"/>
                  <w:szCs w:val="13"/>
                </w:rPr>
                <w:t>34</w:t>
              </w:r>
            </w:hyperlink>
          </w:p>
        </w:tc>
        <w:tc>
          <w:tcPr>
            <w:tcW w:w="450" w:type="dxa"/>
            <w:tcBorders>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color w:val="000000"/>
                <w:sz w:val="13"/>
              </w:rPr>
            </w:pPr>
            <w:r w:rsidRPr="00BB5519">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left w:val="single" w:sz="18" w:space="0" w:color="auto"/>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50</w:t>
            </w:r>
          </w:p>
        </w:tc>
        <w:tc>
          <w:tcPr>
            <w:tcW w:w="360" w:type="dxa"/>
            <w:tcBorders>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B5519" w:rsidRDefault="004D199A"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OL/OV</w:t>
            </w:r>
          </w:p>
        </w:tc>
      </w:tr>
      <w:tr w:rsidR="00B33D0E" w:rsidRPr="00BB5519" w:rsidDel="00E7100E" w:rsidTr="004064E2">
        <w:trPr>
          <w:trHeight w:val="145"/>
        </w:trPr>
        <w:tc>
          <w:tcPr>
            <w:tcW w:w="2556" w:type="dxa"/>
            <w:tcBorders>
              <w:bottom w:val="single" w:sz="4" w:space="0" w:color="auto"/>
            </w:tcBorders>
            <w:shd w:val="clear" w:color="auto" w:fill="FABF8F"/>
            <w:vAlign w:val="center"/>
          </w:tcPr>
          <w:p w:rsidR="002B327C" w:rsidRPr="00BB5519" w:rsidDel="002B327C" w:rsidRDefault="002B327C" w:rsidP="005B6712">
            <w:pPr>
              <w:pStyle w:val="Heading2"/>
              <w:spacing w:beforeLines="20" w:before="48" w:afterLines="20" w:after="48"/>
              <w:ind w:left="0"/>
              <w:rPr>
                <w:rFonts w:ascii="Tahoma" w:hAnsi="Tahoma" w:cs="Tahoma"/>
                <w:b w:val="0"/>
                <w:sz w:val="14"/>
              </w:rPr>
            </w:pPr>
            <w:bookmarkStart w:id="186" w:name="_Toc354054640"/>
            <w:r w:rsidRPr="00BB5519">
              <w:rPr>
                <w:rFonts w:ascii="Tahoma" w:hAnsi="Tahoma" w:cs="Tahoma"/>
                <w:b w:val="0"/>
                <w:sz w:val="14"/>
              </w:rPr>
              <w:t>BizTalk</w:t>
            </w:r>
            <w:r w:rsidRPr="00621662">
              <w:rPr>
                <w:rFonts w:ascii="Tahoma" w:hAnsi="Tahoma" w:cs="Tahoma"/>
                <w:b w:val="0"/>
                <w:sz w:val="16"/>
                <w:szCs w:val="16"/>
                <w:vertAlign w:val="superscript"/>
              </w:rPr>
              <w:t>®</w:t>
            </w:r>
            <w:r w:rsidRPr="00BB5519">
              <w:rPr>
                <w:rFonts w:ascii="Tahoma" w:hAnsi="Tahoma" w:cs="Tahoma"/>
                <w:b w:val="0"/>
                <w:sz w:val="14"/>
              </w:rPr>
              <w:t xml:space="preserve"> Server 2013 Standard Edition IDC</w:t>
            </w:r>
            <w:bookmarkEnd w:id="186"/>
          </w:p>
        </w:tc>
        <w:tc>
          <w:tcPr>
            <w:tcW w:w="630" w:type="dxa"/>
            <w:tcBorders>
              <w:bottom w:val="single" w:sz="4" w:space="0" w:color="auto"/>
            </w:tcBorders>
            <w:shd w:val="clear" w:color="auto" w:fill="FABF8F"/>
            <w:vAlign w:val="center"/>
          </w:tcPr>
          <w:p w:rsidR="002B327C" w:rsidRPr="00BB5519" w:rsidDel="00E7100E" w:rsidRDefault="002B327C" w:rsidP="002253A3">
            <w:pPr>
              <w:jc w:val="center"/>
              <w:rPr>
                <w:sz w:val="13"/>
                <w:szCs w:val="13"/>
              </w:rPr>
            </w:pPr>
          </w:p>
        </w:tc>
        <w:tc>
          <w:tcPr>
            <w:tcW w:w="450" w:type="dxa"/>
            <w:tcBorders>
              <w:bottom w:val="single" w:sz="4" w:space="0" w:color="auto"/>
            </w:tcBorders>
            <w:shd w:val="clear" w:color="auto" w:fill="FABF8F"/>
            <w:vAlign w:val="center"/>
          </w:tcPr>
          <w:p w:rsidR="002B327C" w:rsidRPr="00BB5519" w:rsidDel="00A53269" w:rsidRDefault="002B327C" w:rsidP="002253A3">
            <w:pPr>
              <w:jc w:val="center"/>
              <w:rPr>
                <w:rFonts w:cs="Tahoma"/>
                <w:color w:val="000000"/>
                <w:sz w:val="13"/>
                <w:szCs w:val="13"/>
              </w:rPr>
            </w:pPr>
            <w:r w:rsidRPr="00BB5519">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BB5519"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gridSpan w:val="2"/>
            <w:tcBorders>
              <w:left w:val="single" w:sz="18" w:space="0" w:color="auto"/>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360" w:type="dxa"/>
            <w:tcBorders>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BB5519" w:rsidDel="00A53269" w:rsidRDefault="002253A3" w:rsidP="002253A3">
            <w:pPr>
              <w:jc w:val="center"/>
              <w:rPr>
                <w:rFonts w:cs="Tahoma"/>
                <w:sz w:val="13"/>
                <w:szCs w:val="13"/>
              </w:rPr>
            </w:pPr>
            <w:r w:rsidRPr="00BB5519">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BB551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BB5519" w:rsidDel="00E7100E" w:rsidRDefault="002B327C" w:rsidP="002253A3">
            <w:pPr>
              <w:jc w:val="center"/>
              <w:rPr>
                <w:rFonts w:cs="Tahoma"/>
                <w:color w:val="000000"/>
                <w:sz w:val="13"/>
                <w:szCs w:val="13"/>
              </w:rPr>
            </w:pPr>
          </w:p>
        </w:tc>
      </w:tr>
      <w:tr w:rsidR="00BE2E58"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Heading2"/>
              <w:spacing w:beforeLines="20" w:before="48" w:afterLines="20" w:after="48"/>
              <w:ind w:left="0"/>
              <w:rPr>
                <w:rFonts w:ascii="Tahoma" w:hAnsi="Tahoma" w:cs="Tahoma"/>
                <w:b w:val="0"/>
                <w:sz w:val="16"/>
                <w:szCs w:val="16"/>
              </w:rPr>
            </w:pPr>
            <w:bookmarkStart w:id="187" w:name="_Toc336337925"/>
            <w:bookmarkStart w:id="188" w:name="_Toc354054641"/>
            <w:r w:rsidRPr="00BB5519">
              <w:rPr>
                <w:rFonts w:ascii="Tahoma" w:hAnsi="Tahoma" w:cs="Tahoma"/>
                <w:b w:val="0"/>
                <w:sz w:val="14"/>
                <w:szCs w:val="16"/>
              </w:rPr>
              <w:t>Business Intelligence Appliance 2012</w:t>
            </w:r>
            <w:bookmarkEnd w:id="187"/>
            <w:bookmarkEnd w:id="188"/>
          </w:p>
        </w:tc>
        <w:tc>
          <w:tcPr>
            <w:tcW w:w="630" w:type="dxa"/>
            <w:tcBorders>
              <w:bottom w:val="single" w:sz="4" w:space="0" w:color="auto"/>
            </w:tcBorders>
            <w:shd w:val="clear" w:color="auto" w:fill="auto"/>
            <w:vAlign w:val="center"/>
          </w:tcPr>
          <w:p w:rsidR="001A63C6" w:rsidRPr="00BB5519" w:rsidRDefault="005F5403" w:rsidP="00132E08">
            <w:pPr>
              <w:pStyle w:val="TableText"/>
              <w:widowControl w:val="0"/>
              <w:rPr>
                <w:rStyle w:val="EndnoteReference"/>
                <w:b w:val="0"/>
                <w:color w:val="0000FF"/>
                <w:sz w:val="13"/>
                <w:szCs w:val="13"/>
                <w:u w:val="single"/>
              </w:rPr>
            </w:pPr>
            <w:hyperlink w:anchor="_35_Business_Intelligence" w:history="1">
              <w:r w:rsidR="00955428" w:rsidRPr="00056205">
                <w:rPr>
                  <w:rStyle w:val="Hyperlink"/>
                  <w:b/>
                  <w:sz w:val="13"/>
                  <w:szCs w:val="13"/>
                </w:rPr>
                <w:t>35</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63</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EF228F"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189" w:name="_Toc336337926"/>
            <w:bookmarkStart w:id="190" w:name="_Toc354054642"/>
            <w:r w:rsidRPr="00BB5519">
              <w:rPr>
                <w:rFonts w:ascii="Tahoma" w:hAnsi="Tahoma" w:cs="Tahoma"/>
                <w:position w:val="0"/>
                <w:sz w:val="14"/>
                <w:lang w:val="de-DE"/>
              </w:rPr>
              <w:t>Core CAL Suite Bridge für Office 365 (Nutzer &amp; Gerät)</w:t>
            </w:r>
            <w:bookmarkEnd w:id="189"/>
            <w:bookmarkEnd w:id="190"/>
          </w:p>
        </w:tc>
        <w:tc>
          <w:tcPr>
            <w:tcW w:w="630" w:type="dxa"/>
            <w:tcBorders>
              <w:bottom w:val="single" w:sz="4" w:space="0" w:color="auto"/>
            </w:tcBorders>
            <w:shd w:val="clear" w:color="auto" w:fill="FABF8F"/>
            <w:vAlign w:val="center"/>
          </w:tcPr>
          <w:p w:rsidR="001A63C6" w:rsidRPr="00BB5519" w:rsidRDefault="005F5403" w:rsidP="00132E08">
            <w:pPr>
              <w:pStyle w:val="TableText"/>
              <w:widowControl w:val="0"/>
              <w:rPr>
                <w:b/>
                <w:color w:val="0000FF"/>
                <w:sz w:val="13"/>
                <w:szCs w:val="13"/>
                <w:u w:val="single"/>
              </w:rPr>
            </w:pPr>
            <w:hyperlink w:anchor="_36_Core_CAL" w:history="1">
              <w:r w:rsidR="00955428" w:rsidRPr="00056205">
                <w:rPr>
                  <w:rStyle w:val="Hyperlink"/>
                  <w:b/>
                  <w:sz w:val="13"/>
                  <w:szCs w:val="13"/>
                </w:rPr>
                <w:t>36</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E2E58"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191" w:name="_Toc336337927"/>
            <w:bookmarkStart w:id="192" w:name="_Toc354054643"/>
            <w:r w:rsidRPr="00BB5519">
              <w:rPr>
                <w:rFonts w:ascii="Tahoma" w:hAnsi="Tahoma" w:cs="Tahoma"/>
                <w:position w:val="0"/>
                <w:sz w:val="14"/>
                <w:lang w:val="de-DE"/>
              </w:rPr>
              <w:t>Core CAL Suite Bridge für Office 365 und Windows</w:t>
            </w:r>
            <w:r w:rsidRPr="00D15040">
              <w:rPr>
                <w:rFonts w:ascii="Tahoma" w:hAnsi="Tahoma" w:cs="Tahoma"/>
                <w:position w:val="0"/>
                <w:sz w:val="14"/>
                <w:vertAlign w:val="superscript"/>
                <w:lang w:val="de-DE"/>
              </w:rPr>
              <w:t>®</w:t>
            </w:r>
            <w:r w:rsidRPr="00BB5519">
              <w:rPr>
                <w:rFonts w:ascii="Tahoma" w:hAnsi="Tahoma" w:cs="Tahoma"/>
                <w:position w:val="0"/>
                <w:sz w:val="14"/>
                <w:lang w:val="de-DE"/>
              </w:rPr>
              <w:t xml:space="preserve"> Intune (Nutzer &amp; Gerät)</w:t>
            </w:r>
            <w:bookmarkEnd w:id="191"/>
            <w:bookmarkEnd w:id="192"/>
          </w:p>
        </w:tc>
        <w:tc>
          <w:tcPr>
            <w:tcW w:w="630" w:type="dxa"/>
            <w:tcBorders>
              <w:bottom w:val="single" w:sz="4" w:space="0" w:color="auto"/>
            </w:tcBorders>
            <w:shd w:val="clear" w:color="auto" w:fill="auto"/>
            <w:vAlign w:val="center"/>
          </w:tcPr>
          <w:p w:rsidR="001A63C6" w:rsidRPr="00BB5519" w:rsidRDefault="005F5403" w:rsidP="00132E08">
            <w:pPr>
              <w:pStyle w:val="TableText"/>
              <w:widowControl w:val="0"/>
              <w:rPr>
                <w:b/>
                <w:color w:val="0000FF"/>
                <w:sz w:val="13"/>
                <w:szCs w:val="13"/>
                <w:u w:val="single"/>
              </w:rPr>
            </w:pPr>
            <w:hyperlink w:anchor="_37_Core_CAL" w:history="1">
              <w:r w:rsidR="00955428" w:rsidRPr="00056205">
                <w:rPr>
                  <w:rStyle w:val="Hyperlink"/>
                  <w:b/>
                  <w:sz w:val="13"/>
                  <w:szCs w:val="13"/>
                </w:rPr>
                <w:t>37</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193" w:name="_Toc336337928"/>
            <w:bookmarkStart w:id="194" w:name="_Toc354054644"/>
            <w:r w:rsidRPr="00BB5519">
              <w:rPr>
                <w:rFonts w:ascii="Tahoma" w:hAnsi="Tahoma" w:cs="Tahoma"/>
                <w:position w:val="0"/>
                <w:sz w:val="14"/>
                <w:lang w:val="de-DE"/>
              </w:rPr>
              <w:t>Core CAL Suite Bridge für Windows</w:t>
            </w:r>
            <w:r w:rsidRPr="00621662">
              <w:rPr>
                <w:rFonts w:ascii="Tahoma" w:hAnsi="Tahoma" w:cs="Tahoma"/>
                <w:position w:val="0"/>
                <w:sz w:val="14"/>
                <w:vertAlign w:val="superscript"/>
                <w:lang w:val="de-DE"/>
              </w:rPr>
              <w:t>®</w:t>
            </w:r>
            <w:r w:rsidRPr="00BB5519">
              <w:rPr>
                <w:rFonts w:ascii="Tahoma" w:hAnsi="Tahoma" w:cs="Tahoma"/>
                <w:position w:val="0"/>
                <w:sz w:val="14"/>
                <w:lang w:val="de-DE"/>
              </w:rPr>
              <w:t xml:space="preserve"> Intune (Nutzer &amp; Gerät)</w:t>
            </w:r>
            <w:bookmarkEnd w:id="193"/>
            <w:bookmarkEnd w:id="194"/>
          </w:p>
        </w:tc>
        <w:tc>
          <w:tcPr>
            <w:tcW w:w="630" w:type="dxa"/>
            <w:tcBorders>
              <w:bottom w:val="single" w:sz="4" w:space="0" w:color="auto"/>
            </w:tcBorders>
            <w:shd w:val="clear" w:color="auto" w:fill="FABF8F"/>
            <w:vAlign w:val="center"/>
          </w:tcPr>
          <w:p w:rsidR="001A63C6" w:rsidRPr="00BB5519" w:rsidRDefault="005F5403" w:rsidP="00132E08">
            <w:pPr>
              <w:pStyle w:val="TableText"/>
              <w:widowControl w:val="0"/>
              <w:rPr>
                <w:b/>
                <w:color w:val="0000FF"/>
                <w:sz w:val="13"/>
                <w:szCs w:val="13"/>
                <w:u w:val="single"/>
              </w:rPr>
            </w:pPr>
            <w:hyperlink w:anchor="_37_Core_CAL" w:history="1">
              <w:r w:rsidR="00955428" w:rsidRPr="00056205">
                <w:rPr>
                  <w:rStyle w:val="Hyperlink"/>
                  <w:b/>
                  <w:sz w:val="13"/>
                  <w:szCs w:val="13"/>
                </w:rPr>
                <w:t>37</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E2E58"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195" w:name="_Toc336337929"/>
            <w:bookmarkStart w:id="196" w:name="_Toc354054645"/>
            <w:r w:rsidRPr="00BB5519">
              <w:rPr>
                <w:rFonts w:ascii="Tahoma" w:hAnsi="Tahoma" w:cs="Tahoma"/>
                <w:position w:val="0"/>
                <w:sz w:val="14"/>
                <w:lang w:val="de-DE"/>
              </w:rPr>
              <w:t>Core CAL Suite (Nutzer &amp; Gerät)</w:t>
            </w:r>
            <w:bookmarkEnd w:id="195"/>
            <w:bookmarkEnd w:id="196"/>
          </w:p>
        </w:tc>
        <w:tc>
          <w:tcPr>
            <w:tcW w:w="630" w:type="dxa"/>
            <w:tcBorders>
              <w:bottom w:val="single" w:sz="4" w:space="0" w:color="auto"/>
            </w:tcBorders>
            <w:shd w:val="clear" w:color="auto" w:fill="auto"/>
            <w:vAlign w:val="center"/>
          </w:tcPr>
          <w:p w:rsidR="001A63C6" w:rsidRPr="00BB5519" w:rsidRDefault="005F5403" w:rsidP="00132E08">
            <w:pPr>
              <w:pStyle w:val="TableText"/>
              <w:widowControl w:val="0"/>
              <w:rPr>
                <w:rStyle w:val="EndnoteReference"/>
                <w:color w:val="0000FF"/>
                <w:sz w:val="13"/>
                <w:szCs w:val="13"/>
                <w:u w:val="single"/>
              </w:rPr>
            </w:pPr>
            <w:hyperlink w:anchor="_36_Core_CAL" w:history="1">
              <w:r w:rsidR="00955428" w:rsidRPr="00056205">
                <w:rPr>
                  <w:rStyle w:val="Hyperlink"/>
                  <w:b/>
                  <w:sz w:val="13"/>
                  <w:szCs w:val="13"/>
                </w:rPr>
                <w:t>37</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 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szCs w:val="13"/>
              </w:rPr>
              <w:t>E</w:t>
            </w:r>
            <w:r w:rsidRPr="00BB5519">
              <w:rPr>
                <w:rFonts w:ascii="Tahoma" w:hAnsi="Tahoma" w:cs="Tahoma"/>
                <w:sz w:val="13"/>
              </w:rPr>
              <w:t>,ST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EF228F"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fr-FR"/>
              </w:rPr>
            </w:pPr>
            <w:bookmarkStart w:id="197" w:name="_Toc336337930"/>
            <w:bookmarkStart w:id="198" w:name="_Toc354054646"/>
            <w:r w:rsidRPr="00BB5519">
              <w:rPr>
                <w:rFonts w:ascii="Tahoma" w:hAnsi="Tahoma" w:cs="Tahoma"/>
                <w:position w:val="0"/>
                <w:sz w:val="14"/>
                <w:lang w:val="fr-FR"/>
              </w:rPr>
              <w:t>Core Infrastructure Server Suite Standard</w:t>
            </w:r>
            <w:bookmarkEnd w:id="197"/>
            <w:bookmarkEnd w:id="198"/>
          </w:p>
        </w:tc>
        <w:tc>
          <w:tcPr>
            <w:tcW w:w="630" w:type="dxa"/>
            <w:tcBorders>
              <w:bottom w:val="single" w:sz="4" w:space="0" w:color="auto"/>
            </w:tcBorders>
            <w:shd w:val="clear" w:color="auto" w:fill="FABF8F"/>
            <w:vAlign w:val="center"/>
          </w:tcPr>
          <w:p w:rsidR="001A63C6" w:rsidRPr="00BB5519" w:rsidRDefault="005F5403" w:rsidP="00132E08">
            <w:pPr>
              <w:pStyle w:val="TableText"/>
              <w:widowControl w:val="0"/>
              <w:rPr>
                <w:rStyle w:val="EndnoteReference"/>
                <w:color w:val="0000FF"/>
                <w:sz w:val="13"/>
                <w:szCs w:val="13"/>
                <w:u w:val="single"/>
              </w:rPr>
            </w:pPr>
            <w:hyperlink w:anchor="_38_Core_Infrastructure_1" w:history="1">
              <w:r w:rsidR="00955428" w:rsidRPr="00056205">
                <w:rPr>
                  <w:rStyle w:val="Hyperlink"/>
                  <w:b/>
                  <w:sz w:val="13"/>
                  <w:szCs w:val="13"/>
                </w:rPr>
                <w:t>38</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13</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25</w:t>
            </w: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lang w:val="fr-FR"/>
              </w:rPr>
            </w:pPr>
            <w:bookmarkStart w:id="199" w:name="_Toc336337931"/>
            <w:bookmarkStart w:id="200" w:name="_Toc354054647"/>
            <w:r w:rsidRPr="00BB5519">
              <w:rPr>
                <w:rFonts w:ascii="Tahoma" w:hAnsi="Tahoma" w:cs="Tahoma"/>
                <w:position w:val="0"/>
                <w:sz w:val="14"/>
                <w:lang w:val="fr-FR"/>
              </w:rPr>
              <w:lastRenderedPageBreak/>
              <w:t>Core Infrastructure Server Suite Enterprise</w:t>
            </w:r>
            <w:bookmarkEnd w:id="199"/>
            <w:bookmarkEnd w:id="200"/>
          </w:p>
        </w:tc>
        <w:tc>
          <w:tcPr>
            <w:tcW w:w="630" w:type="dxa"/>
            <w:tcBorders>
              <w:bottom w:val="single" w:sz="4" w:space="0" w:color="auto"/>
            </w:tcBorders>
            <w:shd w:val="clear" w:color="auto" w:fill="auto"/>
            <w:vAlign w:val="center"/>
          </w:tcPr>
          <w:p w:rsidR="001A63C6" w:rsidRPr="00BB5519" w:rsidRDefault="005F5403" w:rsidP="00132E08">
            <w:pPr>
              <w:pStyle w:val="TableText"/>
              <w:widowControl w:val="0"/>
              <w:rPr>
                <w:rStyle w:val="EndnoteReference"/>
                <w:color w:val="0000FF"/>
                <w:sz w:val="13"/>
                <w:szCs w:val="13"/>
                <w:u w:val="single"/>
              </w:rPr>
            </w:pPr>
            <w:hyperlink w:anchor="_38_Core_Infrastructure" w:history="1">
              <w:r w:rsidR="00955428" w:rsidRPr="00BB5519">
                <w:rPr>
                  <w:rStyle w:val="Hyperlink"/>
                  <w:b/>
                  <w:sz w:val="13"/>
                  <w:szCs w:val="13"/>
                </w:rPr>
                <w:t>3</w:t>
              </w:r>
            </w:hyperlink>
            <w:r w:rsidR="00955428" w:rsidRPr="00BB5519">
              <w:rPr>
                <w:rStyle w:val="Hyperlink"/>
                <w:b/>
                <w:sz w:val="13"/>
                <w:szCs w:val="13"/>
              </w:rPr>
              <w:t>9</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fr-FR"/>
              </w:rPr>
            </w:pPr>
            <w:bookmarkStart w:id="201" w:name="_Toc336337932"/>
            <w:bookmarkStart w:id="202" w:name="_Toc354054648"/>
            <w:r w:rsidRPr="00BB5519">
              <w:rPr>
                <w:rFonts w:ascii="Tahoma" w:hAnsi="Tahoma" w:cs="Tahoma"/>
                <w:position w:val="0"/>
                <w:sz w:val="14"/>
                <w:lang w:val="fr-FR"/>
              </w:rPr>
              <w:t>Core Infrastructure Server Suite Datacenter</w:t>
            </w:r>
            <w:bookmarkEnd w:id="201"/>
            <w:bookmarkEnd w:id="202"/>
          </w:p>
        </w:tc>
        <w:tc>
          <w:tcPr>
            <w:tcW w:w="630" w:type="dxa"/>
            <w:tcBorders>
              <w:bottom w:val="single" w:sz="4" w:space="0" w:color="auto"/>
            </w:tcBorders>
            <w:shd w:val="clear" w:color="auto" w:fill="FABF8F"/>
            <w:vAlign w:val="center"/>
          </w:tcPr>
          <w:p w:rsidR="001A63C6" w:rsidRPr="00BB5519" w:rsidRDefault="005F5403" w:rsidP="00132E08">
            <w:pPr>
              <w:pStyle w:val="TableText"/>
              <w:widowControl w:val="0"/>
              <w:rPr>
                <w:rStyle w:val="EndnoteReference"/>
                <w:color w:val="0000FF"/>
                <w:sz w:val="13"/>
                <w:szCs w:val="13"/>
                <w:u w:val="single"/>
              </w:rPr>
            </w:pPr>
            <w:hyperlink w:anchor="_40_Core_Infrastructure" w:history="1">
              <w:r w:rsidR="00132E08" w:rsidRPr="00056205">
                <w:rPr>
                  <w:rStyle w:val="Hyperlink"/>
                  <w:b/>
                  <w:sz w:val="13"/>
                  <w:szCs w:val="13"/>
                </w:rPr>
                <w:t>40</w:t>
              </w:r>
            </w:hyperlink>
            <w:hyperlink w:anchor="_39_Core_Infrastructure" w:history="1"/>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lang w:eastAsia="ja-JP"/>
              </w:rPr>
            </w:pPr>
            <w:r w:rsidRPr="00BB551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lang w:eastAsia="ja-JP"/>
              </w:rPr>
            </w:pPr>
            <w:r w:rsidRPr="00BB5519">
              <w:rPr>
                <w:rFonts w:ascii="Tahoma" w:hAnsi="Tahoma" w:cs="Tahoma"/>
                <w:sz w:val="13"/>
                <w:szCs w:val="13"/>
              </w:rPr>
              <w:t>38</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lang w:eastAsia="ja-JP"/>
              </w:rPr>
            </w:pPr>
            <w:r w:rsidRPr="00BB5519">
              <w:rPr>
                <w:rFonts w:ascii="Tahoma" w:hAnsi="Tahoma" w:cs="Tahoma"/>
                <w:sz w:val="13"/>
                <w:szCs w:val="13"/>
              </w:rPr>
              <w:t>75</w:t>
            </w: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lang w:eastAsia="ja-JP"/>
              </w:rPr>
            </w:pPr>
            <w:r w:rsidRPr="00BB551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lang w:eastAsia="ja-JP"/>
              </w:rPr>
            </w:pPr>
            <w:r w:rsidRPr="00BB5519">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lang w:eastAsia="ja-JP"/>
              </w:rPr>
            </w:pPr>
            <w:r w:rsidRPr="00BB551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54609D" w:rsidRPr="00BB5519" w:rsidTr="004064E2">
        <w:trPr>
          <w:trHeight w:val="145"/>
        </w:trPr>
        <w:tc>
          <w:tcPr>
            <w:tcW w:w="2556" w:type="dxa"/>
            <w:tcBorders>
              <w:bottom w:val="single" w:sz="4" w:space="0" w:color="auto"/>
            </w:tcBorders>
            <w:shd w:val="clear" w:color="auto" w:fill="auto"/>
            <w:vAlign w:val="center"/>
          </w:tcPr>
          <w:p w:rsidR="0054609D" w:rsidRPr="00BB5519" w:rsidRDefault="0054609D" w:rsidP="00C0225C">
            <w:pPr>
              <w:pStyle w:val="ProductNames"/>
              <w:keepNext/>
              <w:spacing w:beforeLines="20" w:before="48" w:afterLines="20" w:after="48"/>
              <w:rPr>
                <w:rFonts w:ascii="Tahoma" w:hAnsi="Tahoma" w:cs="Tahoma"/>
                <w:color w:val="000000"/>
                <w:position w:val="0"/>
                <w:sz w:val="14"/>
                <w:szCs w:val="18"/>
              </w:rPr>
            </w:pPr>
            <w:bookmarkStart w:id="203" w:name="_Toc354054649"/>
            <w:r w:rsidRPr="00BB5519">
              <w:rPr>
                <w:rFonts w:ascii="Tahoma" w:hAnsi="Tahoma" w:cs="Tahoma"/>
                <w:color w:val="000000"/>
                <w:position w:val="0"/>
                <w:sz w:val="14"/>
                <w:szCs w:val="18"/>
              </w:rPr>
              <w:t>Duet Enterprise 2.0</w:t>
            </w:r>
            <w:bookmarkEnd w:id="203"/>
          </w:p>
        </w:tc>
        <w:tc>
          <w:tcPr>
            <w:tcW w:w="630" w:type="dxa"/>
            <w:tcBorders>
              <w:bottom w:val="single" w:sz="4" w:space="0" w:color="auto"/>
            </w:tcBorders>
            <w:shd w:val="clear" w:color="auto" w:fill="auto"/>
            <w:vAlign w:val="center"/>
          </w:tcPr>
          <w:p w:rsidR="0054609D" w:rsidRPr="00BB5519" w:rsidDel="00132E08" w:rsidRDefault="005F5403" w:rsidP="00C0225C">
            <w:pPr>
              <w:pStyle w:val="TableText"/>
              <w:keepNext/>
              <w:keepLines/>
              <w:widowControl w:val="0"/>
              <w:rPr>
                <w:b/>
                <w:sz w:val="13"/>
                <w:szCs w:val="13"/>
              </w:rPr>
            </w:pPr>
            <w:hyperlink w:anchor="_41_Duet_Enterprise_1" w:history="1">
              <w:r w:rsidR="00955428" w:rsidRPr="00BB5519">
                <w:rPr>
                  <w:rStyle w:val="Hyperlink"/>
                  <w:b/>
                  <w:sz w:val="13"/>
                  <w:szCs w:val="13"/>
                </w:rPr>
                <w:t>41</w:t>
              </w:r>
            </w:hyperlink>
          </w:p>
        </w:tc>
        <w:tc>
          <w:tcPr>
            <w:tcW w:w="450" w:type="dxa"/>
            <w:tcBorders>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360" w:type="dxa"/>
            <w:tcBorders>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BB5519" w:rsidRDefault="0054609D" w:rsidP="00C0225C">
            <w:pPr>
              <w:pStyle w:val="TableText"/>
              <w:keepNext/>
              <w:keepLines/>
              <w:widowControl w:val="0"/>
              <w:rPr>
                <w:rFonts w:ascii="Tahoma" w:hAnsi="Tahoma" w:cs="Tahoma"/>
                <w:sz w:val="13"/>
              </w:rPr>
            </w:pPr>
          </w:p>
        </w:tc>
        <w:tc>
          <w:tcPr>
            <w:tcW w:w="540" w:type="dxa"/>
            <w:tcBorders>
              <w:bottom w:val="single" w:sz="4" w:space="0" w:color="auto"/>
            </w:tcBorders>
            <w:shd w:val="clear" w:color="auto" w:fill="auto"/>
          </w:tcPr>
          <w:p w:rsidR="0054609D" w:rsidRPr="00BB5519" w:rsidRDefault="0054609D"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BB5519" w:rsidRDefault="0054609D" w:rsidP="00C0225C">
            <w:pPr>
              <w:pStyle w:val="TableText"/>
              <w:keepNext/>
              <w:keepLines/>
              <w:widowControl w:val="0"/>
              <w:jc w:val="left"/>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szCs w:val="18"/>
                <w:lang w:val="de-DE"/>
              </w:rPr>
            </w:pPr>
            <w:bookmarkStart w:id="204" w:name="_Toc336337935"/>
            <w:bookmarkStart w:id="205" w:name="_Toc354054650"/>
            <w:r w:rsidRPr="00BB5519">
              <w:rPr>
                <w:rFonts w:ascii="Tahoma" w:hAnsi="Tahoma" w:cs="Tahoma"/>
                <w:color w:val="000000"/>
                <w:position w:val="0"/>
                <w:sz w:val="14"/>
                <w:szCs w:val="18"/>
                <w:lang w:val="de-DE"/>
              </w:rPr>
              <w:t>Zusatzspeicher für Dynamics CRM Online</w:t>
            </w:r>
            <w:bookmarkEnd w:id="204"/>
            <w:bookmarkEnd w:id="205"/>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color w:val="0000FF"/>
                <w:sz w:val="13"/>
                <w:szCs w:val="13"/>
                <w:u w:val="single"/>
              </w:rPr>
            </w:pPr>
            <w:hyperlink w:anchor="_42_Dynamics_CRM" w:history="1">
              <w:r w:rsidR="00955428" w:rsidRPr="00056205">
                <w:rPr>
                  <w:rStyle w:val="Hyperlink"/>
                  <w:b/>
                  <w:sz w:val="13"/>
                  <w:szCs w:val="13"/>
                </w:rPr>
                <w:t>42</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jc w:val="left"/>
              <w:rPr>
                <w:rFonts w:ascii="Tahoma" w:hAnsi="Tahoma" w:cs="Tahoma"/>
                <w:sz w:val="13"/>
              </w:rPr>
            </w:pPr>
          </w:p>
        </w:tc>
      </w:tr>
      <w:tr w:rsidR="006900D9"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szCs w:val="18"/>
                <w:lang w:val="de-DE"/>
              </w:rPr>
            </w:pPr>
            <w:bookmarkStart w:id="206" w:name="_Toc336337936"/>
            <w:bookmarkStart w:id="207" w:name="_Toc354054651"/>
            <w:r w:rsidRPr="00BB5519">
              <w:rPr>
                <w:rFonts w:ascii="Tahoma" w:hAnsi="Tahoma" w:cs="Tahoma"/>
                <w:color w:val="000000"/>
                <w:position w:val="0"/>
                <w:sz w:val="14"/>
                <w:szCs w:val="18"/>
                <w:lang w:val="de-DE"/>
              </w:rPr>
              <w:t>Dynamics CRM Online pro Nutzer</w:t>
            </w:r>
            <w:bookmarkEnd w:id="206"/>
            <w:bookmarkEnd w:id="207"/>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rFonts w:cs="Tahoma"/>
                <w:color w:val="0000FF"/>
                <w:sz w:val="13"/>
                <w:szCs w:val="13"/>
                <w:u w:val="single"/>
              </w:rPr>
            </w:pPr>
            <w:hyperlink w:anchor="_40_Dynamics_CRM" w:history="1">
              <w:r w:rsidR="00955428" w:rsidRPr="00056205">
                <w:rPr>
                  <w:rStyle w:val="Hyperlink"/>
                  <w:b/>
                  <w:sz w:val="13"/>
                  <w:szCs w:val="13"/>
                </w:rPr>
                <w:t>42</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jc w:val="left"/>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szCs w:val="18"/>
                <w:lang w:val="de-DE"/>
              </w:rPr>
            </w:pPr>
            <w:bookmarkStart w:id="208" w:name="_Toc336337937"/>
            <w:bookmarkStart w:id="209" w:name="_Toc354054652"/>
            <w:r w:rsidRPr="00BB5519">
              <w:rPr>
                <w:rFonts w:ascii="Tahoma" w:hAnsi="Tahoma" w:cs="Tahoma"/>
                <w:color w:val="000000"/>
                <w:position w:val="0"/>
                <w:sz w:val="14"/>
                <w:szCs w:val="18"/>
                <w:lang w:val="de-DE"/>
              </w:rPr>
              <w:t>Dynamics CRM Online für SA</w:t>
            </w:r>
            <w:bookmarkEnd w:id="208"/>
            <w:bookmarkEnd w:id="209"/>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color w:val="0000FF"/>
                <w:sz w:val="13"/>
                <w:szCs w:val="13"/>
                <w:u w:val="single"/>
              </w:rPr>
            </w:pPr>
            <w:hyperlink w:anchor="_40_Dynamics_CRM" w:history="1">
              <w:r w:rsidR="00955428" w:rsidRPr="00056205">
                <w:rPr>
                  <w:rStyle w:val="Hyperlink"/>
                  <w:b/>
                  <w:sz w:val="13"/>
                  <w:szCs w:val="13"/>
                </w:rPr>
                <w:t>42</w:t>
              </w:r>
            </w:hyperlink>
            <w:hyperlink w:anchor="_40_Dynamics_CRM" w:history="1"/>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jc w:val="left"/>
              <w:rPr>
                <w:rFonts w:ascii="Tahoma" w:hAnsi="Tahoma" w:cs="Tahoma"/>
                <w:sz w:val="13"/>
              </w:rPr>
            </w:pPr>
          </w:p>
        </w:tc>
      </w:tr>
      <w:tr w:rsidR="006900D9"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210" w:name="_Toc336337942"/>
            <w:bookmarkStart w:id="211" w:name="_Toc354054653"/>
            <w:r w:rsidRPr="00BB5519">
              <w:rPr>
                <w:rFonts w:ascii="Tahoma" w:hAnsi="Tahoma" w:cs="Tahoma"/>
                <w:position w:val="0"/>
                <w:sz w:val="14"/>
                <w:lang w:val="de-DE"/>
              </w:rPr>
              <w:t>Enterprise CAL Suite Bridge für Office 365 (Nutzer &amp; Gerät)</w:t>
            </w:r>
            <w:bookmarkEnd w:id="210"/>
            <w:bookmarkEnd w:id="211"/>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41_Enterprise_CAL" w:history="1">
              <w:r w:rsidR="00955428" w:rsidRPr="00056205">
                <w:rPr>
                  <w:rStyle w:val="Hyperlink"/>
                  <w:b/>
                  <w:sz w:val="13"/>
                  <w:szCs w:val="13"/>
                </w:rPr>
                <w:t>43</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4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gridSpan w:val="2"/>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212" w:name="_Toc336337943"/>
            <w:bookmarkStart w:id="213" w:name="_Toc354054654"/>
            <w:r w:rsidRPr="00BB5519">
              <w:rPr>
                <w:rFonts w:ascii="Tahoma" w:hAnsi="Tahoma" w:cs="Tahoma"/>
                <w:position w:val="0"/>
                <w:sz w:val="14"/>
                <w:lang w:val="de-DE"/>
              </w:rPr>
              <w:t>Enterprise CAL Suite Bridge für Office 365 und Windows</w:t>
            </w:r>
            <w:r w:rsidRPr="00621662">
              <w:rPr>
                <w:rFonts w:ascii="Tahoma" w:hAnsi="Tahoma" w:cs="Tahoma"/>
                <w:position w:val="0"/>
                <w:sz w:val="14"/>
                <w:vertAlign w:val="superscript"/>
                <w:lang w:val="de-DE"/>
              </w:rPr>
              <w:t>®</w:t>
            </w:r>
            <w:r w:rsidRPr="00BB5519">
              <w:rPr>
                <w:rFonts w:ascii="Tahoma" w:hAnsi="Tahoma" w:cs="Tahoma"/>
                <w:position w:val="0"/>
                <w:sz w:val="14"/>
                <w:lang w:val="de-DE"/>
              </w:rPr>
              <w:t xml:space="preserve"> Intune (Nutzer &amp; Gerät)</w:t>
            </w:r>
            <w:bookmarkEnd w:id="212"/>
            <w:bookmarkEnd w:id="213"/>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FF"/>
                <w:sz w:val="13"/>
                <w:szCs w:val="13"/>
                <w:u w:val="single"/>
              </w:rPr>
            </w:pPr>
            <w:hyperlink w:anchor="_41_Enterprise_CAL" w:history="1">
              <w:r w:rsidR="00C2582F" w:rsidRPr="00056205">
                <w:rPr>
                  <w:rStyle w:val="Hyperlink"/>
                  <w:b/>
                  <w:sz w:val="13"/>
                  <w:szCs w:val="13"/>
                </w:rPr>
                <w:t>43</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4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gridSpan w:val="2"/>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36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6900D9" w:rsidRPr="00BB5519" w:rsidTr="004064E2">
        <w:trPr>
          <w:trHeight w:val="278"/>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214" w:name="_Toc336337944"/>
            <w:bookmarkStart w:id="215" w:name="_Toc354054655"/>
            <w:r w:rsidRPr="00BB5519">
              <w:rPr>
                <w:rFonts w:ascii="Tahoma" w:hAnsi="Tahoma" w:cs="Tahoma"/>
                <w:position w:val="0"/>
                <w:sz w:val="14"/>
                <w:lang w:val="de-DE"/>
              </w:rPr>
              <w:t>Enterprise CAL Suite Bridge für Windows</w:t>
            </w:r>
            <w:r w:rsidRPr="00621662">
              <w:rPr>
                <w:rFonts w:ascii="Tahoma" w:hAnsi="Tahoma" w:cs="Tahoma"/>
                <w:position w:val="0"/>
                <w:sz w:val="14"/>
                <w:vertAlign w:val="superscript"/>
                <w:lang w:val="de-DE"/>
              </w:rPr>
              <w:t>®</w:t>
            </w:r>
            <w:r w:rsidRPr="00BB5519">
              <w:rPr>
                <w:rFonts w:ascii="Tahoma" w:hAnsi="Tahoma" w:cs="Tahoma"/>
                <w:position w:val="0"/>
                <w:sz w:val="14"/>
                <w:lang w:val="de-DE"/>
              </w:rPr>
              <w:t xml:space="preserve"> Intune (Nutzer &amp; Gerät)</w:t>
            </w:r>
            <w:bookmarkEnd w:id="214"/>
            <w:bookmarkEnd w:id="215"/>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41_Enterprise_CAL" w:history="1">
              <w:r w:rsidR="00C2582F" w:rsidRPr="00056205">
                <w:rPr>
                  <w:rStyle w:val="Hyperlink"/>
                  <w:b/>
                  <w:sz w:val="13"/>
                  <w:szCs w:val="13"/>
                </w:rPr>
                <w:t>43</w:t>
              </w:r>
            </w:hyperlink>
            <w:hyperlink w:anchor="Srv_45EntCALBridgeWinIntune" w:history="1"/>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40"/>
              <w:rPr>
                <w:rFonts w:ascii="Tahoma" w:hAnsi="Tahoma" w:cs="Tahoma"/>
                <w:sz w:val="13"/>
              </w:rPr>
            </w:pPr>
            <w:r w:rsidRPr="00BB5519">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216" w:name="_Toc336337945"/>
            <w:bookmarkStart w:id="217" w:name="_Toc354054656"/>
            <w:r w:rsidRPr="00BB5519">
              <w:rPr>
                <w:rFonts w:ascii="Tahoma" w:hAnsi="Tahoma" w:cs="Tahoma"/>
                <w:position w:val="0"/>
                <w:sz w:val="14"/>
                <w:lang w:val="de-DE"/>
              </w:rPr>
              <w:t>Enterprise CAL Suite (Nutzer &amp; Gerät)</w:t>
            </w:r>
            <w:bookmarkEnd w:id="216"/>
            <w:bookmarkEnd w:id="217"/>
            <w:r w:rsidRPr="00BB5519">
              <w:rPr>
                <w:rFonts w:ascii="Tahoma" w:hAnsi="Tahoma" w:cs="Tahoma"/>
                <w:position w:val="0"/>
                <w:sz w:val="14"/>
                <w:lang w:val="de-DE"/>
              </w:rPr>
              <w:t xml:space="preserve"> </w:t>
            </w:r>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color w:val="0000FF"/>
                <w:sz w:val="13"/>
                <w:szCs w:val="13"/>
                <w:u w:val="single"/>
              </w:rPr>
            </w:pPr>
            <w:hyperlink w:anchor="_42_Enterprise_CAL" w:history="1">
              <w:r w:rsidR="00955428" w:rsidRPr="00056205">
                <w:rPr>
                  <w:rStyle w:val="Hyperlink"/>
                  <w:b/>
                  <w:sz w:val="13"/>
                  <w:szCs w:val="13"/>
                </w:rPr>
                <w:t>44</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40"/>
              <w:rPr>
                <w:rFonts w:ascii="Tahoma" w:hAnsi="Tahoma" w:cs="Tahoma"/>
                <w:sz w:val="13"/>
              </w:rPr>
            </w:pPr>
            <w:r w:rsidRPr="00BB5519">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bCs/>
                <w:color w:val="000000"/>
                <w:sz w:val="13"/>
              </w:rPr>
              <w:t>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color w:val="000000"/>
                <w:sz w:val="13"/>
              </w:rPr>
              <w:t>3</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 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6900D9"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2E6EC0">
            <w:pPr>
              <w:pStyle w:val="ProductNames"/>
              <w:rPr>
                <w:rFonts w:ascii="Tahoma" w:hAnsi="Tahoma" w:cs="Tahoma"/>
                <w:position w:val="0"/>
                <w:sz w:val="14"/>
                <w:lang w:val="de-DE"/>
              </w:rPr>
            </w:pPr>
            <w:bookmarkStart w:id="218" w:name="_Toc354054657"/>
            <w:r w:rsidRPr="00BB5519">
              <w:rPr>
                <w:rFonts w:ascii="Tahoma" w:hAnsi="Tahoma" w:cs="Tahoma"/>
                <w:position w:val="0"/>
                <w:sz w:val="14"/>
                <w:lang w:val="de-DE"/>
              </w:rPr>
              <w:t>Exchange Enterprise CAL mit Diensten</w:t>
            </w:r>
            <w:r w:rsidR="002E6EC0">
              <w:rPr>
                <w:rFonts w:ascii="Tahoma" w:hAnsi="Tahoma" w:cs="Tahoma"/>
                <w:position w:val="0"/>
                <w:sz w:val="14"/>
                <w:lang w:val="de-DE"/>
              </w:rPr>
              <w:t> </w:t>
            </w:r>
            <w:r w:rsidRPr="00BB5519">
              <w:rPr>
                <w:rFonts w:ascii="Tahoma" w:hAnsi="Tahoma" w:cs="Tahoma"/>
                <w:position w:val="0"/>
                <w:sz w:val="14"/>
                <w:lang w:val="de-DE"/>
              </w:rPr>
              <w:t>2013</w:t>
            </w:r>
            <w:bookmarkEnd w:id="218"/>
          </w:p>
        </w:tc>
        <w:tc>
          <w:tcPr>
            <w:tcW w:w="630" w:type="dxa"/>
            <w:tcBorders>
              <w:bottom w:val="single" w:sz="4" w:space="0" w:color="auto"/>
            </w:tcBorders>
            <w:shd w:val="clear" w:color="auto" w:fill="auto"/>
            <w:vAlign w:val="center"/>
          </w:tcPr>
          <w:p w:rsidR="001A63C6" w:rsidRPr="00BB5519" w:rsidRDefault="001A63C6" w:rsidP="00D11241">
            <w:pPr>
              <w:pStyle w:val="TableText"/>
              <w:widowControl w:val="0"/>
              <w:rPr>
                <w:b/>
                <w:sz w:val="13"/>
                <w:szCs w:val="13"/>
                <w:u w:val="single"/>
                <w:lang w:val="de-DE"/>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40"/>
              <w:rPr>
                <w:rFonts w:ascii="Tahoma" w:hAnsi="Tahoma" w:cs="Tahoma"/>
                <w:sz w:val="13"/>
              </w:rPr>
            </w:pPr>
            <w:r w:rsidRPr="00BB551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r w:rsidRPr="00BB5519">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r w:rsidRPr="00BB551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r w:rsidRPr="00BB551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r w:rsidRPr="00BB551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bCs/>
                <w:color w:val="000000"/>
                <w:sz w:val="13"/>
              </w:rPr>
            </w:pPr>
            <w:r w:rsidRPr="00BB5519">
              <w:rPr>
                <w:rFonts w:ascii="Tahoma" w:hAnsi="Tahoma" w:cs="Tahoma"/>
                <w:bCs/>
                <w:color w:val="000000"/>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2E6EC0">
            <w:pPr>
              <w:pStyle w:val="Heading2"/>
              <w:ind w:left="0"/>
              <w:rPr>
                <w:rFonts w:ascii="Tahoma" w:hAnsi="Tahoma" w:cs="Tahoma"/>
                <w:b w:val="0"/>
                <w:sz w:val="14"/>
              </w:rPr>
            </w:pPr>
            <w:bookmarkStart w:id="219" w:name="_Toc354054658"/>
            <w:r w:rsidRPr="00BB5519">
              <w:rPr>
                <w:rFonts w:ascii="Tahoma" w:hAnsi="Tahoma" w:cs="Tahoma"/>
                <w:b w:val="0"/>
                <w:sz w:val="14"/>
              </w:rPr>
              <w:t>Exchange Enterprise CAL ohne Dienste</w:t>
            </w:r>
            <w:r w:rsidR="002E6EC0">
              <w:rPr>
                <w:rFonts w:ascii="Tahoma" w:hAnsi="Tahoma" w:cs="Tahoma"/>
                <w:b w:val="0"/>
                <w:sz w:val="14"/>
              </w:rPr>
              <w:t> </w:t>
            </w:r>
            <w:r w:rsidRPr="00BB5519">
              <w:rPr>
                <w:rFonts w:ascii="Tahoma" w:hAnsi="Tahoma" w:cs="Tahoma"/>
                <w:b w:val="0"/>
                <w:sz w:val="14"/>
              </w:rPr>
              <w:t>2013</w:t>
            </w:r>
            <w:bookmarkEnd w:id="219"/>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6900D9"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Heading2"/>
              <w:ind w:left="0"/>
              <w:rPr>
                <w:rFonts w:ascii="Tahoma" w:hAnsi="Tahoma" w:cs="Tahoma"/>
                <w:b w:val="0"/>
                <w:sz w:val="14"/>
                <w:lang w:val="de-DE"/>
              </w:rPr>
            </w:pPr>
            <w:bookmarkStart w:id="220" w:name="_Toc336337946"/>
            <w:bookmarkStart w:id="221" w:name="_Toc354054659"/>
            <w:r w:rsidRPr="00BB5519">
              <w:rPr>
                <w:rFonts w:ascii="Tahoma" w:hAnsi="Tahoma" w:cs="Tahoma"/>
                <w:b w:val="0"/>
                <w:sz w:val="14"/>
                <w:lang w:val="de-DE"/>
              </w:rPr>
              <w:t>Exchange Online-Archivierung</w:t>
            </w:r>
            <w:bookmarkEnd w:id="220"/>
            <w:r w:rsidRPr="00BB5519">
              <w:rPr>
                <w:rFonts w:ascii="Tahoma" w:hAnsi="Tahoma" w:cs="Tahoma"/>
                <w:b w:val="0"/>
                <w:sz w:val="14"/>
                <w:lang w:val="de-DE"/>
              </w:rPr>
              <w:t xml:space="preserve"> für Exchange Server (Nutzer-AL)</w:t>
            </w:r>
            <w:bookmarkEnd w:id="221"/>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44_Exchange_Online" w:history="1">
              <w:r w:rsidR="00955428" w:rsidRPr="00BB5519">
                <w:rPr>
                  <w:rStyle w:val="Hyperlink"/>
                  <w:b/>
                  <w:sz w:val="13"/>
                  <w:szCs w:val="13"/>
                </w:rPr>
                <w:t>4</w:t>
              </w:r>
            </w:hyperlink>
            <w:r w:rsidR="00955428" w:rsidRPr="00BB5519">
              <w:rPr>
                <w:rStyle w:val="Hyperlink"/>
                <w:b/>
                <w:sz w:val="13"/>
                <w:szCs w:val="13"/>
              </w:rPr>
              <w:t>5</w:t>
            </w:r>
          </w:p>
        </w:tc>
        <w:tc>
          <w:tcPr>
            <w:tcW w:w="450" w:type="dxa"/>
            <w:tcBorders>
              <w:bottom w:val="single" w:sz="4" w:space="0" w:color="auto"/>
            </w:tcBorders>
            <w:shd w:val="clear" w:color="auto" w:fill="auto"/>
            <w:vAlign w:val="center"/>
          </w:tcPr>
          <w:p w:rsidR="001A63C6" w:rsidRPr="00BB5519" w:rsidDel="00876599" w:rsidRDefault="001A63C6" w:rsidP="001A63C6">
            <w:pPr>
              <w:pStyle w:val="TableText"/>
              <w:widowControl w:val="0"/>
              <w:spacing w:before="8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D66F68">
            <w:pPr>
              <w:pStyle w:val="Heading3"/>
              <w:rPr>
                <w:rFonts w:ascii="Tahoma" w:hAnsi="Tahoma" w:cs="Tahoma"/>
                <w:b w:val="0"/>
                <w:lang w:val="de-DE"/>
              </w:rPr>
            </w:pPr>
            <w:bookmarkStart w:id="222" w:name="_Toc336337947"/>
            <w:bookmarkStart w:id="223" w:name="_Toc354054660"/>
            <w:r w:rsidRPr="00BB5519">
              <w:rPr>
                <w:rFonts w:ascii="Tahoma" w:hAnsi="Tahoma" w:cs="Tahoma"/>
                <w:b w:val="0"/>
                <w:sz w:val="14"/>
                <w:lang w:val="de-DE"/>
              </w:rPr>
              <w:t>Exchange Online-Archivierung für Exchange Server A (Nutzer-AL)</w:t>
            </w:r>
            <w:bookmarkEnd w:id="222"/>
            <w:bookmarkEnd w:id="223"/>
          </w:p>
        </w:tc>
        <w:tc>
          <w:tcPr>
            <w:tcW w:w="630" w:type="dxa"/>
            <w:tcBorders>
              <w:bottom w:val="single" w:sz="4" w:space="0" w:color="auto"/>
            </w:tcBorders>
            <w:shd w:val="clear" w:color="auto" w:fill="auto"/>
            <w:vAlign w:val="center"/>
          </w:tcPr>
          <w:p w:rsidR="001A63C6" w:rsidRPr="00BB5519" w:rsidRDefault="001A63C6" w:rsidP="00D66F68">
            <w:pPr>
              <w:pStyle w:val="TableText"/>
              <w:widowControl w:val="0"/>
              <w:rPr>
                <w:b/>
                <w:color w:val="000000"/>
                <w:sz w:val="13"/>
                <w:szCs w:val="13"/>
                <w:u w:val="single"/>
                <w:lang w:val="de-DE"/>
              </w:rPr>
            </w:pPr>
          </w:p>
        </w:tc>
        <w:tc>
          <w:tcPr>
            <w:tcW w:w="450" w:type="dxa"/>
            <w:tcBorders>
              <w:bottom w:val="single" w:sz="4" w:space="0" w:color="auto"/>
            </w:tcBorders>
            <w:shd w:val="clear" w:color="auto" w:fill="auto"/>
            <w:vAlign w:val="center"/>
          </w:tcPr>
          <w:p w:rsidR="001A63C6" w:rsidRPr="00BB5519" w:rsidRDefault="001A63C6" w:rsidP="007E466C">
            <w:pPr>
              <w:pStyle w:val="TableText"/>
              <w:widowControl w:val="0"/>
              <w:rPr>
                <w:rFonts w:ascii="Tahoma" w:hAnsi="Tahoma" w:cs="Tahoma"/>
                <w:sz w:val="13"/>
              </w:rPr>
            </w:pPr>
            <w:r w:rsidRPr="00BB5519">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BB5519" w:rsidRDefault="001A63C6" w:rsidP="00D66F68">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D66F68">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D02D7A">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242B11">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EA31A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EA31A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7E466C">
            <w:pPr>
              <w:pStyle w:val="TableText"/>
              <w:widowControl w:val="0"/>
              <w:rPr>
                <w:rFonts w:ascii="Tahoma" w:hAnsi="Tahoma" w:cs="Tahoma"/>
                <w:sz w:val="13"/>
              </w:rPr>
            </w:pPr>
            <w:r w:rsidRPr="00BB5519">
              <w:rPr>
                <w:rFonts w:ascii="Tahoma" w:hAnsi="Tahoma" w:cs="Tahoma"/>
                <w:sz w:val="13"/>
              </w:rPr>
              <w:t>A, ST (nur EES)</w:t>
            </w:r>
          </w:p>
        </w:tc>
        <w:tc>
          <w:tcPr>
            <w:tcW w:w="450" w:type="dxa"/>
            <w:tcBorders>
              <w:bottom w:val="single" w:sz="4" w:space="0" w:color="auto"/>
            </w:tcBorders>
            <w:shd w:val="clear" w:color="auto" w:fill="auto"/>
            <w:vAlign w:val="center"/>
          </w:tcPr>
          <w:p w:rsidR="001A63C6" w:rsidRPr="00BB5519" w:rsidRDefault="001A63C6" w:rsidP="00D66F68">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lang w:val="de-DE"/>
              </w:rPr>
            </w:pPr>
            <w:bookmarkStart w:id="224" w:name="_Toc336337948"/>
            <w:bookmarkStart w:id="225" w:name="_Toc354054661"/>
            <w:r w:rsidRPr="00BB5519">
              <w:rPr>
                <w:rFonts w:ascii="Tahoma" w:hAnsi="Tahoma" w:cs="Tahoma"/>
                <w:position w:val="0"/>
                <w:sz w:val="14"/>
                <w:lang w:val="de-DE"/>
              </w:rPr>
              <w:t>Exchange Hosted Archive (Nutzer-AL)</w:t>
            </w:r>
            <w:bookmarkEnd w:id="224"/>
            <w:bookmarkEnd w:id="225"/>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00"/>
                <w:sz w:val="13"/>
                <w:szCs w:val="13"/>
                <w:u w:val="single"/>
              </w:rPr>
            </w:pPr>
            <w:hyperlink w:anchor="_45_Exchange_Hosted" w:history="1">
              <w:r w:rsidR="00955428" w:rsidRPr="005F764F">
                <w:rPr>
                  <w:rStyle w:val="Hyperlink"/>
                  <w:b/>
                  <w:sz w:val="13"/>
                  <w:szCs w:val="13"/>
                </w:rPr>
                <w:t>46</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lang w:val="de-DE"/>
              </w:rPr>
            </w:pPr>
            <w:bookmarkStart w:id="226" w:name="_Toc336337949"/>
            <w:bookmarkStart w:id="227" w:name="_Toc354054662"/>
            <w:r w:rsidRPr="00BB5519">
              <w:rPr>
                <w:rFonts w:ascii="Tahoma" w:hAnsi="Tahoma" w:cs="Tahoma"/>
                <w:position w:val="0"/>
                <w:sz w:val="14"/>
                <w:lang w:val="de-DE"/>
              </w:rPr>
              <w:t>Exchange Hosted Archive Extra Storage (Nutzer-AL)</w:t>
            </w:r>
            <w:bookmarkEnd w:id="226"/>
            <w:bookmarkEnd w:id="227"/>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00"/>
                <w:sz w:val="13"/>
                <w:szCs w:val="13"/>
                <w:u w:val="single"/>
              </w:rPr>
            </w:pPr>
            <w:hyperlink w:anchor="_45_Exchange_Hosted" w:history="1">
              <w:r w:rsidR="00955428" w:rsidRPr="005F764F">
                <w:rPr>
                  <w:rStyle w:val="Hyperlink"/>
                  <w:b/>
                  <w:sz w:val="13"/>
                  <w:szCs w:val="13"/>
                </w:rPr>
                <w:t>46</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C2582F" w:rsidRDefault="001A63C6" w:rsidP="001A63C6">
            <w:pPr>
              <w:pStyle w:val="ProductNames"/>
              <w:rPr>
                <w:rFonts w:ascii="Tahoma" w:hAnsi="Tahoma" w:cs="Tahoma"/>
                <w:spacing w:val="-2"/>
                <w:position w:val="0"/>
                <w:sz w:val="14"/>
                <w:lang w:val="de-DE"/>
              </w:rPr>
            </w:pPr>
            <w:bookmarkStart w:id="228" w:name="_Toc336337950"/>
            <w:bookmarkStart w:id="229" w:name="_Toc354054663"/>
            <w:r w:rsidRPr="00C2582F">
              <w:rPr>
                <w:rFonts w:ascii="Tahoma" w:hAnsi="Tahoma" w:cs="Tahoma"/>
                <w:spacing w:val="-2"/>
                <w:position w:val="0"/>
                <w:sz w:val="14"/>
                <w:lang w:val="de-DE"/>
              </w:rPr>
              <w:t>Exchange Hosted Encryption (Nutzer-AL)</w:t>
            </w:r>
            <w:bookmarkEnd w:id="228"/>
            <w:bookmarkEnd w:id="229"/>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color w:val="000000"/>
                <w:sz w:val="13"/>
                <w:szCs w:val="13"/>
                <w:u w:val="single"/>
              </w:rPr>
            </w:pPr>
            <w:hyperlink w:anchor="_46_Exchange_Hosted" w:history="1">
              <w:r w:rsidR="00955428" w:rsidRPr="005F764F">
                <w:rPr>
                  <w:rStyle w:val="Hyperlink"/>
                  <w:b/>
                  <w:sz w:val="13"/>
                  <w:szCs w:val="13"/>
                </w:rPr>
                <w:t>47</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 Punkt</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D66F68">
            <w:pPr>
              <w:pStyle w:val="Heading2"/>
              <w:ind w:left="0"/>
              <w:rPr>
                <w:rFonts w:ascii="Tahoma" w:hAnsi="Tahoma" w:cs="Tahoma"/>
                <w:b w:val="0"/>
                <w:sz w:val="14"/>
                <w:lang w:val="de-DE"/>
              </w:rPr>
            </w:pPr>
            <w:bookmarkStart w:id="230" w:name="_Toc354054664"/>
            <w:r w:rsidRPr="00BB5519">
              <w:rPr>
                <w:rFonts w:ascii="Tahoma" w:hAnsi="Tahoma" w:cs="Tahoma"/>
                <w:b w:val="0"/>
                <w:sz w:val="14"/>
                <w:lang w:val="de-DE"/>
              </w:rPr>
              <w:t>Exchange Online-Archivierung für Exchange Online A</w:t>
            </w:r>
            <w:bookmarkEnd w:id="230"/>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lang w:val="de-DE"/>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 (nur EES)</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Heading2"/>
              <w:ind w:left="0"/>
              <w:rPr>
                <w:rFonts w:ascii="Tahoma" w:hAnsi="Tahoma" w:cs="Tahoma"/>
                <w:b w:val="0"/>
                <w:sz w:val="14"/>
                <w:lang w:val="de-DE"/>
              </w:rPr>
            </w:pPr>
            <w:bookmarkStart w:id="231" w:name="_Toc354054665"/>
            <w:r w:rsidRPr="00BB5519">
              <w:rPr>
                <w:rFonts w:ascii="Tahoma" w:hAnsi="Tahoma" w:cs="Tahoma"/>
                <w:b w:val="0"/>
                <w:sz w:val="14"/>
                <w:lang w:val="de-DE"/>
              </w:rPr>
              <w:t>Exchange Online-Archivierung für Exchange Online</w:t>
            </w:r>
            <w:bookmarkEnd w:id="231"/>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Heading2"/>
              <w:ind w:left="0"/>
              <w:rPr>
                <w:rFonts w:ascii="Tahoma" w:hAnsi="Tahoma" w:cs="Tahoma"/>
                <w:b w:val="0"/>
                <w:sz w:val="14"/>
                <w:lang w:val="de-DE"/>
              </w:rPr>
            </w:pPr>
            <w:bookmarkStart w:id="232" w:name="_Toc336337951"/>
            <w:bookmarkStart w:id="233" w:name="_Toc354054666"/>
            <w:r w:rsidRPr="00BB5519">
              <w:rPr>
                <w:rFonts w:ascii="Tahoma" w:hAnsi="Tahoma" w:cs="Tahoma"/>
                <w:b w:val="0"/>
                <w:sz w:val="14"/>
                <w:lang w:val="de-DE"/>
              </w:rPr>
              <w:t>Exchange Online Kiosk (Nutzer-AL)</w:t>
            </w:r>
            <w:bookmarkEnd w:id="232"/>
            <w:bookmarkEnd w:id="233"/>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rFonts w:cs="Tahoma"/>
                <w:color w:val="000000"/>
                <w:sz w:val="13"/>
                <w:szCs w:val="13"/>
                <w:u w:val="single"/>
              </w:rPr>
            </w:pPr>
            <w:hyperlink w:anchor="_48_Exchange_Online_1" w:history="1">
              <w:r w:rsidR="00955428" w:rsidRPr="005F764F">
                <w:rPr>
                  <w:rStyle w:val="Hyperlink"/>
                  <w:b/>
                  <w:sz w:val="13"/>
                  <w:szCs w:val="13"/>
                </w:rPr>
                <w:t>48</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395"/>
        </w:trPr>
        <w:tc>
          <w:tcPr>
            <w:tcW w:w="2556" w:type="dxa"/>
            <w:tcBorders>
              <w:bottom w:val="single" w:sz="4" w:space="0" w:color="auto"/>
            </w:tcBorders>
            <w:shd w:val="clear" w:color="auto" w:fill="FABF8F"/>
            <w:vAlign w:val="center"/>
          </w:tcPr>
          <w:p w:rsidR="001A63C6" w:rsidRPr="00BB5519" w:rsidRDefault="001A63C6" w:rsidP="00D66F68">
            <w:pPr>
              <w:pStyle w:val="Heading2"/>
              <w:ind w:left="0"/>
              <w:rPr>
                <w:rFonts w:ascii="Tahoma" w:hAnsi="Tahoma" w:cs="Tahoma"/>
                <w:b w:val="0"/>
                <w:sz w:val="14"/>
                <w:lang w:val="de-DE"/>
              </w:rPr>
            </w:pPr>
            <w:bookmarkStart w:id="234" w:name="_Toc336337952"/>
            <w:bookmarkStart w:id="235" w:name="_Toc354054667"/>
            <w:r w:rsidRPr="00BB5519">
              <w:rPr>
                <w:rFonts w:ascii="Tahoma" w:hAnsi="Tahoma" w:cs="Tahoma"/>
                <w:b w:val="0"/>
                <w:sz w:val="14"/>
                <w:lang w:val="de-DE"/>
              </w:rPr>
              <w:t>Exchange Online Plan 1 (Nutzer-AL)</w:t>
            </w:r>
            <w:bookmarkEnd w:id="234"/>
            <w:bookmarkEnd w:id="235"/>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color w:val="0000FF"/>
                <w:sz w:val="13"/>
                <w:szCs w:val="13"/>
                <w:u w:val="single"/>
              </w:rPr>
            </w:pPr>
            <w:hyperlink w:anchor="_49_Exchange_Online" w:history="1">
              <w:r w:rsidR="00955428" w:rsidRPr="005F764F">
                <w:rPr>
                  <w:rStyle w:val="Hyperlink"/>
                  <w:b/>
                  <w:sz w:val="13"/>
                  <w:szCs w:val="13"/>
                </w:rPr>
                <w:t>49</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Heading2"/>
              <w:ind w:left="0"/>
              <w:rPr>
                <w:rFonts w:ascii="Tahoma" w:hAnsi="Tahoma" w:cs="Tahoma"/>
                <w:b w:val="0"/>
                <w:sz w:val="14"/>
                <w:lang w:val="de-DE"/>
              </w:rPr>
            </w:pPr>
            <w:bookmarkStart w:id="236" w:name="_Toc336337953"/>
            <w:bookmarkStart w:id="237" w:name="_Toc354054668"/>
            <w:r w:rsidRPr="00BB5519">
              <w:rPr>
                <w:rFonts w:ascii="Tahoma" w:hAnsi="Tahoma" w:cs="Tahoma"/>
                <w:b w:val="0"/>
                <w:sz w:val="14"/>
                <w:lang w:val="de-DE"/>
              </w:rPr>
              <w:t>Exchange Online Plan 2 (Nutzer-AL)</w:t>
            </w:r>
            <w:bookmarkEnd w:id="236"/>
            <w:bookmarkEnd w:id="237"/>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color w:val="000000"/>
                <w:sz w:val="13"/>
                <w:szCs w:val="13"/>
                <w:u w:val="single"/>
              </w:rPr>
            </w:pPr>
            <w:hyperlink w:anchor="_50_Exchange_Online" w:history="1">
              <w:r w:rsidR="002E59B1" w:rsidRPr="005F764F">
                <w:rPr>
                  <w:rStyle w:val="Hyperlink"/>
                  <w:b/>
                  <w:sz w:val="13"/>
                  <w:szCs w:val="13"/>
                </w:rPr>
                <w:t>50</w:t>
              </w:r>
            </w:hyperlink>
            <w:hyperlink w:anchor="_49_Exchange_Online" w:history="1"/>
          </w:p>
        </w:tc>
        <w:tc>
          <w:tcPr>
            <w:tcW w:w="450" w:type="dxa"/>
            <w:tcBorders>
              <w:bottom w:val="single" w:sz="4" w:space="0" w:color="auto"/>
            </w:tcBorders>
            <w:shd w:val="clear" w:color="auto" w:fill="auto"/>
            <w:vAlign w:val="center"/>
          </w:tcPr>
          <w:p w:rsidR="001A63C6" w:rsidRPr="00BB5519" w:rsidRDefault="001A63C6" w:rsidP="007E466C">
            <w:pPr>
              <w:pStyle w:val="TableText"/>
              <w:widowControl w:val="0"/>
              <w:spacing w:before="8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Heading3"/>
              <w:rPr>
                <w:rFonts w:ascii="Tahoma" w:hAnsi="Tahoma" w:cs="Tahoma"/>
                <w:b w:val="0"/>
                <w:sz w:val="14"/>
                <w:lang w:val="de-DE"/>
              </w:rPr>
            </w:pPr>
            <w:bookmarkStart w:id="238" w:name="_Toc336337954"/>
            <w:bookmarkStart w:id="239" w:name="_Toc354054669"/>
            <w:r w:rsidRPr="00BB5519">
              <w:rPr>
                <w:rFonts w:ascii="Tahoma" w:hAnsi="Tahoma" w:cs="Tahoma"/>
                <w:b w:val="0"/>
                <w:sz w:val="14"/>
                <w:lang w:val="de-DE"/>
              </w:rPr>
              <w:t>Exchange Online Plan 1A für Alumni (Nutzer-AL)</w:t>
            </w:r>
            <w:bookmarkEnd w:id="238"/>
            <w:bookmarkEnd w:id="239"/>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b/>
                <w:color w:val="000000"/>
                <w:sz w:val="13"/>
                <w:szCs w:val="13"/>
                <w:u w:val="single"/>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(nur EES)</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Heading3"/>
              <w:rPr>
                <w:rFonts w:ascii="Tahoma" w:hAnsi="Tahoma" w:cs="Tahoma"/>
                <w:b w:val="0"/>
                <w:sz w:val="14"/>
                <w:lang w:val="de-DE"/>
              </w:rPr>
            </w:pPr>
            <w:bookmarkStart w:id="240" w:name="_Toc336337955"/>
            <w:bookmarkStart w:id="241" w:name="_Toc354054670"/>
            <w:r w:rsidRPr="00BB5519">
              <w:rPr>
                <w:rFonts w:ascii="Tahoma" w:hAnsi="Tahoma" w:cs="Tahoma"/>
                <w:b w:val="0"/>
                <w:sz w:val="14"/>
                <w:lang w:val="de-DE"/>
              </w:rPr>
              <w:t>Exchange Online Plan 2A (Nutzer-AL)</w:t>
            </w:r>
            <w:bookmarkEnd w:id="240"/>
            <w:bookmarkEnd w:id="241"/>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b/>
                <w:color w:val="000000"/>
                <w:sz w:val="13"/>
                <w:szCs w:val="13"/>
                <w:u w:val="single"/>
                <w:lang w:val="de-DE"/>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(nur EES)</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lang w:val="de-DE"/>
              </w:rPr>
            </w:pPr>
            <w:bookmarkStart w:id="242" w:name="_Toc354054671"/>
            <w:r w:rsidRPr="00BB5519">
              <w:rPr>
                <w:rFonts w:ascii="Tahoma" w:hAnsi="Tahoma" w:cs="Tahoma"/>
                <w:position w:val="0"/>
                <w:sz w:val="14"/>
                <w:lang w:val="de-DE"/>
              </w:rPr>
              <w:t>Exchange Online Protection (Nutzer-AL)</w:t>
            </w:r>
            <w:bookmarkEnd w:id="242"/>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pPr>
            <w:hyperlink w:anchor="_51_50_Exchange" w:history="1">
              <w:r w:rsidR="00955428" w:rsidRPr="00BB5519">
                <w:rPr>
                  <w:rStyle w:val="Hyperlink"/>
                  <w:b/>
                  <w:sz w:val="13"/>
                  <w:szCs w:val="13"/>
                </w:rPr>
                <w:t>5</w:t>
              </w:r>
            </w:hyperlink>
            <w:r w:rsidR="00955428" w:rsidRPr="00BB5519">
              <w:rPr>
                <w:rStyle w:val="Hyperlink"/>
                <w:b/>
                <w:sz w:val="13"/>
                <w:szCs w:val="13"/>
              </w:rPr>
              <w:t>1</w:t>
            </w:r>
            <w:hyperlink w:anchor="_49_Exchange_Server" w:history="1"/>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rPr>
            </w:pPr>
            <w:bookmarkStart w:id="243" w:name="_Toc336337958"/>
            <w:bookmarkStart w:id="244" w:name="_Toc354054672"/>
            <w:r w:rsidRPr="00BB5519">
              <w:rPr>
                <w:rFonts w:ascii="Tahoma" w:hAnsi="Tahoma" w:cs="Tahoma"/>
                <w:position w:val="0"/>
                <w:sz w:val="14"/>
              </w:rPr>
              <w:t>Exchange Server Enterprise</w:t>
            </w:r>
            <w:bookmarkEnd w:id="243"/>
            <w:r w:rsidRPr="00BB5519">
              <w:rPr>
                <w:rFonts w:ascii="Tahoma" w:hAnsi="Tahoma" w:cs="Tahoma"/>
                <w:position w:val="0"/>
                <w:sz w:val="14"/>
              </w:rPr>
              <w:t xml:space="preserve"> 2013</w:t>
            </w:r>
            <w:bookmarkEnd w:id="244"/>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52_51_Exchange" w:history="1">
              <w:r w:rsidR="00955428" w:rsidRPr="005F764F">
                <w:rPr>
                  <w:rStyle w:val="Hyperlink"/>
                  <w:b/>
                  <w:sz w:val="13"/>
                  <w:szCs w:val="13"/>
                </w:rPr>
                <w:t>52</w:t>
              </w:r>
            </w:hyperlink>
            <w:hyperlink w:anchor="_49_Exchange_Server" w:history="1"/>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rPr>
            </w:pPr>
            <w:bookmarkStart w:id="245" w:name="_Toc336337959"/>
            <w:bookmarkStart w:id="246" w:name="_Toc354054673"/>
            <w:r w:rsidRPr="00BB5519">
              <w:rPr>
                <w:rFonts w:ascii="Tahoma" w:hAnsi="Tahoma" w:cs="Tahoma"/>
                <w:position w:val="0"/>
                <w:sz w:val="14"/>
              </w:rPr>
              <w:t>Exchange Server Standard</w:t>
            </w:r>
            <w:bookmarkEnd w:id="245"/>
            <w:r w:rsidRPr="00BB5519">
              <w:rPr>
                <w:rFonts w:ascii="Tahoma" w:hAnsi="Tahoma" w:cs="Tahoma"/>
                <w:position w:val="0"/>
                <w:sz w:val="14"/>
              </w:rPr>
              <w:t xml:space="preserve"> 2013</w:t>
            </w:r>
            <w:bookmarkEnd w:id="246"/>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FF"/>
                <w:sz w:val="13"/>
                <w:szCs w:val="13"/>
                <w:u w:val="single"/>
              </w:rPr>
            </w:pPr>
            <w:hyperlink r:id="rId22" w:anchor="52 Exchange Server 2013 Enterprise und Standard Editions" w:history="1">
              <w:r w:rsidR="00955428" w:rsidRPr="005F764F">
                <w:rPr>
                  <w:rStyle w:val="Hyperlink"/>
                  <w:b/>
                  <w:sz w:val="13"/>
                  <w:szCs w:val="13"/>
                </w:rPr>
                <w:t>52</w:t>
              </w:r>
            </w:hyperlink>
            <w:hyperlink w:anchor="_49_Exchange_Server" w:history="1"/>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rPr>
            </w:pPr>
            <w:bookmarkStart w:id="247" w:name="_Toc336337960"/>
            <w:bookmarkStart w:id="248" w:name="_Toc354054674"/>
            <w:r w:rsidRPr="00BB5519">
              <w:rPr>
                <w:rFonts w:ascii="Tahoma" w:hAnsi="Tahoma" w:cs="Tahoma"/>
                <w:position w:val="0"/>
                <w:sz w:val="14"/>
              </w:rPr>
              <w:t>Exchange Server 2007 Standard für Small Business</w:t>
            </w:r>
            <w:bookmarkEnd w:id="247"/>
            <w:bookmarkEnd w:id="248"/>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rPr>
            </w:pPr>
            <w:bookmarkStart w:id="249" w:name="_Toc336337961"/>
            <w:bookmarkStart w:id="250" w:name="_Toc354054675"/>
            <w:r w:rsidRPr="00BB5519">
              <w:rPr>
                <w:rFonts w:ascii="Tahoma" w:hAnsi="Tahoma" w:cs="Tahoma"/>
                <w:position w:val="0"/>
                <w:sz w:val="14"/>
              </w:rPr>
              <w:t>CAL für Exchange Server 2007 Standard für Small Business</w:t>
            </w:r>
            <w:bookmarkEnd w:id="249"/>
            <w:bookmarkEnd w:id="250"/>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lang w:val="de-DE"/>
              </w:rPr>
            </w:pPr>
            <w:bookmarkStart w:id="251" w:name="_Toc336337963"/>
            <w:bookmarkStart w:id="252" w:name="_Toc354054676"/>
            <w:r w:rsidRPr="00BB5519">
              <w:rPr>
                <w:rFonts w:ascii="Tahoma" w:hAnsi="Tahoma" w:cs="Tahoma"/>
                <w:position w:val="0"/>
                <w:sz w:val="14"/>
                <w:lang w:val="de-DE"/>
              </w:rPr>
              <w:t>Standard-CAL für Exchange Server 2010 (Gerät &amp; Nutzer)</w:t>
            </w:r>
            <w:bookmarkEnd w:id="251"/>
            <w:bookmarkEnd w:id="252"/>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color w:val="0000FF"/>
                <w:sz w:val="13"/>
                <w:szCs w:val="13"/>
                <w:u w:val="single"/>
              </w:rPr>
            </w:pPr>
            <w:hyperlink w:anchor="_53_52_Exchange" w:history="1">
              <w:r w:rsidR="00955428" w:rsidRPr="00BB5519">
                <w:rPr>
                  <w:rStyle w:val="Hyperlink"/>
                  <w:b/>
                  <w:sz w:val="13"/>
                  <w:szCs w:val="13"/>
                </w:rPr>
                <w:t>5</w:t>
              </w:r>
            </w:hyperlink>
            <w:r w:rsidR="00955428" w:rsidRPr="00BB5519">
              <w:rPr>
                <w:rStyle w:val="Hyperlink"/>
                <w:b/>
                <w:sz w:val="13"/>
                <w:szCs w:val="13"/>
              </w:rPr>
              <w:t>3</w:t>
            </w:r>
            <w:hyperlink w:anchor="_50_Exchange_Server" w:history="1"/>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Del="00515A83" w:rsidTr="004064E2">
        <w:trPr>
          <w:trHeight w:val="145"/>
        </w:trPr>
        <w:tc>
          <w:tcPr>
            <w:tcW w:w="2556" w:type="dxa"/>
            <w:tcBorders>
              <w:bottom w:val="single" w:sz="4" w:space="0" w:color="auto"/>
            </w:tcBorders>
            <w:shd w:val="clear" w:color="auto" w:fill="FABF8F"/>
          </w:tcPr>
          <w:p w:rsidR="001A63C6" w:rsidRPr="00BB5519" w:rsidDel="00515A83" w:rsidRDefault="001A63C6" w:rsidP="001A63C6">
            <w:pPr>
              <w:pStyle w:val="ProductNames"/>
              <w:rPr>
                <w:rFonts w:ascii="Tahoma" w:hAnsi="Tahoma" w:cs="Tahoma"/>
                <w:position w:val="0"/>
                <w:sz w:val="14"/>
              </w:rPr>
            </w:pPr>
            <w:bookmarkStart w:id="253" w:name="_Toc336337965"/>
            <w:bookmarkStart w:id="254" w:name="_Toc354054677"/>
            <w:r w:rsidRPr="00BB5519">
              <w:rPr>
                <w:rFonts w:ascii="Tahoma" w:hAnsi="Tahoma" w:cs="Tahoma"/>
                <w:position w:val="0"/>
                <w:sz w:val="14"/>
              </w:rPr>
              <w:t>Forefront Endpoint Protection</w:t>
            </w:r>
            <w:bookmarkEnd w:id="253"/>
            <w:bookmarkEnd w:id="254"/>
          </w:p>
        </w:tc>
        <w:tc>
          <w:tcPr>
            <w:tcW w:w="630" w:type="dxa"/>
            <w:tcBorders>
              <w:bottom w:val="single" w:sz="4" w:space="0" w:color="auto"/>
            </w:tcBorders>
            <w:shd w:val="clear" w:color="auto" w:fill="FABF8F"/>
            <w:vAlign w:val="center"/>
          </w:tcPr>
          <w:p w:rsidR="001A63C6" w:rsidRPr="00BB5519" w:rsidDel="00515A83" w:rsidRDefault="005F5403" w:rsidP="002E59B1">
            <w:pPr>
              <w:pStyle w:val="TableText"/>
              <w:widowControl w:val="0"/>
              <w:rPr>
                <w:rStyle w:val="EndnoteReference"/>
                <w:color w:val="000000"/>
                <w:sz w:val="13"/>
                <w:szCs w:val="13"/>
                <w:u w:val="single"/>
              </w:rPr>
            </w:pPr>
            <w:hyperlink w:anchor="_54_Forefront_Endpoint" w:history="1">
              <w:r w:rsidR="00955428" w:rsidRPr="00C2582F">
                <w:rPr>
                  <w:rStyle w:val="Hyperlink"/>
                  <w:b/>
                  <w:sz w:val="13"/>
                  <w:szCs w:val="13"/>
                </w:rPr>
                <w:t>54</w:t>
              </w:r>
            </w:hyperlink>
          </w:p>
        </w:tc>
        <w:tc>
          <w:tcPr>
            <w:tcW w:w="450" w:type="dxa"/>
            <w:tcBorders>
              <w:bottom w:val="single" w:sz="4" w:space="0" w:color="auto"/>
            </w:tcBorders>
            <w:shd w:val="clear" w:color="auto" w:fill="FABF8F"/>
            <w:vAlign w:val="center"/>
          </w:tcPr>
          <w:p w:rsidR="001A63C6" w:rsidRPr="00BB5519"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515A83" w:rsidRDefault="001A63C6" w:rsidP="001A63C6">
            <w:pPr>
              <w:pStyle w:val="TableText"/>
              <w:widowControl w:val="0"/>
              <w:rPr>
                <w:rFonts w:ascii="Tahoma" w:hAnsi="Tahoma" w:cs="Tahoma"/>
                <w:sz w:val="13"/>
              </w:rPr>
            </w:pPr>
          </w:p>
        </w:tc>
      </w:tr>
      <w:tr w:rsidR="00B33D0E" w:rsidRPr="00BB5519" w:rsidTr="008D44F7">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lang w:val="de-DE"/>
              </w:rPr>
            </w:pPr>
            <w:bookmarkStart w:id="255" w:name="_Toc336337966"/>
            <w:bookmarkStart w:id="256" w:name="_Toc354054678"/>
            <w:r w:rsidRPr="00BB5519">
              <w:rPr>
                <w:rFonts w:ascii="Tahoma" w:hAnsi="Tahoma" w:cs="Tahoma"/>
                <w:position w:val="0"/>
                <w:sz w:val="14"/>
                <w:lang w:val="de-DE"/>
              </w:rPr>
              <w:lastRenderedPageBreak/>
              <w:t>CAL für Forefront Identity Manager 2010 R2 (nur Nutzer)</w:t>
            </w:r>
            <w:bookmarkEnd w:id="255"/>
            <w:bookmarkEnd w:id="256"/>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color w:val="0000FF"/>
                <w:sz w:val="13"/>
                <w:szCs w:val="13"/>
                <w:u w:val="single"/>
              </w:rPr>
            </w:pPr>
            <w:hyperlink w:anchor="_54_Forefront_Identity" w:history="1">
              <w:r w:rsidR="00955428" w:rsidRPr="00C2582F">
                <w:rPr>
                  <w:rStyle w:val="Hyperlink"/>
                  <w:b/>
                  <w:sz w:val="13"/>
                  <w:szCs w:val="13"/>
                </w:rPr>
                <w:t>55</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1</w:t>
            </w:r>
          </w:p>
        </w:tc>
        <w:tc>
          <w:tcPr>
            <w:tcW w:w="450" w:type="dxa"/>
            <w:tcBorders>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3</w:t>
            </w:r>
          </w:p>
        </w:tc>
        <w:tc>
          <w:tcPr>
            <w:tcW w:w="450" w:type="dxa"/>
            <w:tcBorders>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1</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1</w:t>
            </w:r>
          </w:p>
        </w:tc>
        <w:tc>
          <w:tcPr>
            <w:tcW w:w="360" w:type="dxa"/>
            <w:tcBorders>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8D44F7">
            <w:pPr>
              <w:pStyle w:val="TableText"/>
              <w:widowControl w:val="0"/>
              <w:rPr>
                <w:rFonts w:ascii="Tahoma" w:hAnsi="Tahoma" w:cs="Tahoma"/>
                <w:color w:val="000000"/>
                <w:sz w:val="13"/>
              </w:rPr>
            </w:pPr>
            <w:r w:rsidRPr="00BB551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2D374A">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rPr>
            </w:pPr>
            <w:bookmarkStart w:id="257" w:name="_Toc336337967"/>
            <w:bookmarkStart w:id="258" w:name="_Toc354054679"/>
            <w:r w:rsidRPr="00BB5519">
              <w:rPr>
                <w:rFonts w:ascii="Tahoma" w:hAnsi="Tahoma" w:cs="Tahoma"/>
                <w:position w:val="0"/>
                <w:sz w:val="14"/>
              </w:rPr>
              <w:t>Externer Connector für Forefront Identity Manager 2010 R2</w:t>
            </w:r>
            <w:bookmarkEnd w:id="257"/>
            <w:bookmarkEnd w:id="258"/>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color w:val="000000"/>
                <w:sz w:val="13"/>
                <w:szCs w:val="13"/>
                <w:u w:val="single"/>
              </w:rPr>
            </w:pPr>
            <w:hyperlink w:anchor="_54_Forefront_Identity" w:history="1">
              <w:r w:rsidR="00360586">
                <w:rPr>
                  <w:rFonts w:cs="Tahoma"/>
                  <w:noProof/>
                  <w:color w:val="0000FF"/>
                  <w:sz w:val="9"/>
                  <w:u w:val="single"/>
                </w:rPr>
                <mc:AlternateContent>
                  <mc:Choice Requires="wps">
                    <w:drawing>
                      <wp:anchor distT="0" distB="0" distL="114300" distR="114300" simplePos="0" relativeHeight="251665920" behindDoc="0" locked="0" layoutInCell="1" allowOverlap="1" wp14:anchorId="3D950335" wp14:editId="18A8DDE6">
                        <wp:simplePos x="0" y="0"/>
                        <wp:positionH relativeFrom="column">
                          <wp:posOffset>29845</wp:posOffset>
                        </wp:positionH>
                        <wp:positionV relativeFrom="paragraph">
                          <wp:posOffset>-296545</wp:posOffset>
                        </wp:positionV>
                        <wp:extent cx="269240" cy="284480"/>
                        <wp:effectExtent l="1270" t="0" r="0" b="254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240" cy="284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10A2" w:rsidRDefault="006B10A2" w:rsidP="0062669F">
                                    <w:pPr>
                                      <w:jc w:val="center"/>
                                      <w:rPr>
                                        <w:color w:val="0000FF"/>
                                        <w:sz w:val="20"/>
                                      </w:rPr>
                                    </w:pPr>
                                    <w:r>
                                      <w:rPr>
                                        <w:rFonts w:cs="Tahoma"/>
                                        <w:b/>
                                        <w:color w:val="0000FF"/>
                                        <w:sz w:val="8"/>
                                      </w:rPr>
                                      <w:t>(Strg + Klick)</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950335" id="Text Box 64" o:spid="_x0000_s1028" type="#_x0000_t202" style="position:absolute;left:0;text-align:left;margin-left:2.35pt;margin-top:-23.35pt;width:21.2pt;height:22.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" filled="f" stroked="f">
                        <v:textbox inset="0,,0">
                          <w:txbxContent>
                            <w:p w:rsidR="006B10A2" w:rsidRDefault="006B10A2" w:rsidP="0062669F">
                              <w:pPr>
                                <w:jc w:val="center"/>
                                <w:rPr>
                                  <w:color w:val="0000FF"/>
                                  <w:sz w:val="20"/>
                                </w:rPr>
                              </w:pPr>
                              <w:r>
                                <w:rPr>
                                  <w:rFonts w:cs="Tahoma"/>
                                  <w:b/>
                                  <w:color w:val="0000FF"/>
                                  <w:sz w:val="8"/>
                                </w:rPr>
                                <w:t>(Strg + Klick)</w:t>
                              </w:r>
                            </w:p>
                          </w:txbxContent>
                        </v:textbox>
                      </v:shape>
                    </w:pict>
                  </mc:Fallback>
                </mc:AlternateContent>
              </w:r>
              <w:r w:rsidR="00955428" w:rsidRPr="00C2582F">
                <w:rPr>
                  <w:rStyle w:val="Hyperlink"/>
                  <w:b/>
                  <w:sz w:val="13"/>
                  <w:szCs w:val="13"/>
                </w:rPr>
                <w:t>55</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313</w:t>
            </w:r>
          </w:p>
        </w:tc>
        <w:tc>
          <w:tcPr>
            <w:tcW w:w="450" w:type="dxa"/>
            <w:tcBorders>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250</w:t>
            </w:r>
          </w:p>
        </w:tc>
        <w:tc>
          <w:tcPr>
            <w:tcW w:w="450" w:type="dxa"/>
            <w:tcBorders>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63</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360" w:type="dxa"/>
            <w:tcBorders>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2D374A">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2D374A">
            <w:pPr>
              <w:pStyle w:val="TableText"/>
              <w:widowControl w:val="0"/>
              <w:rPr>
                <w:rFonts w:ascii="Tahoma" w:hAnsi="Tahoma" w:cs="Tahoma"/>
                <w:sz w:val="13"/>
              </w:rPr>
            </w:pPr>
          </w:p>
        </w:tc>
      </w:tr>
      <w:tr w:rsidR="00B33D0E" w:rsidRPr="00BB5519" w:rsidTr="00CD631A">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rPr>
            </w:pPr>
            <w:bookmarkStart w:id="259" w:name="_Toc336337968"/>
            <w:bookmarkStart w:id="260" w:name="_Toc354054680"/>
            <w:r w:rsidRPr="00BB5519">
              <w:rPr>
                <w:rFonts w:ascii="Tahoma" w:hAnsi="Tahoma" w:cs="Tahoma"/>
                <w:position w:val="0"/>
                <w:sz w:val="14"/>
              </w:rPr>
              <w:t>Forefront Identity Manager 2010 R2 Server</w:t>
            </w:r>
            <w:bookmarkEnd w:id="259"/>
            <w:bookmarkEnd w:id="260"/>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color w:val="000000"/>
                <w:sz w:val="13"/>
                <w:szCs w:val="13"/>
                <w:u w:val="single"/>
              </w:rPr>
            </w:pPr>
            <w:hyperlink w:anchor="_54_Forefront_Identity" w:history="1">
              <w:r w:rsidR="00C2582F" w:rsidRPr="00C2582F">
                <w:rPr>
                  <w:rStyle w:val="Hyperlink"/>
                  <w:b/>
                  <w:sz w:val="13"/>
                  <w:szCs w:val="13"/>
                </w:rPr>
                <w:t>55</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450" w:type="dxa"/>
            <w:tcBorders>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63</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360" w:type="dxa"/>
            <w:tcBorders>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BB5519" w:rsidRDefault="001A63C6" w:rsidP="00CF59E7">
            <w:pPr>
              <w:pStyle w:val="TableText"/>
              <w:widowControl w:val="0"/>
              <w:rPr>
                <w:rFonts w:ascii="Tahoma" w:hAnsi="Tahoma" w:cs="Tahoma"/>
                <w:color w:val="000000"/>
                <w:sz w:val="13"/>
              </w:rPr>
            </w:pPr>
            <w:r w:rsidRPr="00BB551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CD631A">
            <w:pPr>
              <w:pStyle w:val="TableText"/>
              <w:widowControl w:val="0"/>
              <w:spacing w:before="6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2D374A">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C0225C">
            <w:pPr>
              <w:pStyle w:val="Heading2"/>
              <w:keepNext/>
              <w:keepLines/>
              <w:ind w:left="0"/>
              <w:rPr>
                <w:rFonts w:ascii="Tahoma" w:hAnsi="Tahoma" w:cs="Tahoma"/>
                <w:b w:val="0"/>
              </w:rPr>
            </w:pPr>
            <w:bookmarkStart w:id="261" w:name="_Toc336337969"/>
            <w:bookmarkStart w:id="262" w:name="_Toc354054681"/>
            <w:r w:rsidRPr="00BB5519">
              <w:rPr>
                <w:rFonts w:ascii="Tahoma" w:hAnsi="Tahoma" w:cs="Tahoma"/>
                <w:b w:val="0"/>
                <w:sz w:val="14"/>
              </w:rPr>
              <w:t>Forefront Identity Manager 2010 R2 – Windows Live Edition</w:t>
            </w:r>
            <w:bookmarkEnd w:id="261"/>
            <w:bookmarkEnd w:id="262"/>
          </w:p>
        </w:tc>
        <w:tc>
          <w:tcPr>
            <w:tcW w:w="630" w:type="dxa"/>
            <w:tcBorders>
              <w:bottom w:val="single" w:sz="4" w:space="0" w:color="auto"/>
            </w:tcBorders>
            <w:shd w:val="clear" w:color="auto" w:fill="FABF8F"/>
            <w:vAlign w:val="center"/>
          </w:tcPr>
          <w:p w:rsidR="001A63C6" w:rsidRPr="00BB5519" w:rsidRDefault="005F5403" w:rsidP="00C0225C">
            <w:pPr>
              <w:pStyle w:val="TableText"/>
              <w:keepNext/>
              <w:keepLines/>
              <w:widowControl w:val="0"/>
              <w:rPr>
                <w:b/>
                <w:color w:val="0000FF"/>
                <w:sz w:val="13"/>
                <w:szCs w:val="13"/>
                <w:u w:val="single"/>
              </w:rPr>
            </w:pPr>
            <w:hyperlink w:anchor="_55_Forefront_Identity" w:history="1">
              <w:r w:rsidR="00955428" w:rsidRPr="00BB5519">
                <w:rPr>
                  <w:rStyle w:val="Hyperlink"/>
                  <w:b/>
                  <w:sz w:val="13"/>
                  <w:szCs w:val="13"/>
                </w:rPr>
                <w:t>5</w:t>
              </w:r>
            </w:hyperlink>
            <w:r w:rsidR="00955428" w:rsidRPr="00BB5519">
              <w:rPr>
                <w:rStyle w:val="Hyperlink"/>
                <w:b/>
                <w:sz w:val="13"/>
                <w:szCs w:val="13"/>
              </w:rPr>
              <w:t>6</w:t>
            </w:r>
          </w:p>
        </w:tc>
        <w:tc>
          <w:tcPr>
            <w:tcW w:w="45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spacing w:before="120"/>
              <w:rPr>
                <w:rFonts w:ascii="Tahoma" w:hAnsi="Tahoma" w:cs="Tahoma"/>
                <w:sz w:val="13"/>
              </w:rPr>
            </w:pPr>
            <w:r w:rsidRPr="00BB5519">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13</w:t>
            </w:r>
          </w:p>
        </w:tc>
        <w:tc>
          <w:tcPr>
            <w:tcW w:w="450" w:type="dxa"/>
            <w:gridSpan w:val="2"/>
            <w:tcBorders>
              <w:left w:val="single" w:sz="18" w:space="0" w:color="auto"/>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25</w:t>
            </w:r>
          </w:p>
        </w:tc>
        <w:tc>
          <w:tcPr>
            <w:tcW w:w="360" w:type="dxa"/>
            <w:tcBorders>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BB5519" w:rsidRDefault="001A63C6" w:rsidP="00C0225C">
            <w:pPr>
              <w:pStyle w:val="TableText"/>
              <w:keepNext/>
              <w:keepLines/>
              <w:widowControl w:val="0"/>
              <w:spacing w:before="100" w:beforeAutospacing="1" w:after="120"/>
              <w:rPr>
                <w:rFonts w:ascii="Tahoma" w:hAnsi="Tahoma" w:cs="Tahoma"/>
                <w:color w:val="000000"/>
                <w:sz w:val="13"/>
                <w:szCs w:val="13"/>
              </w:rPr>
            </w:pPr>
            <w:r w:rsidRPr="00BB551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C0225C">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62669F">
            <w:pPr>
              <w:pStyle w:val="ProductNames"/>
              <w:keepNext/>
              <w:rPr>
                <w:rFonts w:ascii="Tahoma" w:hAnsi="Tahoma" w:cs="Tahoma"/>
                <w:position w:val="0"/>
                <w:sz w:val="14"/>
                <w:lang w:val="de-DE"/>
              </w:rPr>
            </w:pPr>
            <w:bookmarkStart w:id="263" w:name="_Toc336337971"/>
            <w:bookmarkStart w:id="264" w:name="_Toc354054682"/>
            <w:r w:rsidRPr="00BB5519">
              <w:rPr>
                <w:rFonts w:ascii="Tahoma" w:hAnsi="Tahoma" w:cs="Tahoma"/>
                <w:position w:val="0"/>
                <w:sz w:val="14"/>
                <w:lang w:val="de-DE"/>
              </w:rPr>
              <w:t>Forefront Protection 2010 für Exchange Server (Geräte</w:t>
            </w:r>
            <w:r w:rsidR="008A44CC">
              <w:rPr>
                <w:rFonts w:ascii="Tahoma" w:hAnsi="Tahoma" w:cs="Tahoma"/>
                <w:position w:val="0"/>
                <w:sz w:val="14"/>
                <w:lang w:val="de-DE"/>
              </w:rPr>
              <w:t xml:space="preserve"> </w:t>
            </w:r>
            <w:r w:rsidRPr="00BB5519">
              <w:rPr>
                <w:rFonts w:ascii="Tahoma" w:hAnsi="Tahoma" w:cs="Tahoma"/>
                <w:position w:val="0"/>
                <w:sz w:val="14"/>
                <w:lang w:val="de-DE"/>
              </w:rPr>
              <w:t>- und Nutzer-AL)</w:t>
            </w:r>
            <w:bookmarkEnd w:id="263"/>
            <w:bookmarkEnd w:id="264"/>
          </w:p>
        </w:tc>
        <w:tc>
          <w:tcPr>
            <w:tcW w:w="630" w:type="dxa"/>
            <w:tcBorders>
              <w:bottom w:val="single" w:sz="4" w:space="0" w:color="auto"/>
            </w:tcBorders>
            <w:shd w:val="clear" w:color="auto" w:fill="auto"/>
            <w:vAlign w:val="center"/>
          </w:tcPr>
          <w:p w:rsidR="001A63C6" w:rsidRPr="00BB5519" w:rsidRDefault="005F5403" w:rsidP="0062669F">
            <w:pPr>
              <w:pStyle w:val="TableText"/>
              <w:keepNext/>
              <w:keepLines/>
              <w:widowControl w:val="0"/>
              <w:rPr>
                <w:b/>
                <w:color w:val="000000"/>
                <w:sz w:val="13"/>
                <w:szCs w:val="13"/>
                <w:u w:val="single"/>
              </w:rPr>
            </w:pPr>
            <w:hyperlink w:anchor="_54_Forefront_Protection" w:history="1">
              <w:r w:rsidR="00955428" w:rsidRPr="00BB5519">
                <w:rPr>
                  <w:rStyle w:val="Hyperlink"/>
                  <w:b/>
                  <w:sz w:val="13"/>
                  <w:szCs w:val="13"/>
                </w:rPr>
                <w:t>5</w:t>
              </w:r>
            </w:hyperlink>
            <w:r w:rsidR="00955428" w:rsidRPr="00BB5519">
              <w:rPr>
                <w:rStyle w:val="Hyperlink"/>
                <w:b/>
                <w:sz w:val="13"/>
                <w:szCs w:val="13"/>
              </w:rPr>
              <w:t>7</w:t>
            </w:r>
          </w:p>
        </w:tc>
        <w:tc>
          <w:tcPr>
            <w:tcW w:w="450" w:type="dxa"/>
            <w:tcBorders>
              <w:bottom w:val="single" w:sz="4" w:space="0" w:color="auto"/>
            </w:tcBorders>
            <w:shd w:val="clear" w:color="auto" w:fill="auto"/>
            <w:vAlign w:val="center"/>
          </w:tcPr>
          <w:p w:rsidR="001A63C6" w:rsidRPr="00BB5519" w:rsidRDefault="001A63C6" w:rsidP="0062669F">
            <w:pPr>
              <w:pStyle w:val="TableText"/>
              <w:keepNext/>
              <w:keepLines/>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62669F">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62669F">
            <w:pPr>
              <w:pStyle w:val="TableText"/>
              <w:keepNext/>
              <w:keepLines/>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lang w:val="de-DE"/>
              </w:rPr>
            </w:pPr>
            <w:bookmarkStart w:id="265" w:name="_Toc336337973"/>
            <w:bookmarkStart w:id="266" w:name="_Toc354054683"/>
            <w:r w:rsidRPr="00BB5519">
              <w:rPr>
                <w:rFonts w:ascii="Tahoma" w:hAnsi="Tahoma" w:cs="Tahoma"/>
                <w:position w:val="0"/>
                <w:sz w:val="14"/>
                <w:lang w:val="de-DE"/>
              </w:rPr>
              <w:t>Forefront Protection Suite (Geräte- und Nutzer-AL)</w:t>
            </w:r>
            <w:bookmarkEnd w:id="265"/>
            <w:bookmarkEnd w:id="266"/>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color w:val="0000FF"/>
                <w:sz w:val="13"/>
                <w:szCs w:val="13"/>
                <w:u w:val="single"/>
              </w:rPr>
            </w:pPr>
            <w:hyperlink w:anchor="_58_Forefront_Protection" w:history="1">
              <w:r w:rsidR="00955428" w:rsidRPr="005F764F">
                <w:rPr>
                  <w:rStyle w:val="Hyperlink"/>
                  <w:b/>
                  <w:sz w:val="13"/>
                  <w:szCs w:val="13"/>
                </w:rPr>
                <w:t>58</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rPr>
            </w:pPr>
            <w:bookmarkStart w:id="267" w:name="_Toc336337974"/>
            <w:bookmarkStart w:id="268" w:name="_Toc354054684"/>
            <w:r w:rsidRPr="00BB5519">
              <w:rPr>
                <w:rFonts w:ascii="Tahoma" w:hAnsi="Tahoma" w:cs="Tahoma"/>
                <w:position w:val="0"/>
                <w:sz w:val="14"/>
              </w:rPr>
              <w:t>Forefront Security für Office Communications Server (Nutzer- und Geräte</w:t>
            </w:r>
            <w:r w:rsidR="008A44CC">
              <w:rPr>
                <w:rFonts w:ascii="Tahoma" w:hAnsi="Tahoma" w:cs="Tahoma"/>
                <w:position w:val="0"/>
                <w:sz w:val="14"/>
              </w:rPr>
              <w:t xml:space="preserve"> </w:t>
            </w:r>
            <w:r w:rsidRPr="00BB5519">
              <w:rPr>
                <w:rFonts w:ascii="Tahoma" w:hAnsi="Tahoma" w:cs="Tahoma"/>
                <w:position w:val="0"/>
                <w:sz w:val="14"/>
              </w:rPr>
              <w:t>-AL)</w:t>
            </w:r>
            <w:bookmarkEnd w:id="267"/>
            <w:bookmarkEnd w:id="268"/>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rFonts w:cs="Tahoma"/>
                <w:color w:val="000000"/>
                <w:sz w:val="13"/>
                <w:szCs w:val="13"/>
                <w:u w:val="single"/>
              </w:rPr>
            </w:pPr>
            <w:hyperlink w:anchor="_59_Forefront_Security" w:history="1">
              <w:r w:rsidR="00955428" w:rsidRPr="005F764F">
                <w:rPr>
                  <w:rStyle w:val="Hyperlink"/>
                  <w:b/>
                  <w:sz w:val="13"/>
                  <w:szCs w:val="13"/>
                </w:rPr>
                <w:t>59</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D31507">
            <w:pPr>
              <w:pStyle w:val="ProductNames"/>
              <w:keepNext/>
              <w:rPr>
                <w:rFonts w:ascii="Tahoma" w:hAnsi="Tahoma" w:cs="Tahoma"/>
                <w:position w:val="0"/>
                <w:sz w:val="14"/>
              </w:rPr>
            </w:pPr>
            <w:bookmarkStart w:id="269" w:name="_Toc336337976"/>
            <w:bookmarkStart w:id="270" w:name="_Toc354054685"/>
            <w:r w:rsidRPr="00BB5519">
              <w:rPr>
                <w:rFonts w:ascii="Tahoma" w:hAnsi="Tahoma" w:cs="Tahoma"/>
                <w:position w:val="0"/>
                <w:sz w:val="14"/>
              </w:rPr>
              <w:t>Forefront Protection 2010 for SharePoint (Geräte- und Nutzer-AL)</w:t>
            </w:r>
            <w:bookmarkEnd w:id="269"/>
            <w:bookmarkEnd w:id="270"/>
          </w:p>
        </w:tc>
        <w:tc>
          <w:tcPr>
            <w:tcW w:w="630" w:type="dxa"/>
            <w:tcBorders>
              <w:bottom w:val="single" w:sz="4" w:space="0" w:color="auto"/>
            </w:tcBorders>
            <w:shd w:val="clear" w:color="auto" w:fill="FABF8F"/>
            <w:vAlign w:val="center"/>
          </w:tcPr>
          <w:p w:rsidR="001A63C6" w:rsidRPr="00BB5519" w:rsidRDefault="005F5403" w:rsidP="00D31507">
            <w:pPr>
              <w:pStyle w:val="TableText"/>
              <w:keepNext/>
              <w:keepLines/>
              <w:widowControl w:val="0"/>
              <w:rPr>
                <w:rStyle w:val="EndnoteReference"/>
                <w:b w:val="0"/>
                <w:color w:val="000000"/>
                <w:sz w:val="13"/>
                <w:szCs w:val="13"/>
                <w:u w:val="single"/>
              </w:rPr>
            </w:pPr>
            <w:hyperlink w:anchor="_54_Forefront_Protection" w:history="1">
              <w:r w:rsidR="00955428" w:rsidRPr="00BB5519">
                <w:rPr>
                  <w:rStyle w:val="Hyperlink"/>
                  <w:b/>
                  <w:sz w:val="13"/>
                  <w:szCs w:val="13"/>
                </w:rPr>
                <w:t>5</w:t>
              </w:r>
            </w:hyperlink>
            <w:r w:rsidR="00955428" w:rsidRPr="00BB5519">
              <w:rPr>
                <w:rStyle w:val="Hyperlink"/>
                <w:b/>
                <w:sz w:val="13"/>
                <w:szCs w:val="13"/>
              </w:rPr>
              <w:t>7</w:t>
            </w:r>
          </w:p>
        </w:tc>
        <w:tc>
          <w:tcPr>
            <w:tcW w:w="450" w:type="dxa"/>
            <w:tcBorders>
              <w:bottom w:val="single" w:sz="4" w:space="0" w:color="auto"/>
            </w:tcBorders>
            <w:shd w:val="clear" w:color="auto" w:fill="FABF8F"/>
          </w:tcPr>
          <w:p w:rsidR="001A63C6" w:rsidRPr="00BB5519" w:rsidRDefault="001A63C6" w:rsidP="00D31507">
            <w:pPr>
              <w:pStyle w:val="TableText"/>
              <w:keepNext/>
              <w:keepLines/>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D31507">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D31507">
            <w:pPr>
              <w:pStyle w:val="TableText"/>
              <w:keepNext/>
              <w:keepLines/>
              <w:widowControl w:val="0"/>
              <w:rPr>
                <w:rFonts w:ascii="Tahoma" w:hAnsi="Tahoma" w:cs="Tahoma"/>
                <w:sz w:val="13"/>
              </w:rPr>
            </w:pPr>
          </w:p>
        </w:tc>
      </w:tr>
      <w:tr w:rsidR="00B33D0E" w:rsidRPr="00BB5519" w:rsidTr="00945E76">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rPr>
            </w:pPr>
            <w:bookmarkStart w:id="271" w:name="_Toc336337977"/>
            <w:bookmarkStart w:id="272" w:name="_Toc354054686"/>
            <w:r w:rsidRPr="00BB5519">
              <w:rPr>
                <w:rFonts w:ascii="Tahoma" w:hAnsi="Tahoma" w:cs="Tahoma"/>
                <w:position w:val="0"/>
                <w:sz w:val="14"/>
              </w:rPr>
              <w:t xml:space="preserve">Forefront Protection 2010 for SharePoint for Internet Sites </w:t>
            </w:r>
            <w:r w:rsidR="008A44CC">
              <w:rPr>
                <w:rFonts w:ascii="Tahoma" w:hAnsi="Tahoma" w:cs="Tahoma"/>
                <w:position w:val="0"/>
                <w:sz w:val="14"/>
              </w:rPr>
              <w:br/>
            </w:r>
            <w:r w:rsidRPr="00BB5519">
              <w:rPr>
                <w:rFonts w:ascii="Tahoma" w:hAnsi="Tahoma" w:cs="Tahoma"/>
                <w:position w:val="0"/>
                <w:sz w:val="14"/>
              </w:rPr>
              <w:t>(Add-On-AL)</w:t>
            </w:r>
            <w:bookmarkEnd w:id="271"/>
            <w:bookmarkEnd w:id="272"/>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b w:val="0"/>
                <w:color w:val="000000"/>
                <w:sz w:val="13"/>
                <w:szCs w:val="13"/>
                <w:u w:val="single"/>
              </w:rPr>
            </w:pPr>
            <w:hyperlink w:anchor="_54_Forefront_Protection" w:history="1">
              <w:r w:rsidR="00955428" w:rsidRPr="00BB5519">
                <w:rPr>
                  <w:rStyle w:val="Hyperlink"/>
                  <w:b/>
                  <w:sz w:val="13"/>
                  <w:szCs w:val="13"/>
                </w:rPr>
                <w:t>5</w:t>
              </w:r>
            </w:hyperlink>
            <w:r w:rsidR="00955428" w:rsidRPr="00BB5519">
              <w:rPr>
                <w:rStyle w:val="Hyperlink"/>
                <w:b/>
                <w:sz w:val="13"/>
                <w:szCs w:val="13"/>
              </w:rPr>
              <w:t>7</w:t>
            </w:r>
          </w:p>
        </w:tc>
        <w:tc>
          <w:tcPr>
            <w:tcW w:w="450" w:type="dxa"/>
            <w:tcBorders>
              <w:bottom w:val="single" w:sz="4" w:space="0" w:color="auto"/>
            </w:tcBorders>
            <w:shd w:val="clear" w:color="auto" w:fill="auto"/>
            <w:vAlign w:val="center"/>
          </w:tcPr>
          <w:p w:rsidR="001A63C6" w:rsidRPr="00BB5519" w:rsidRDefault="001A63C6" w:rsidP="00945E76">
            <w:pPr>
              <w:pStyle w:val="TableText"/>
              <w:widowControl w:val="0"/>
              <w:rPr>
                <w:rFonts w:ascii="Tahoma" w:hAnsi="Tahoma" w:cs="Tahoma"/>
                <w:sz w:val="13"/>
              </w:rPr>
            </w:pPr>
            <w:r w:rsidRPr="00BB5519">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OV</w:t>
            </w: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rPr>
            </w:pPr>
            <w:bookmarkStart w:id="273" w:name="_Toc336337981"/>
            <w:bookmarkStart w:id="274" w:name="_Toc354054687"/>
            <w:r w:rsidRPr="00BB5519">
              <w:rPr>
                <w:rFonts w:ascii="Tahoma" w:hAnsi="Tahoma" w:cs="Tahoma"/>
                <w:position w:val="0"/>
                <w:sz w:val="14"/>
              </w:rPr>
              <w:t>Forefront Threat Management Gateway Web Protection Services</w:t>
            </w:r>
            <w:bookmarkEnd w:id="273"/>
            <w:bookmarkEnd w:id="274"/>
            <w:r w:rsidRPr="00BB5519">
              <w:rPr>
                <w:rFonts w:ascii="Tahoma" w:hAnsi="Tahoma" w:cs="Tahoma"/>
                <w:position w:val="0"/>
                <w:sz w:val="14"/>
              </w:rPr>
              <w:t xml:space="preserve"> </w:t>
            </w:r>
          </w:p>
        </w:tc>
        <w:tc>
          <w:tcPr>
            <w:tcW w:w="630" w:type="dxa"/>
            <w:tcBorders>
              <w:bottom w:val="single" w:sz="4" w:space="0" w:color="auto"/>
            </w:tcBorders>
            <w:shd w:val="clear" w:color="auto" w:fill="FABF8F"/>
            <w:vAlign w:val="center"/>
          </w:tcPr>
          <w:p w:rsidR="001A63C6" w:rsidRPr="00BB5519" w:rsidRDefault="005F5403" w:rsidP="00EF228F">
            <w:pPr>
              <w:pStyle w:val="TableText"/>
              <w:widowControl w:val="0"/>
              <w:rPr>
                <w:rStyle w:val="EndnoteReference"/>
                <w:b w:val="0"/>
                <w:color w:val="0000FF"/>
                <w:sz w:val="13"/>
                <w:szCs w:val="13"/>
                <w:u w:val="single"/>
              </w:rPr>
            </w:pPr>
            <w:hyperlink w:anchor="_50__Forefront" w:history="1">
              <w:r w:rsidR="002E59B1" w:rsidRPr="005F764F">
                <w:rPr>
                  <w:rStyle w:val="Hyperlink"/>
                  <w:b/>
                  <w:sz w:val="13"/>
                  <w:szCs w:val="13"/>
                </w:rPr>
                <w:t>60</w:t>
              </w:r>
            </w:hyperlink>
            <w:hyperlink w:anchor="_57_Forefront_Threat"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2E6EC0">
            <w:pPr>
              <w:pStyle w:val="ProductNames"/>
              <w:rPr>
                <w:rFonts w:ascii="Tahoma" w:hAnsi="Tahoma" w:cs="Tahoma"/>
                <w:position w:val="0"/>
                <w:sz w:val="14"/>
              </w:rPr>
            </w:pPr>
            <w:bookmarkStart w:id="275" w:name="_Toc336337982"/>
            <w:bookmarkStart w:id="276" w:name="_Toc354054688"/>
            <w:r w:rsidRPr="00BB5519">
              <w:rPr>
                <w:rFonts w:ascii="Tahoma" w:hAnsi="Tahoma" w:cs="Tahoma"/>
                <w:position w:val="0"/>
                <w:sz w:val="14"/>
              </w:rPr>
              <w:t>Forefront Unified Access Gateway Server</w:t>
            </w:r>
            <w:r w:rsidR="002E6EC0">
              <w:rPr>
                <w:rFonts w:ascii="Tahoma" w:hAnsi="Tahoma" w:cs="Tahoma"/>
                <w:position w:val="0"/>
                <w:sz w:val="14"/>
              </w:rPr>
              <w:t> </w:t>
            </w:r>
            <w:r w:rsidRPr="00BB5519">
              <w:rPr>
                <w:rFonts w:ascii="Tahoma" w:hAnsi="Tahoma" w:cs="Tahoma"/>
                <w:position w:val="0"/>
                <w:sz w:val="14"/>
              </w:rPr>
              <w:t>2010</w:t>
            </w:r>
            <w:bookmarkEnd w:id="275"/>
            <w:bookmarkEnd w:id="276"/>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00"/>
                <w:sz w:val="13"/>
                <w:szCs w:val="13"/>
                <w:u w:val="single"/>
              </w:rPr>
            </w:pPr>
            <w:hyperlink w:anchor="_61_Forefront_Unified" w:history="1">
              <w:r w:rsidR="002E59B1" w:rsidRPr="005F764F">
                <w:rPr>
                  <w:rStyle w:val="Hyperlink"/>
                  <w:b/>
                  <w:sz w:val="13"/>
                  <w:szCs w:val="13"/>
                </w:rPr>
                <w:t>61</w:t>
              </w:r>
            </w:hyperlink>
            <w:hyperlink w:anchor="Srv_52ForefrontUnifiedAccessGtwy2010"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rPr>
            </w:pPr>
            <w:bookmarkStart w:id="277" w:name="_Toc336337983"/>
            <w:bookmarkStart w:id="278" w:name="_Toc354054689"/>
            <w:r w:rsidRPr="00BB5519">
              <w:rPr>
                <w:rFonts w:ascii="Tahoma" w:hAnsi="Tahoma" w:cs="Tahoma"/>
                <w:position w:val="0"/>
                <w:sz w:val="14"/>
              </w:rPr>
              <w:t>Externer Connector für Forefront Unified Access Gateway 2010</w:t>
            </w:r>
            <w:bookmarkEnd w:id="277"/>
            <w:bookmarkEnd w:id="278"/>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00"/>
                <w:sz w:val="13"/>
                <w:szCs w:val="13"/>
                <w:u w:val="single"/>
              </w:rPr>
            </w:pPr>
            <w:hyperlink w:anchor="_61_Forefront_Unified" w:history="1">
              <w:r w:rsidR="002E59B1" w:rsidRPr="005F764F">
                <w:rPr>
                  <w:rStyle w:val="Hyperlink"/>
                  <w:b/>
                  <w:sz w:val="13"/>
                  <w:szCs w:val="13"/>
                </w:rPr>
                <w:t>61</w:t>
              </w:r>
            </w:hyperlink>
            <w:hyperlink w:anchor="Srv_56ForefrontUnifiedAccessGtwy2010"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100</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200</w:t>
            </w: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2E6EC0">
            <w:pPr>
              <w:pStyle w:val="ProductNames"/>
              <w:rPr>
                <w:rFonts w:ascii="Tahoma" w:hAnsi="Tahoma" w:cs="Tahoma"/>
                <w:position w:val="0"/>
                <w:sz w:val="14"/>
              </w:rPr>
            </w:pPr>
            <w:bookmarkStart w:id="279" w:name="_Toc336337984"/>
            <w:bookmarkStart w:id="280" w:name="_Toc354054690"/>
            <w:r w:rsidRPr="00BB5519">
              <w:rPr>
                <w:rFonts w:ascii="Tahoma" w:hAnsi="Tahoma" w:cs="Tahoma"/>
                <w:position w:val="0"/>
                <w:sz w:val="14"/>
              </w:rPr>
              <w:t>CAL für Forefront Unified Access Gateway</w:t>
            </w:r>
            <w:r w:rsidR="002E6EC0">
              <w:rPr>
                <w:rFonts w:ascii="Tahoma" w:hAnsi="Tahoma" w:cs="Tahoma"/>
                <w:position w:val="0"/>
                <w:sz w:val="14"/>
              </w:rPr>
              <w:t> </w:t>
            </w:r>
            <w:r w:rsidRPr="00BB5519">
              <w:rPr>
                <w:rFonts w:ascii="Tahoma" w:hAnsi="Tahoma" w:cs="Tahoma"/>
                <w:position w:val="0"/>
                <w:sz w:val="14"/>
              </w:rPr>
              <w:t>2010</w:t>
            </w:r>
            <w:bookmarkEnd w:id="279"/>
            <w:bookmarkEnd w:id="280"/>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00"/>
                <w:sz w:val="13"/>
                <w:szCs w:val="13"/>
                <w:u w:val="single"/>
              </w:rPr>
            </w:pPr>
            <w:hyperlink w:anchor="_61_Forefront_Unified" w:history="1">
              <w:r w:rsidR="002E59B1" w:rsidRPr="005F764F">
                <w:rPr>
                  <w:rStyle w:val="Hyperlink"/>
                  <w:b/>
                  <w:sz w:val="13"/>
                  <w:szCs w:val="13"/>
                </w:rPr>
                <w:t>61</w:t>
              </w:r>
            </w:hyperlink>
            <w:hyperlink w:anchor="Srv_52ForefrontUnifiedAccessGtwy2010"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rPr>
            </w:pPr>
            <w:bookmarkStart w:id="281" w:name="_Toc336337985"/>
            <w:bookmarkStart w:id="282" w:name="_Toc354054691"/>
            <w:r w:rsidRPr="00BB5519">
              <w:rPr>
                <w:rFonts w:ascii="Tahoma" w:hAnsi="Tahoma" w:cs="Tahoma"/>
                <w:position w:val="0"/>
                <w:sz w:val="14"/>
              </w:rPr>
              <w:t>10K CAL Pack für Forefront Unified Access Gateway 2010</w:t>
            </w:r>
            <w:bookmarkEnd w:id="281"/>
            <w:bookmarkEnd w:id="282"/>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00"/>
                <w:sz w:val="13"/>
                <w:szCs w:val="13"/>
                <w:u w:val="single"/>
              </w:rPr>
            </w:pPr>
            <w:hyperlink w:anchor="_61_Forefront_Unified" w:history="1">
              <w:r w:rsidR="002E59B1" w:rsidRPr="005F764F">
                <w:rPr>
                  <w:rStyle w:val="Hyperlink"/>
                  <w:b/>
                  <w:sz w:val="13"/>
                  <w:szCs w:val="13"/>
                </w:rPr>
                <w:t>61</w:t>
              </w:r>
            </w:hyperlink>
            <w:hyperlink w:anchor="Srv_52ForefrontUnifiedAccessGtwy2010"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100</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rPr>
            </w:pPr>
            <w:bookmarkStart w:id="283" w:name="_Toc336337986"/>
            <w:bookmarkStart w:id="284" w:name="_Toc354054692"/>
            <w:r w:rsidRPr="00BB5519">
              <w:rPr>
                <w:rFonts w:ascii="Tahoma" w:hAnsi="Tahoma" w:cs="Tahoma"/>
                <w:position w:val="0"/>
                <w:sz w:val="14"/>
              </w:rPr>
              <w:t>GeoSynth Server</w:t>
            </w:r>
            <w:bookmarkEnd w:id="283"/>
            <w:bookmarkEnd w:id="284"/>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 Punkte</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rPr>
            </w:pPr>
            <w:bookmarkStart w:id="285" w:name="_Toc336337990"/>
            <w:bookmarkStart w:id="286" w:name="_Toc354054693"/>
            <w:r w:rsidRPr="00BB5519">
              <w:rPr>
                <w:rFonts w:ascii="Tahoma" w:hAnsi="Tahoma" w:cs="Tahoma"/>
                <w:position w:val="0"/>
                <w:sz w:val="14"/>
              </w:rPr>
              <w:t>HPC Pack 2008 R2 Enterprise</w:t>
            </w:r>
            <w:bookmarkEnd w:id="285"/>
            <w:bookmarkEnd w:id="286"/>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color w:val="000000"/>
                <w:sz w:val="13"/>
                <w:szCs w:val="13"/>
                <w:u w:val="single"/>
              </w:rPr>
            </w:pPr>
            <w:hyperlink w:anchor="_62_HPC_Pack" w:history="1">
              <w:r w:rsidR="00955428" w:rsidRPr="005F764F">
                <w:rPr>
                  <w:rStyle w:val="Hyperlink"/>
                  <w:b/>
                  <w:sz w:val="13"/>
                  <w:szCs w:val="13"/>
                </w:rPr>
                <w:t>62</w:t>
              </w:r>
            </w:hyperlink>
            <w:hyperlink w:anchor="Srv_54HighPerfComputingPack"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1A63C6">
            <w:pPr>
              <w:pStyle w:val="ProductNames"/>
              <w:rPr>
                <w:rFonts w:ascii="Tahoma" w:hAnsi="Tahoma" w:cs="Tahoma"/>
                <w:position w:val="0"/>
                <w:sz w:val="14"/>
                <w:lang w:val="de-DE"/>
              </w:rPr>
            </w:pPr>
            <w:bookmarkStart w:id="287" w:name="_Toc336337991"/>
            <w:bookmarkStart w:id="288" w:name="_Toc354054694"/>
            <w:r w:rsidRPr="00BB5519">
              <w:rPr>
                <w:rFonts w:ascii="Tahoma" w:hAnsi="Tahoma" w:cs="Tahoma"/>
                <w:position w:val="0"/>
                <w:sz w:val="14"/>
                <w:lang w:val="de-DE"/>
              </w:rPr>
              <w:t>HPC Pack 2008 R2 für Workstation</w:t>
            </w:r>
            <w:bookmarkEnd w:id="287"/>
            <w:bookmarkEnd w:id="288"/>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b w:val="0"/>
                <w:color w:val="000000"/>
                <w:sz w:val="13"/>
                <w:szCs w:val="13"/>
                <w:u w:val="single"/>
              </w:rPr>
            </w:pPr>
            <w:hyperlink w:anchor="_51_High_Performance" w:history="1">
              <w:r w:rsidR="00955428" w:rsidRPr="005F764F">
                <w:rPr>
                  <w:rStyle w:val="Hyperlink"/>
                  <w:b/>
                  <w:sz w:val="13"/>
                  <w:szCs w:val="13"/>
                </w:rPr>
                <w:t>62</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auto"/>
          </w:tcPr>
          <w:p w:rsidR="001A63C6" w:rsidRPr="00BB5519" w:rsidRDefault="001A63C6" w:rsidP="001A63C6">
            <w:pPr>
              <w:pStyle w:val="ProductNames"/>
              <w:rPr>
                <w:rFonts w:ascii="Tahoma" w:hAnsi="Tahoma" w:cs="Tahoma"/>
                <w:position w:val="0"/>
                <w:sz w:val="14"/>
              </w:rPr>
            </w:pPr>
            <w:bookmarkStart w:id="289" w:name="_Toc336337992"/>
            <w:bookmarkStart w:id="290" w:name="_Toc354054695"/>
            <w:r w:rsidRPr="00BB5519">
              <w:rPr>
                <w:rFonts w:ascii="Tahoma" w:hAnsi="Tahoma" w:cs="Tahoma"/>
                <w:position w:val="0"/>
                <w:sz w:val="14"/>
              </w:rPr>
              <w:t>Learning Solutions Combination E-Reference Library (Nutzer-AL)</w:t>
            </w:r>
            <w:bookmarkEnd w:id="289"/>
            <w:bookmarkEnd w:id="290"/>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 Punkt</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bottom"/>
          </w:tcPr>
          <w:p w:rsidR="001A63C6" w:rsidRPr="00BB5519" w:rsidRDefault="001A63C6" w:rsidP="001A63C6">
            <w:pPr>
              <w:pStyle w:val="ProductNames"/>
              <w:rPr>
                <w:rFonts w:ascii="Tahoma" w:hAnsi="Tahoma" w:cs="Tahoma"/>
                <w:position w:val="0"/>
                <w:sz w:val="14"/>
              </w:rPr>
            </w:pPr>
            <w:bookmarkStart w:id="291" w:name="_Toc336337993"/>
            <w:bookmarkStart w:id="292" w:name="_Toc354054696"/>
            <w:r w:rsidRPr="00BB5519">
              <w:rPr>
                <w:rFonts w:ascii="Tahoma" w:hAnsi="Tahoma" w:cs="Tahoma"/>
                <w:position w:val="0"/>
                <w:sz w:val="14"/>
              </w:rPr>
              <w:t>Learning Solutions IT Academy (Dienste-AL)</w:t>
            </w:r>
            <w:bookmarkEnd w:id="291"/>
            <w:bookmarkEnd w:id="292"/>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 Punkte</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bottom"/>
          </w:tcPr>
          <w:p w:rsidR="001A63C6" w:rsidRPr="00BB5519" w:rsidRDefault="001A63C6" w:rsidP="001A63C6">
            <w:pPr>
              <w:pStyle w:val="ProductNames"/>
              <w:rPr>
                <w:rFonts w:ascii="Tahoma" w:hAnsi="Tahoma" w:cs="Tahoma"/>
                <w:position w:val="0"/>
                <w:sz w:val="14"/>
                <w:lang w:val="de-DE"/>
              </w:rPr>
            </w:pPr>
            <w:bookmarkStart w:id="293" w:name="_Toc336337994"/>
            <w:bookmarkStart w:id="294" w:name="_Toc354054697"/>
            <w:r w:rsidRPr="00BB5519">
              <w:rPr>
                <w:rFonts w:ascii="Tahoma" w:hAnsi="Tahoma" w:cs="Tahoma"/>
                <w:position w:val="0"/>
                <w:sz w:val="14"/>
                <w:lang w:val="de-DE"/>
              </w:rPr>
              <w:t>Learning Solutions MCP 1 Prüfungsgutschein (Dienste-AL)</w:t>
            </w:r>
            <w:bookmarkEnd w:id="293"/>
            <w:bookmarkEnd w:id="294"/>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b w:val="0"/>
                <w:color w:val="000000"/>
                <w:sz w:val="13"/>
                <w:szCs w:val="13"/>
                <w:u w:val="single"/>
              </w:rPr>
            </w:pPr>
            <w:hyperlink w:anchor="_64_62_Learning" w:history="1">
              <w:r w:rsidR="00955428" w:rsidRPr="00BB5519">
                <w:rPr>
                  <w:rStyle w:val="Hyperlink"/>
                  <w:b/>
                  <w:sz w:val="13"/>
                  <w:szCs w:val="13"/>
                </w:rPr>
                <w:t>6</w:t>
              </w:r>
            </w:hyperlink>
            <w:r w:rsidR="00955428" w:rsidRPr="00BB5519">
              <w:rPr>
                <w:rStyle w:val="Hyperlink"/>
                <w:b/>
                <w:sz w:val="13"/>
                <w:szCs w:val="13"/>
              </w:rPr>
              <w:t>3</w:t>
            </w: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 Punkt</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E6271" w:rsidRPr="00BB5519" w:rsidTr="004064E2">
        <w:trPr>
          <w:trHeight w:val="145"/>
        </w:trPr>
        <w:tc>
          <w:tcPr>
            <w:tcW w:w="2556" w:type="dxa"/>
            <w:tcBorders>
              <w:bottom w:val="single" w:sz="4" w:space="0" w:color="auto"/>
            </w:tcBorders>
            <w:shd w:val="clear" w:color="auto" w:fill="FABF8F"/>
            <w:vAlign w:val="bottom"/>
          </w:tcPr>
          <w:p w:rsidR="00BE6271" w:rsidRPr="00BB5519" w:rsidRDefault="00BE6271" w:rsidP="00BE6271">
            <w:pPr>
              <w:pStyle w:val="ProductNames"/>
              <w:rPr>
                <w:rFonts w:ascii="Tahoma" w:hAnsi="Tahoma" w:cs="Tahoma"/>
                <w:position w:val="0"/>
                <w:sz w:val="14"/>
                <w:lang w:val="de-DE"/>
              </w:rPr>
            </w:pPr>
            <w:bookmarkStart w:id="295" w:name="_Toc354054698"/>
            <w:r w:rsidRPr="00BB5519">
              <w:rPr>
                <w:rFonts w:ascii="Tahoma" w:hAnsi="Tahoma" w:cs="Tahoma"/>
                <w:position w:val="0"/>
                <w:sz w:val="14"/>
                <w:lang w:val="de-DE"/>
              </w:rPr>
              <w:t>Learning Solutions MCP 30 Prüfungsgutscheine (Nutzer-AL)</w:t>
            </w:r>
            <w:bookmarkEnd w:id="295"/>
          </w:p>
        </w:tc>
        <w:tc>
          <w:tcPr>
            <w:tcW w:w="630" w:type="dxa"/>
            <w:tcBorders>
              <w:bottom w:val="single" w:sz="4" w:space="0" w:color="auto"/>
            </w:tcBorders>
            <w:shd w:val="clear" w:color="auto" w:fill="FABF8F"/>
            <w:vAlign w:val="center"/>
          </w:tcPr>
          <w:p w:rsidR="00BE6271" w:rsidRPr="00BB5519" w:rsidRDefault="00BE6271" w:rsidP="001A63C6">
            <w:pPr>
              <w:pStyle w:val="TableText"/>
              <w:widowControl w:val="0"/>
              <w:rPr>
                <w:b/>
                <w:sz w:val="13"/>
                <w:szCs w:val="13"/>
                <w:lang w:val="de-DE"/>
              </w:rPr>
            </w:pPr>
          </w:p>
        </w:tc>
        <w:tc>
          <w:tcPr>
            <w:tcW w:w="450" w:type="dxa"/>
            <w:tcBorders>
              <w:bottom w:val="single" w:sz="4" w:space="0" w:color="auto"/>
            </w:tcBorders>
            <w:shd w:val="clear" w:color="auto" w:fill="FABF8F"/>
          </w:tcPr>
          <w:p w:rsidR="00BE6271" w:rsidRPr="00BB5519" w:rsidRDefault="00BE6271" w:rsidP="00BE6271">
            <w:pPr>
              <w:pStyle w:val="TableText"/>
              <w:widowControl w:val="0"/>
              <w:spacing w:before="80"/>
              <w:rPr>
                <w:rFonts w:ascii="Tahoma" w:hAnsi="Tahoma" w:cs="Tahoma"/>
                <w:sz w:val="13"/>
              </w:rPr>
            </w:pPr>
            <w:r w:rsidRPr="00BB551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r w:rsidRPr="00BB5519">
              <w:rPr>
                <w:rFonts w:ascii="Tahoma" w:hAnsi="Tahoma" w:cs="Tahoma"/>
                <w:sz w:val="13"/>
              </w:rPr>
              <w:t>75 Punkte</w:t>
            </w:r>
          </w:p>
        </w:tc>
        <w:tc>
          <w:tcPr>
            <w:tcW w:w="450" w:type="dxa"/>
            <w:gridSpan w:val="2"/>
            <w:tcBorders>
              <w:left w:val="single" w:sz="18" w:space="0" w:color="auto"/>
              <w:bottom w:val="single" w:sz="4"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BE6271" w:rsidRPr="00BB5519" w:rsidRDefault="00BE6271"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r>
      <w:tr w:rsidR="00BE6271" w:rsidRPr="00BB5519" w:rsidTr="004064E2">
        <w:trPr>
          <w:trHeight w:val="145"/>
        </w:trPr>
        <w:tc>
          <w:tcPr>
            <w:tcW w:w="2556" w:type="dxa"/>
            <w:tcBorders>
              <w:bottom w:val="single" w:sz="4" w:space="0" w:color="auto"/>
            </w:tcBorders>
            <w:shd w:val="clear" w:color="auto" w:fill="auto"/>
            <w:vAlign w:val="bottom"/>
          </w:tcPr>
          <w:p w:rsidR="00BE6271" w:rsidRPr="00E0271A" w:rsidRDefault="00BE6271" w:rsidP="001A63C6">
            <w:pPr>
              <w:pStyle w:val="ProductNames"/>
              <w:rPr>
                <w:rFonts w:ascii="Tahoma" w:hAnsi="Tahoma" w:cs="Tahoma"/>
                <w:position w:val="0"/>
                <w:sz w:val="14"/>
                <w:lang w:val="de-DE"/>
              </w:rPr>
            </w:pPr>
            <w:bookmarkStart w:id="296" w:name="_Toc354054699"/>
            <w:r w:rsidRPr="00E0271A">
              <w:rPr>
                <w:rFonts w:ascii="Tahoma" w:hAnsi="Tahoma" w:cs="Tahoma"/>
                <w:position w:val="0"/>
                <w:sz w:val="14"/>
                <w:lang w:val="de-DE"/>
              </w:rPr>
              <w:t>Learning Solutions MOS 500 Zertifizierungsprüfungs-Website</w:t>
            </w:r>
            <w:r w:rsidR="002E6EC0" w:rsidRPr="00E0271A">
              <w:rPr>
                <w:rFonts w:ascii="Tahoma" w:hAnsi="Tahoma" w:cs="Tahoma"/>
                <w:position w:val="0"/>
                <w:sz w:val="14"/>
                <w:lang w:val="de-DE"/>
              </w:rPr>
              <w:br/>
            </w:r>
            <w:r w:rsidRPr="00E0271A">
              <w:rPr>
                <w:rFonts w:ascii="Tahoma" w:hAnsi="Tahoma" w:cs="Tahoma"/>
                <w:position w:val="0"/>
                <w:sz w:val="14"/>
                <w:lang w:val="de-DE"/>
              </w:rPr>
              <w:t xml:space="preserve"> (Dienste-AL)</w:t>
            </w:r>
            <w:bookmarkEnd w:id="296"/>
          </w:p>
        </w:tc>
        <w:tc>
          <w:tcPr>
            <w:tcW w:w="630" w:type="dxa"/>
            <w:tcBorders>
              <w:bottom w:val="single" w:sz="4" w:space="0" w:color="auto"/>
            </w:tcBorders>
            <w:shd w:val="clear" w:color="auto" w:fill="auto"/>
            <w:vAlign w:val="center"/>
          </w:tcPr>
          <w:p w:rsidR="00BE6271" w:rsidRPr="00E0271A" w:rsidRDefault="00BE6271" w:rsidP="001A63C6">
            <w:pPr>
              <w:pStyle w:val="TableText"/>
              <w:widowControl w:val="0"/>
              <w:rPr>
                <w:b/>
                <w:sz w:val="13"/>
                <w:szCs w:val="13"/>
                <w:lang w:val="de-DE"/>
              </w:rPr>
            </w:pPr>
          </w:p>
        </w:tc>
        <w:tc>
          <w:tcPr>
            <w:tcW w:w="450" w:type="dxa"/>
            <w:tcBorders>
              <w:bottom w:val="single" w:sz="4" w:space="0" w:color="auto"/>
            </w:tcBorders>
            <w:shd w:val="clear" w:color="auto" w:fill="auto"/>
          </w:tcPr>
          <w:p w:rsidR="00BE6271" w:rsidRPr="00BB5519" w:rsidRDefault="00BE6271" w:rsidP="001A63C6">
            <w:pPr>
              <w:pStyle w:val="TableText"/>
              <w:widowControl w:val="0"/>
              <w:spacing w:before="8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r w:rsidRPr="00BB5519">
              <w:rPr>
                <w:rFonts w:ascii="Tahoma" w:hAnsi="Tahoma" w:cs="Tahoma"/>
                <w:sz w:val="13"/>
              </w:rPr>
              <w:t>125 Punkte</w:t>
            </w:r>
          </w:p>
        </w:tc>
        <w:tc>
          <w:tcPr>
            <w:tcW w:w="450" w:type="dxa"/>
            <w:gridSpan w:val="2"/>
            <w:tcBorders>
              <w:left w:val="single" w:sz="18" w:space="0" w:color="auto"/>
              <w:bottom w:val="single" w:sz="4"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BE6271" w:rsidRPr="00BB5519" w:rsidRDefault="00BE6271"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BE6271" w:rsidRPr="00BB5519" w:rsidRDefault="00BE6271" w:rsidP="001A63C6">
            <w:pPr>
              <w:pStyle w:val="TableText"/>
              <w:widowControl w:val="0"/>
              <w:rPr>
                <w:rFonts w:ascii="Tahoma" w:hAnsi="Tahoma" w:cs="Tahoma"/>
                <w:sz w:val="13"/>
              </w:rPr>
            </w:pPr>
          </w:p>
        </w:tc>
      </w:tr>
      <w:tr w:rsidR="00BE6271" w:rsidRPr="00BB5519" w:rsidTr="004064E2">
        <w:trPr>
          <w:trHeight w:val="145"/>
        </w:trPr>
        <w:tc>
          <w:tcPr>
            <w:tcW w:w="2556" w:type="dxa"/>
            <w:tcBorders>
              <w:bottom w:val="single" w:sz="4" w:space="0" w:color="auto"/>
            </w:tcBorders>
            <w:shd w:val="clear" w:color="auto" w:fill="FABF8F"/>
            <w:vAlign w:val="bottom"/>
          </w:tcPr>
          <w:p w:rsidR="00BE6271" w:rsidRPr="002E6EC0" w:rsidRDefault="00BE6271" w:rsidP="001A63C6">
            <w:pPr>
              <w:pStyle w:val="ProductNames"/>
              <w:rPr>
                <w:rFonts w:ascii="Tahoma" w:hAnsi="Tahoma" w:cs="Tahoma"/>
                <w:position w:val="0"/>
                <w:sz w:val="14"/>
                <w:lang w:val="de-DE"/>
              </w:rPr>
            </w:pPr>
            <w:bookmarkStart w:id="297" w:name="_Toc354054700"/>
            <w:r w:rsidRPr="002E6EC0">
              <w:rPr>
                <w:rFonts w:ascii="Tahoma" w:hAnsi="Tahoma" w:cs="Tahoma"/>
                <w:position w:val="0"/>
                <w:sz w:val="14"/>
                <w:lang w:val="de-DE"/>
              </w:rPr>
              <w:t xml:space="preserve">Learning Solutions MTA 250 Zertifizierungsprüfungs-Website </w:t>
            </w:r>
            <w:r w:rsidR="002E6EC0" w:rsidRPr="002E6EC0">
              <w:rPr>
                <w:rFonts w:ascii="Tahoma" w:hAnsi="Tahoma" w:cs="Tahoma"/>
                <w:position w:val="0"/>
                <w:sz w:val="14"/>
                <w:lang w:val="de-DE"/>
              </w:rPr>
              <w:br/>
            </w:r>
            <w:r w:rsidRPr="002E6EC0">
              <w:rPr>
                <w:rFonts w:ascii="Tahoma" w:hAnsi="Tahoma" w:cs="Tahoma"/>
                <w:position w:val="0"/>
                <w:sz w:val="14"/>
                <w:lang w:val="de-DE"/>
              </w:rPr>
              <w:t>(Dienste-AL)</w:t>
            </w:r>
            <w:bookmarkEnd w:id="297"/>
          </w:p>
        </w:tc>
        <w:tc>
          <w:tcPr>
            <w:tcW w:w="630" w:type="dxa"/>
            <w:tcBorders>
              <w:bottom w:val="single" w:sz="4" w:space="0" w:color="auto"/>
            </w:tcBorders>
            <w:shd w:val="clear" w:color="auto" w:fill="FABF8F"/>
            <w:vAlign w:val="center"/>
          </w:tcPr>
          <w:p w:rsidR="00BE6271" w:rsidRPr="002E6EC0" w:rsidRDefault="00BE6271" w:rsidP="001A63C6">
            <w:pPr>
              <w:pStyle w:val="TableText"/>
              <w:widowControl w:val="0"/>
              <w:rPr>
                <w:b/>
                <w:sz w:val="13"/>
                <w:szCs w:val="13"/>
                <w:lang w:val="de-DE"/>
              </w:rPr>
            </w:pPr>
          </w:p>
        </w:tc>
        <w:tc>
          <w:tcPr>
            <w:tcW w:w="450" w:type="dxa"/>
            <w:tcBorders>
              <w:bottom w:val="single" w:sz="4" w:space="0" w:color="auto"/>
            </w:tcBorders>
            <w:shd w:val="clear" w:color="auto" w:fill="FABF8F"/>
          </w:tcPr>
          <w:p w:rsidR="00BE6271" w:rsidRPr="00BB5519" w:rsidRDefault="00BE6271" w:rsidP="001A63C6">
            <w:pPr>
              <w:pStyle w:val="TableText"/>
              <w:widowControl w:val="0"/>
              <w:spacing w:before="8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r w:rsidRPr="00BB5519">
              <w:rPr>
                <w:rFonts w:ascii="Tahoma" w:hAnsi="Tahoma" w:cs="Tahoma"/>
                <w:sz w:val="13"/>
              </w:rPr>
              <w:t>125 Punkte</w:t>
            </w:r>
          </w:p>
        </w:tc>
        <w:tc>
          <w:tcPr>
            <w:tcW w:w="450" w:type="dxa"/>
            <w:gridSpan w:val="2"/>
            <w:tcBorders>
              <w:left w:val="single" w:sz="18" w:space="0" w:color="auto"/>
              <w:bottom w:val="single" w:sz="4"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BE6271" w:rsidRPr="00BB5519" w:rsidRDefault="00BE6271"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BE6271" w:rsidRPr="00BB5519" w:rsidRDefault="00BE6271"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ind w:left="0"/>
              <w:rPr>
                <w:rFonts w:ascii="Tahoma" w:hAnsi="Tahoma" w:cs="Tahoma"/>
                <w:b w:val="0"/>
                <w:sz w:val="14"/>
                <w:szCs w:val="16"/>
                <w:lang w:val="de-DE"/>
              </w:rPr>
            </w:pPr>
            <w:bookmarkStart w:id="298" w:name="_Toc336337995"/>
            <w:bookmarkStart w:id="299" w:name="_Toc354054701"/>
            <w:r w:rsidRPr="00BB5519">
              <w:rPr>
                <w:rFonts w:ascii="Tahoma" w:hAnsi="Tahoma" w:cs="Tahoma"/>
                <w:b w:val="0"/>
                <w:sz w:val="14"/>
                <w:szCs w:val="16"/>
                <w:lang w:val="de-DE"/>
              </w:rPr>
              <w:t>Lync Online Plan 1 (Nutzer-AL)</w:t>
            </w:r>
            <w:bookmarkEnd w:id="298"/>
            <w:bookmarkEnd w:id="299"/>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64_Lync_Online" w:history="1">
              <w:hyperlink w:anchor="Srv_65LyncOnlinePlan1and2" w:history="1">
                <w:r w:rsidR="00955428" w:rsidRPr="00094D46">
                  <w:rPr>
                    <w:rStyle w:val="Hyperlink"/>
                    <w:b/>
                    <w:sz w:val="13"/>
                    <w:szCs w:val="13"/>
                  </w:rPr>
                  <w:t>6</w:t>
                </w:r>
              </w:hyperlink>
              <w:r w:rsidR="00955428" w:rsidRPr="00094D46">
                <w:rPr>
                  <w:rStyle w:val="Hyperlink"/>
                  <w:b/>
                  <w:sz w:val="13"/>
                  <w:szCs w:val="13"/>
                </w:rPr>
                <w:t>4</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E2E58"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6"/>
                <w:lang w:val="de-DE"/>
              </w:rPr>
            </w:pPr>
            <w:bookmarkStart w:id="300" w:name="_Toc336337996"/>
            <w:bookmarkStart w:id="301" w:name="_Toc354054702"/>
            <w:r w:rsidRPr="00BB5519">
              <w:rPr>
                <w:rFonts w:ascii="Tahoma" w:hAnsi="Tahoma" w:cs="Tahoma"/>
                <w:b w:val="0"/>
                <w:sz w:val="14"/>
                <w:szCs w:val="16"/>
                <w:lang w:val="de-DE"/>
              </w:rPr>
              <w:t>Lync Online Plan 2 (Nutzer-AL)</w:t>
            </w:r>
            <w:bookmarkEnd w:id="300"/>
            <w:bookmarkEnd w:id="301"/>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FF"/>
                <w:sz w:val="13"/>
                <w:szCs w:val="13"/>
                <w:u w:val="single"/>
              </w:rPr>
            </w:pPr>
            <w:hyperlink w:anchor="_64_Lync_Online" w:history="1">
              <w:hyperlink w:anchor="Srv_65LyncOnlinePlan1and2" w:history="1">
                <w:r w:rsidR="00094D46" w:rsidRPr="00094D46">
                  <w:rPr>
                    <w:rStyle w:val="Hyperlink"/>
                    <w:b/>
                    <w:sz w:val="13"/>
                    <w:szCs w:val="13"/>
                  </w:rPr>
                  <w:t>6</w:t>
                </w:r>
              </w:hyperlink>
              <w:r w:rsidR="00094D46" w:rsidRPr="00094D46">
                <w:rPr>
                  <w:rStyle w:val="Hyperlink"/>
                  <w:b/>
                  <w:sz w:val="13"/>
                  <w:szCs w:val="13"/>
                </w:rPr>
                <w:t>4</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ind w:left="0"/>
              <w:rPr>
                <w:rFonts w:ascii="Tahoma" w:hAnsi="Tahoma" w:cs="Tahoma"/>
                <w:b w:val="0"/>
                <w:sz w:val="14"/>
                <w:szCs w:val="16"/>
                <w:lang w:val="de-DE"/>
              </w:rPr>
            </w:pPr>
            <w:bookmarkStart w:id="302" w:name="_Toc336337997"/>
            <w:bookmarkStart w:id="303" w:name="_Toc354054703"/>
            <w:r w:rsidRPr="00BB5519">
              <w:rPr>
                <w:rFonts w:ascii="Tahoma" w:hAnsi="Tahoma" w:cs="Tahoma"/>
                <w:b w:val="0"/>
                <w:sz w:val="14"/>
                <w:szCs w:val="16"/>
                <w:lang w:val="de-DE"/>
              </w:rPr>
              <w:t>Lync Online Plan 3 (Nutzer-AL)</w:t>
            </w:r>
            <w:bookmarkEnd w:id="302"/>
            <w:bookmarkEnd w:id="303"/>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64_Lync_Online" w:history="1">
              <w:hyperlink w:anchor="Srv_65LyncOnlinePlan1and2" w:history="1">
                <w:r w:rsidR="00094D46" w:rsidRPr="00094D46">
                  <w:rPr>
                    <w:rStyle w:val="Hyperlink"/>
                    <w:b/>
                    <w:sz w:val="13"/>
                    <w:szCs w:val="13"/>
                  </w:rPr>
                  <w:t>6</w:t>
                </w:r>
              </w:hyperlink>
              <w:r w:rsidR="00094D46" w:rsidRPr="00094D46">
                <w:rPr>
                  <w:rStyle w:val="Hyperlink"/>
                  <w:b/>
                  <w:sz w:val="13"/>
                  <w:szCs w:val="13"/>
                </w:rPr>
                <w:t>4</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E2E58"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6"/>
                <w:lang w:val="de-DE"/>
              </w:rPr>
            </w:pPr>
            <w:bookmarkStart w:id="304" w:name="_Toc336337998"/>
            <w:bookmarkStart w:id="305" w:name="_Toc354054704"/>
            <w:r w:rsidRPr="00BB5519">
              <w:rPr>
                <w:rFonts w:ascii="Tahoma" w:hAnsi="Tahoma" w:cs="Tahoma"/>
                <w:b w:val="0"/>
                <w:sz w:val="14"/>
                <w:szCs w:val="16"/>
                <w:lang w:val="de-DE"/>
              </w:rPr>
              <w:t>Lync Online Plan 3A (Nutzer-AL)</w:t>
            </w:r>
            <w:bookmarkEnd w:id="304"/>
            <w:bookmarkEnd w:id="305"/>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FF"/>
                <w:sz w:val="13"/>
                <w:szCs w:val="13"/>
                <w:u w:val="single"/>
              </w:rPr>
            </w:pPr>
            <w:hyperlink w:anchor="_64_Lync_Online" w:history="1">
              <w:hyperlink w:anchor="Srv_65LyncOnlinePlan1and2" w:history="1">
                <w:r w:rsidR="00094D46" w:rsidRPr="00094D46">
                  <w:rPr>
                    <w:rStyle w:val="Hyperlink"/>
                    <w:b/>
                    <w:sz w:val="13"/>
                    <w:szCs w:val="13"/>
                  </w:rPr>
                  <w:t>6</w:t>
                </w:r>
              </w:hyperlink>
              <w:r w:rsidR="00094D46" w:rsidRPr="00094D46">
                <w:rPr>
                  <w:rStyle w:val="Hyperlink"/>
                  <w:b/>
                  <w:sz w:val="13"/>
                  <w:szCs w:val="13"/>
                </w:rPr>
                <w:t>4</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 (nur EES)</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ind w:left="0"/>
              <w:rPr>
                <w:rFonts w:ascii="Tahoma" w:hAnsi="Tahoma" w:cs="Tahoma"/>
                <w:b w:val="0"/>
                <w:sz w:val="14"/>
                <w:szCs w:val="16"/>
              </w:rPr>
            </w:pPr>
            <w:bookmarkStart w:id="306" w:name="_Toc336337999"/>
            <w:bookmarkStart w:id="307" w:name="_Toc354054705"/>
            <w:r w:rsidRPr="00BB5519">
              <w:rPr>
                <w:rFonts w:ascii="Tahoma" w:hAnsi="Tahoma" w:cs="Tahoma"/>
                <w:b w:val="0"/>
                <w:sz w:val="14"/>
                <w:szCs w:val="16"/>
              </w:rPr>
              <w:t xml:space="preserve">Lync Server </w:t>
            </w:r>
            <w:bookmarkEnd w:id="306"/>
            <w:r w:rsidRPr="00BB5519">
              <w:rPr>
                <w:rFonts w:ascii="Tahoma" w:hAnsi="Tahoma" w:cs="Tahoma"/>
                <w:b w:val="0"/>
                <w:sz w:val="14"/>
                <w:szCs w:val="16"/>
              </w:rPr>
              <w:t>2013</w:t>
            </w:r>
            <w:bookmarkEnd w:id="307"/>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62_Lync_Server" w:history="1">
              <w:r w:rsidR="00955428" w:rsidRPr="00BB5519">
                <w:rPr>
                  <w:rStyle w:val="Hyperlink"/>
                  <w:b/>
                  <w:sz w:val="13"/>
                  <w:szCs w:val="13"/>
                </w:rPr>
                <w:t>6</w:t>
              </w:r>
            </w:hyperlink>
            <w:r w:rsidR="00955428" w:rsidRPr="00BB5519">
              <w:rPr>
                <w:rStyle w:val="Hyperlink"/>
                <w:b/>
                <w:sz w:val="13"/>
                <w:szCs w:val="13"/>
              </w:rPr>
              <w:t>5</w:t>
            </w: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vAlign w:val="center"/>
          </w:tcPr>
          <w:p w:rsidR="001A63C6" w:rsidRPr="00BB5519" w:rsidDel="006A2F66" w:rsidRDefault="001A63C6" w:rsidP="001A63C6">
            <w:pPr>
              <w:pStyle w:val="Heading2"/>
              <w:ind w:left="0"/>
              <w:rPr>
                <w:rFonts w:ascii="Tahoma" w:hAnsi="Tahoma" w:cs="Tahoma"/>
                <w:b w:val="0"/>
                <w:sz w:val="14"/>
                <w:szCs w:val="16"/>
              </w:rPr>
            </w:pPr>
            <w:bookmarkStart w:id="308" w:name="_Toc336338000"/>
            <w:bookmarkStart w:id="309" w:name="_Toc354054706"/>
            <w:r w:rsidRPr="00BB5519">
              <w:rPr>
                <w:rFonts w:ascii="Tahoma" w:hAnsi="Tahoma" w:cs="Tahoma"/>
                <w:b w:val="0"/>
                <w:sz w:val="14"/>
                <w:szCs w:val="16"/>
              </w:rPr>
              <w:t>Enterprise-CAL für Lync Server</w:t>
            </w:r>
            <w:bookmarkEnd w:id="308"/>
            <w:r w:rsidRPr="00BB5519">
              <w:rPr>
                <w:rFonts w:ascii="Tahoma" w:hAnsi="Tahoma" w:cs="Tahoma"/>
                <w:b w:val="0"/>
                <w:sz w:val="14"/>
                <w:szCs w:val="16"/>
              </w:rPr>
              <w:t xml:space="preserve"> 2013</w:t>
            </w:r>
            <w:bookmarkEnd w:id="309"/>
          </w:p>
        </w:tc>
        <w:tc>
          <w:tcPr>
            <w:tcW w:w="63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BB5519" w:rsidDel="006A2F66"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left w:val="single" w:sz="18" w:space="0" w:color="auto"/>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Del="006A2F66" w:rsidRDefault="001A63C6" w:rsidP="001A63C6">
            <w:pPr>
              <w:pStyle w:val="TableText"/>
              <w:widowControl w:val="0"/>
              <w:spacing w:before="12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Del="006A2F66" w:rsidRDefault="001A63C6" w:rsidP="001A63C6">
            <w:pPr>
              <w:pStyle w:val="Heading2"/>
              <w:ind w:left="0"/>
              <w:rPr>
                <w:rFonts w:ascii="Tahoma" w:hAnsi="Tahoma" w:cs="Tahoma"/>
                <w:b w:val="0"/>
                <w:sz w:val="14"/>
                <w:szCs w:val="16"/>
              </w:rPr>
            </w:pPr>
            <w:bookmarkStart w:id="310" w:name="_Toc336338002"/>
            <w:bookmarkStart w:id="311" w:name="_Toc354054707"/>
            <w:r w:rsidRPr="00BB5519">
              <w:rPr>
                <w:rFonts w:ascii="Tahoma" w:hAnsi="Tahoma" w:cs="Tahoma"/>
                <w:b w:val="0"/>
                <w:sz w:val="14"/>
                <w:szCs w:val="16"/>
              </w:rPr>
              <w:lastRenderedPageBreak/>
              <w:t>CAL für Lync Server Plus</w:t>
            </w:r>
            <w:bookmarkEnd w:id="310"/>
            <w:r w:rsidRPr="00BB5519">
              <w:rPr>
                <w:rFonts w:ascii="Tahoma" w:hAnsi="Tahoma" w:cs="Tahoma"/>
                <w:b w:val="0"/>
                <w:sz w:val="14"/>
                <w:szCs w:val="16"/>
              </w:rPr>
              <w:t xml:space="preserve"> 2013</w:t>
            </w:r>
            <w:bookmarkEnd w:id="311"/>
          </w:p>
        </w:tc>
        <w:tc>
          <w:tcPr>
            <w:tcW w:w="630" w:type="dxa"/>
            <w:tcBorders>
              <w:bottom w:val="single" w:sz="4" w:space="0" w:color="auto"/>
            </w:tcBorders>
            <w:shd w:val="clear" w:color="auto" w:fill="auto"/>
            <w:vAlign w:val="center"/>
          </w:tcPr>
          <w:p w:rsidR="001A63C6" w:rsidRPr="00BB5519" w:rsidDel="006A2F66" w:rsidRDefault="001A63C6" w:rsidP="001A63C6">
            <w:pPr>
              <w:pStyle w:val="TableText"/>
              <w:widowControl w:val="0"/>
              <w:rPr>
                <w:b/>
                <w:color w:val="0000FF"/>
                <w:sz w:val="13"/>
                <w:szCs w:val="13"/>
                <w:u w:val="single"/>
              </w:rPr>
            </w:pPr>
            <w:bookmarkStart w:id="312" w:name="_Hlt335908886"/>
          </w:p>
        </w:tc>
        <w:bookmarkEnd w:id="312"/>
        <w:tc>
          <w:tcPr>
            <w:tcW w:w="450" w:type="dxa"/>
            <w:tcBorders>
              <w:bottom w:val="single" w:sz="4" w:space="0" w:color="auto"/>
            </w:tcBorders>
            <w:shd w:val="clear" w:color="auto" w:fill="auto"/>
          </w:tcPr>
          <w:p w:rsidR="001A63C6" w:rsidRPr="00BB5519" w:rsidDel="006A2F66"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Del="006A2F66" w:rsidRDefault="001A63C6" w:rsidP="001A63C6">
            <w:pPr>
              <w:pStyle w:val="TableText"/>
              <w:widowControl w:val="0"/>
              <w:spacing w:before="12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145"/>
        </w:trPr>
        <w:tc>
          <w:tcPr>
            <w:tcW w:w="2556" w:type="dxa"/>
            <w:tcBorders>
              <w:bottom w:val="single" w:sz="4" w:space="0" w:color="auto"/>
            </w:tcBorders>
            <w:shd w:val="clear" w:color="auto" w:fill="FABF8F"/>
            <w:vAlign w:val="center"/>
          </w:tcPr>
          <w:p w:rsidR="001A63C6" w:rsidRPr="00BB5519" w:rsidDel="006A2F66" w:rsidRDefault="001A63C6" w:rsidP="001A63C6">
            <w:pPr>
              <w:pStyle w:val="Heading2"/>
              <w:ind w:left="0"/>
              <w:rPr>
                <w:rFonts w:ascii="Tahoma" w:hAnsi="Tahoma" w:cs="Tahoma"/>
                <w:b w:val="0"/>
                <w:sz w:val="14"/>
                <w:szCs w:val="16"/>
              </w:rPr>
            </w:pPr>
            <w:bookmarkStart w:id="313" w:name="_Toc336338005"/>
            <w:bookmarkStart w:id="314" w:name="_Toc354054708"/>
            <w:r w:rsidRPr="00BB5519">
              <w:rPr>
                <w:rFonts w:ascii="Tahoma" w:hAnsi="Tahoma" w:cs="Tahoma"/>
                <w:b w:val="0"/>
                <w:sz w:val="14"/>
                <w:szCs w:val="16"/>
              </w:rPr>
              <w:t>Standard-CAL für Lync Server</w:t>
            </w:r>
            <w:bookmarkEnd w:id="313"/>
            <w:r w:rsidRPr="00BB5519">
              <w:rPr>
                <w:rFonts w:ascii="Tahoma" w:hAnsi="Tahoma" w:cs="Tahoma"/>
                <w:b w:val="0"/>
                <w:sz w:val="14"/>
                <w:szCs w:val="16"/>
              </w:rPr>
              <w:t xml:space="preserve"> 2013</w:t>
            </w:r>
            <w:bookmarkEnd w:id="314"/>
          </w:p>
        </w:tc>
        <w:tc>
          <w:tcPr>
            <w:tcW w:w="63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BB5519" w:rsidDel="006A2F66"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left w:val="single" w:sz="18" w:space="0" w:color="auto"/>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Del="006A2F66"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Del="006A2F66" w:rsidRDefault="001A63C6" w:rsidP="001A63C6">
            <w:pPr>
              <w:pStyle w:val="TableText"/>
              <w:widowControl w:val="0"/>
              <w:spacing w:before="12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70"/>
        </w:trPr>
        <w:tc>
          <w:tcPr>
            <w:tcW w:w="2556" w:type="dxa"/>
            <w:tcBorders>
              <w:bottom w:val="single" w:sz="4" w:space="0" w:color="auto"/>
            </w:tcBorders>
            <w:shd w:val="clear" w:color="auto" w:fill="auto"/>
            <w:vAlign w:val="center"/>
          </w:tcPr>
          <w:p w:rsidR="001A63C6" w:rsidRPr="00BB5519" w:rsidRDefault="001A63C6">
            <w:pPr>
              <w:pStyle w:val="Heading2"/>
              <w:ind w:left="0"/>
              <w:rPr>
                <w:rFonts w:ascii="Tahoma" w:hAnsi="Tahoma" w:cs="Tahoma"/>
                <w:b w:val="0"/>
                <w:sz w:val="14"/>
                <w:szCs w:val="14"/>
                <w:lang w:val="de-DE"/>
              </w:rPr>
            </w:pPr>
            <w:bookmarkStart w:id="315" w:name="_Toc336338007"/>
            <w:bookmarkStart w:id="316" w:name="_Toc354054709"/>
            <w:r w:rsidRPr="00BB5519">
              <w:rPr>
                <w:rFonts w:ascii="Tahoma" w:hAnsi="Tahoma" w:cs="Tahoma"/>
                <w:b w:val="0"/>
                <w:sz w:val="14"/>
                <w:szCs w:val="14"/>
                <w:lang w:val="de-DE"/>
              </w:rPr>
              <w:t>Zusätzliche CAL für Microsoft Dynamics AX 2012 R2 Enterprise (Nutzer &amp; Gerät)</w:t>
            </w:r>
            <w:bookmarkEnd w:id="315"/>
            <w:bookmarkEnd w:id="316"/>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Fonts w:cs="Tahoma"/>
                <w:b/>
                <w:color w:val="0000FF"/>
                <w:sz w:val="13"/>
                <w:szCs w:val="13"/>
                <w:u w:val="single"/>
              </w:rPr>
            </w:pPr>
            <w:hyperlink w:anchor="_66_Microsoft_Dynamics_1" w:history="1">
              <w:r w:rsidR="00955428" w:rsidRPr="005F764F">
                <w:rPr>
                  <w:rStyle w:val="Hyperlink"/>
                  <w:rFonts w:cs="Tahoma"/>
                  <w:b/>
                  <w:sz w:val="13"/>
                  <w:szCs w:val="13"/>
                </w:rPr>
                <w:t>66</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jc w:val="left"/>
              <w:rPr>
                <w:rFonts w:ascii="Tahoma" w:hAnsi="Tahoma" w:cs="Tahoma"/>
                <w:sz w:val="13"/>
              </w:rPr>
            </w:pPr>
          </w:p>
        </w:tc>
      </w:tr>
      <w:tr w:rsidR="00BE2E58"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4"/>
                <w:lang w:val="de-DE"/>
              </w:rPr>
            </w:pPr>
            <w:bookmarkStart w:id="317" w:name="_Toc336338008"/>
            <w:bookmarkStart w:id="318" w:name="_Toc354054710"/>
            <w:r w:rsidRPr="00BB5519">
              <w:rPr>
                <w:rFonts w:ascii="Tahoma" w:hAnsi="Tahoma" w:cs="Tahoma"/>
                <w:b w:val="0"/>
                <w:sz w:val="14"/>
                <w:szCs w:val="14"/>
                <w:lang w:val="de-DE"/>
              </w:rPr>
              <w:t>CAL für Microsoft Dynamics AX 2012 R2 Enterprise (Nutzer &amp; Gerät)</w:t>
            </w:r>
            <w:bookmarkEnd w:id="317"/>
            <w:bookmarkEnd w:id="318"/>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Fonts w:cs="Tahoma"/>
                <w:b/>
                <w:color w:val="0000FF"/>
                <w:sz w:val="13"/>
                <w:szCs w:val="13"/>
                <w:u w:val="single"/>
              </w:rPr>
            </w:pPr>
            <w:hyperlink w:anchor="_66_Microsoft_Dynamics_1" w:history="1">
              <w:r w:rsidR="00955428" w:rsidRPr="00BB5519">
                <w:rPr>
                  <w:rStyle w:val="Hyperlink"/>
                  <w:rFonts w:cs="Tahoma"/>
                  <w:b/>
                  <w:sz w:val="13"/>
                  <w:szCs w:val="13"/>
                </w:rPr>
                <w:t>6</w:t>
              </w:r>
            </w:hyperlink>
            <w:r w:rsidR="00955428" w:rsidRPr="00BB5519">
              <w:rPr>
                <w:rStyle w:val="Hyperlink"/>
                <w:rFonts w:cs="Tahoma"/>
                <w:b/>
                <w:sz w:val="13"/>
                <w:szCs w:val="13"/>
              </w:rPr>
              <w:t>6</w:t>
            </w:r>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jc w:val="left"/>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C0225C">
            <w:pPr>
              <w:pStyle w:val="Heading2"/>
              <w:keepNext/>
              <w:keepLines/>
              <w:ind w:left="0"/>
              <w:rPr>
                <w:rFonts w:ascii="Tahoma" w:hAnsi="Tahoma" w:cs="Tahoma"/>
                <w:b w:val="0"/>
                <w:sz w:val="14"/>
                <w:szCs w:val="14"/>
                <w:lang w:val="de-DE"/>
              </w:rPr>
            </w:pPr>
            <w:bookmarkStart w:id="319" w:name="_Toc336338009"/>
            <w:bookmarkStart w:id="320" w:name="_Toc354054711"/>
            <w:r w:rsidRPr="00BB5519">
              <w:rPr>
                <w:rFonts w:ascii="Tahoma" w:hAnsi="Tahoma" w:cs="Tahoma"/>
                <w:b w:val="0"/>
                <w:sz w:val="14"/>
                <w:szCs w:val="14"/>
                <w:lang w:val="de-DE"/>
              </w:rPr>
              <w:t>Zusätzliche Funktions-CAL für Microsoft Dynamics AX 2012 R2 (Nutzer &amp; Gerät)</w:t>
            </w:r>
            <w:bookmarkEnd w:id="319"/>
            <w:bookmarkEnd w:id="320"/>
          </w:p>
        </w:tc>
        <w:tc>
          <w:tcPr>
            <w:tcW w:w="630" w:type="dxa"/>
            <w:tcBorders>
              <w:bottom w:val="single" w:sz="4" w:space="0" w:color="auto"/>
            </w:tcBorders>
            <w:shd w:val="clear" w:color="auto" w:fill="auto"/>
            <w:vAlign w:val="center"/>
          </w:tcPr>
          <w:p w:rsidR="001A63C6" w:rsidRPr="00BB5519" w:rsidRDefault="005F5403" w:rsidP="00C0225C">
            <w:pPr>
              <w:pStyle w:val="TableText"/>
              <w:keepNext/>
              <w:keepLines/>
              <w:widowControl w:val="0"/>
              <w:rPr>
                <w:rFonts w:cs="Tahoma"/>
                <w:b/>
                <w:color w:val="0000FF"/>
                <w:sz w:val="13"/>
                <w:szCs w:val="13"/>
                <w:u w:val="single"/>
              </w:rPr>
            </w:pPr>
            <w:hyperlink w:anchor="_66_Microsoft_Dynamics_1" w:history="1">
              <w:r w:rsidR="00955428" w:rsidRPr="00D7018C">
                <w:rPr>
                  <w:rStyle w:val="Hyperlink"/>
                  <w:rFonts w:cs="Tahoma"/>
                  <w:b/>
                  <w:sz w:val="13"/>
                  <w:szCs w:val="13"/>
                </w:rPr>
                <w:t>66</w:t>
              </w:r>
            </w:hyperlink>
          </w:p>
        </w:tc>
        <w:tc>
          <w:tcPr>
            <w:tcW w:w="450" w:type="dxa"/>
            <w:tcBorders>
              <w:bottom w:val="single" w:sz="4" w:space="0" w:color="auto"/>
            </w:tcBorders>
            <w:shd w:val="clear" w:color="auto" w:fill="auto"/>
          </w:tcPr>
          <w:p w:rsidR="001A63C6" w:rsidRPr="00BB5519" w:rsidRDefault="001A63C6" w:rsidP="00C0225C">
            <w:pPr>
              <w:pStyle w:val="TableText"/>
              <w:keepNext/>
              <w:keepLines/>
              <w:widowControl w:val="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jc w:val="left"/>
              <w:rPr>
                <w:rFonts w:ascii="Tahoma" w:hAnsi="Tahoma" w:cs="Tahoma"/>
                <w:sz w:val="13"/>
              </w:rPr>
            </w:pPr>
          </w:p>
        </w:tc>
      </w:tr>
      <w:tr w:rsidR="00BE2E58"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4"/>
                <w:lang w:val="de-DE"/>
              </w:rPr>
            </w:pPr>
            <w:bookmarkStart w:id="321" w:name="_Toc336338010"/>
            <w:bookmarkStart w:id="322" w:name="_Toc354054712"/>
            <w:r w:rsidRPr="00BB5519">
              <w:rPr>
                <w:rFonts w:ascii="Tahoma" w:hAnsi="Tahoma" w:cs="Tahoma"/>
                <w:b w:val="0"/>
                <w:sz w:val="14"/>
                <w:szCs w:val="14"/>
                <w:lang w:val="de-DE"/>
              </w:rPr>
              <w:t>Funktions-CAL für Microsoft Dynamics AX 2012 R2 (Nutzer &amp; Gerät)</w:t>
            </w:r>
            <w:bookmarkEnd w:id="321"/>
            <w:bookmarkEnd w:id="322"/>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Fonts w:cs="Tahoma"/>
                <w:b/>
                <w:color w:val="0000FF"/>
                <w:sz w:val="13"/>
                <w:szCs w:val="13"/>
                <w:u w:val="single"/>
              </w:rPr>
            </w:pPr>
            <w:hyperlink w:anchor="_66_Microsoft_Dynamics_1" w:history="1">
              <w:r w:rsidR="00955428" w:rsidRPr="00D7018C">
                <w:rPr>
                  <w:rStyle w:val="Hyperlink"/>
                  <w:rFonts w:cs="Tahoma"/>
                  <w:b/>
                  <w:sz w:val="13"/>
                  <w:szCs w:val="13"/>
                </w:rPr>
                <w:t>66</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jc w:val="left"/>
              <w:rPr>
                <w:rFonts w:ascii="Tahoma" w:hAnsi="Tahoma" w:cs="Tahoma"/>
                <w:sz w:val="13"/>
              </w:rPr>
            </w:pPr>
          </w:p>
        </w:tc>
      </w:tr>
      <w:tr w:rsidR="00B33D0E" w:rsidRPr="00BB5519" w:rsidTr="004064E2">
        <w:trPr>
          <w:trHeight w:val="233"/>
        </w:trPr>
        <w:tc>
          <w:tcPr>
            <w:tcW w:w="2556" w:type="dxa"/>
            <w:tcBorders>
              <w:bottom w:val="single" w:sz="4" w:space="0" w:color="auto"/>
            </w:tcBorders>
            <w:shd w:val="clear" w:color="auto" w:fill="auto"/>
            <w:vAlign w:val="center"/>
          </w:tcPr>
          <w:p w:rsidR="001A63C6" w:rsidRPr="00BB5519" w:rsidRDefault="001A63C6" w:rsidP="001A63C6">
            <w:pPr>
              <w:pStyle w:val="Heading2"/>
              <w:ind w:left="0"/>
              <w:rPr>
                <w:rFonts w:ascii="Tahoma" w:hAnsi="Tahoma" w:cs="Tahoma"/>
                <w:b w:val="0"/>
                <w:sz w:val="14"/>
                <w:szCs w:val="14"/>
                <w:lang w:val="de-DE"/>
              </w:rPr>
            </w:pPr>
            <w:bookmarkStart w:id="323" w:name="_Toc336338011"/>
            <w:bookmarkStart w:id="324" w:name="_Toc354054713"/>
            <w:r w:rsidRPr="00BB5519">
              <w:rPr>
                <w:rFonts w:ascii="Tahoma" w:hAnsi="Tahoma" w:cs="Tahoma"/>
                <w:b w:val="0"/>
                <w:sz w:val="14"/>
                <w:szCs w:val="14"/>
                <w:lang w:val="de-DE"/>
              </w:rPr>
              <w:t>CAL für Microsoft Dynamics AX 2012 R2 Self-Service (Nutzer &amp; Gerät)</w:t>
            </w:r>
            <w:bookmarkEnd w:id="323"/>
            <w:bookmarkEnd w:id="324"/>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Fonts w:cs="Tahoma"/>
                <w:b/>
                <w:color w:val="0000FF"/>
                <w:sz w:val="13"/>
                <w:szCs w:val="13"/>
                <w:u w:val="single"/>
              </w:rPr>
            </w:pPr>
            <w:hyperlink w:anchor="_66_Microsoft_Dynamics_1" w:history="1">
              <w:r w:rsidR="00955428" w:rsidRPr="00D7018C">
                <w:rPr>
                  <w:rStyle w:val="Hyperlink"/>
                  <w:rFonts w:cs="Tahoma"/>
                  <w:b/>
                  <w:sz w:val="13"/>
                  <w:szCs w:val="13"/>
                </w:rPr>
                <w:t>66</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jc w:val="left"/>
              <w:rPr>
                <w:rFonts w:ascii="Tahoma" w:hAnsi="Tahoma" w:cs="Tahoma"/>
                <w:sz w:val="13"/>
              </w:rPr>
            </w:pPr>
          </w:p>
        </w:tc>
      </w:tr>
      <w:tr w:rsidR="00BE2E58" w:rsidRPr="00BB5519" w:rsidTr="004064E2">
        <w:trPr>
          <w:trHeight w:val="242"/>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4"/>
                <w:lang w:val="pt-BR"/>
              </w:rPr>
            </w:pPr>
            <w:bookmarkStart w:id="325" w:name="_Toc336338012"/>
            <w:bookmarkStart w:id="326" w:name="_Toc354054714"/>
            <w:r w:rsidRPr="00BB5519">
              <w:rPr>
                <w:rFonts w:ascii="Tahoma" w:hAnsi="Tahoma" w:cs="Tahoma"/>
                <w:b w:val="0"/>
                <w:sz w:val="14"/>
                <w:szCs w:val="14"/>
                <w:lang w:val="pt-BR"/>
              </w:rPr>
              <w:t>Microsoft Dynamics AX 2012 R2 Server</w:t>
            </w:r>
            <w:bookmarkEnd w:id="325"/>
            <w:bookmarkEnd w:id="326"/>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Fonts w:cs="Tahoma"/>
                <w:b/>
                <w:color w:val="0000FF"/>
                <w:sz w:val="13"/>
                <w:szCs w:val="13"/>
                <w:u w:val="single"/>
              </w:rPr>
            </w:pPr>
            <w:hyperlink w:anchor="_66_Microsoft_Dynamics_1" w:history="1">
              <w:r w:rsidR="00955428" w:rsidRPr="00D7018C">
                <w:rPr>
                  <w:rStyle w:val="Hyperlink"/>
                  <w:rFonts w:cs="Tahoma"/>
                  <w:b/>
                  <w:sz w:val="13"/>
                  <w:szCs w:val="13"/>
                </w:rPr>
                <w:t>66</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jc w:val="left"/>
              <w:rPr>
                <w:rFonts w:ascii="Tahoma" w:hAnsi="Tahoma" w:cs="Tahoma"/>
                <w:sz w:val="13"/>
              </w:rPr>
            </w:pPr>
          </w:p>
        </w:tc>
      </w:tr>
      <w:tr w:rsidR="00B33D0E" w:rsidRPr="00BB5519" w:rsidTr="004064E2">
        <w:trPr>
          <w:trHeight w:val="278"/>
        </w:trPr>
        <w:tc>
          <w:tcPr>
            <w:tcW w:w="2556" w:type="dxa"/>
            <w:tcBorders>
              <w:bottom w:val="single" w:sz="4" w:space="0" w:color="auto"/>
            </w:tcBorders>
            <w:shd w:val="clear" w:color="auto" w:fill="auto"/>
            <w:vAlign w:val="center"/>
          </w:tcPr>
          <w:p w:rsidR="001A63C6" w:rsidRPr="00BB5519" w:rsidRDefault="001A63C6" w:rsidP="001A63C6">
            <w:pPr>
              <w:pStyle w:val="Heading2"/>
              <w:ind w:left="0"/>
              <w:rPr>
                <w:rFonts w:ascii="Tahoma" w:hAnsi="Tahoma" w:cs="Tahoma"/>
                <w:b w:val="0"/>
                <w:sz w:val="14"/>
                <w:szCs w:val="14"/>
                <w:lang w:val="de-DE"/>
              </w:rPr>
            </w:pPr>
            <w:bookmarkStart w:id="327" w:name="_Toc336338013"/>
            <w:bookmarkStart w:id="328" w:name="_Toc354054715"/>
            <w:r w:rsidRPr="00BB5519">
              <w:rPr>
                <w:rFonts w:ascii="Tahoma" w:hAnsi="Tahoma" w:cs="Tahoma"/>
                <w:b w:val="0"/>
                <w:sz w:val="14"/>
                <w:szCs w:val="14"/>
                <w:lang w:val="de-DE"/>
              </w:rPr>
              <w:t>Zusätzliche Aufgaben-CAL für Microsoft Dynamics AX 2012 R2 (Nutzer &amp; Gerät)</w:t>
            </w:r>
            <w:bookmarkEnd w:id="327"/>
            <w:bookmarkEnd w:id="328"/>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Fonts w:cs="Tahoma"/>
                <w:b/>
                <w:color w:val="0000FF"/>
                <w:sz w:val="13"/>
                <w:szCs w:val="13"/>
                <w:u w:val="single"/>
              </w:rPr>
            </w:pPr>
            <w:hyperlink w:anchor="_66_Microsoft_Dynamics_1" w:history="1">
              <w:r w:rsidR="00955428" w:rsidRPr="00D7018C">
                <w:rPr>
                  <w:rStyle w:val="Hyperlink"/>
                  <w:rFonts w:cs="Tahoma"/>
                  <w:b/>
                  <w:sz w:val="13"/>
                  <w:szCs w:val="13"/>
                </w:rPr>
                <w:t>66</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jc w:val="left"/>
              <w:rPr>
                <w:rFonts w:ascii="Tahoma" w:hAnsi="Tahoma" w:cs="Tahoma"/>
                <w:sz w:val="13"/>
              </w:rPr>
            </w:pPr>
          </w:p>
        </w:tc>
      </w:tr>
      <w:tr w:rsidR="00BE2E58" w:rsidRPr="00BB5519" w:rsidTr="004064E2">
        <w:trPr>
          <w:trHeight w:val="377"/>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4"/>
                <w:lang w:val="de-DE"/>
              </w:rPr>
            </w:pPr>
            <w:bookmarkStart w:id="329" w:name="_Toc336338014"/>
            <w:bookmarkStart w:id="330" w:name="_Toc354054716"/>
            <w:r w:rsidRPr="00BB5519">
              <w:rPr>
                <w:rFonts w:ascii="Tahoma" w:hAnsi="Tahoma" w:cs="Tahoma"/>
                <w:b w:val="0"/>
                <w:sz w:val="14"/>
                <w:szCs w:val="14"/>
                <w:lang w:val="de-DE"/>
              </w:rPr>
              <w:t>Aufgaben-CAL für Microsoft Dynamics AX 2012 R2 (Nutzer &amp; Gerät)</w:t>
            </w:r>
            <w:bookmarkEnd w:id="329"/>
            <w:bookmarkEnd w:id="330"/>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Fonts w:cs="Tahoma"/>
                <w:b/>
                <w:color w:val="0000FF"/>
                <w:sz w:val="13"/>
                <w:szCs w:val="13"/>
                <w:u w:val="single"/>
              </w:rPr>
            </w:pPr>
            <w:hyperlink w:anchor="_66_Microsoft_Dynamics_1" w:history="1">
              <w:r w:rsidR="00955428" w:rsidRPr="00D7018C">
                <w:rPr>
                  <w:rStyle w:val="Hyperlink"/>
                  <w:rFonts w:cs="Tahoma"/>
                  <w:b/>
                  <w:sz w:val="13"/>
                  <w:szCs w:val="13"/>
                </w:rPr>
                <w:t>66</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jc w:val="left"/>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D31507">
            <w:pPr>
              <w:pStyle w:val="Heading2"/>
              <w:keepNext/>
              <w:keepLines/>
              <w:ind w:left="0"/>
              <w:rPr>
                <w:rFonts w:ascii="Tahoma" w:hAnsi="Tahoma" w:cs="Tahoma"/>
                <w:b w:val="0"/>
                <w:sz w:val="14"/>
                <w:szCs w:val="14"/>
                <w:lang w:val="de-DE"/>
              </w:rPr>
            </w:pPr>
            <w:bookmarkStart w:id="331" w:name="_Toc336338015"/>
            <w:bookmarkStart w:id="332" w:name="_Toc354054717"/>
            <w:r w:rsidRPr="00BB5519">
              <w:rPr>
                <w:rFonts w:ascii="Tahoma" w:hAnsi="Tahoma" w:cs="Tahoma"/>
                <w:b w:val="0"/>
                <w:sz w:val="14"/>
                <w:szCs w:val="14"/>
                <w:lang w:val="de-DE"/>
              </w:rPr>
              <w:t>CAL für Microsoft Dynamics CRM 2011 (Nutzer &amp; Gerät)</w:t>
            </w:r>
            <w:bookmarkEnd w:id="331"/>
            <w:bookmarkEnd w:id="332"/>
          </w:p>
        </w:tc>
        <w:tc>
          <w:tcPr>
            <w:tcW w:w="630" w:type="dxa"/>
            <w:tcBorders>
              <w:bottom w:val="single" w:sz="4" w:space="0" w:color="auto"/>
            </w:tcBorders>
            <w:shd w:val="clear" w:color="auto" w:fill="auto"/>
            <w:vAlign w:val="center"/>
          </w:tcPr>
          <w:p w:rsidR="001A63C6" w:rsidRPr="00BB5519" w:rsidRDefault="005F5403" w:rsidP="00D31507">
            <w:pPr>
              <w:pStyle w:val="TableText"/>
              <w:keepNext/>
              <w:keepLines/>
              <w:widowControl w:val="0"/>
              <w:rPr>
                <w:b/>
                <w:color w:val="0000FF"/>
                <w:sz w:val="13"/>
                <w:szCs w:val="13"/>
                <w:u w:val="single"/>
              </w:rPr>
            </w:pPr>
            <w:hyperlink w:anchor="_67_Microsoft_Dynamics" w:history="1">
              <w:r w:rsidR="002E59B1" w:rsidRPr="00D7018C">
                <w:rPr>
                  <w:rStyle w:val="Hyperlink"/>
                  <w:b/>
                  <w:sz w:val="13"/>
                  <w:szCs w:val="13"/>
                </w:rPr>
                <w:t>67</w:t>
              </w:r>
            </w:hyperlink>
          </w:p>
        </w:tc>
        <w:tc>
          <w:tcPr>
            <w:tcW w:w="450" w:type="dxa"/>
            <w:tcBorders>
              <w:bottom w:val="single" w:sz="4" w:space="0" w:color="auto"/>
            </w:tcBorders>
            <w:shd w:val="clear" w:color="auto" w:fill="auto"/>
          </w:tcPr>
          <w:p w:rsidR="001A63C6" w:rsidRPr="00BB5519" w:rsidRDefault="001A63C6" w:rsidP="00D31507">
            <w:pPr>
              <w:pStyle w:val="TableText"/>
              <w:keepNext/>
              <w:keepLines/>
              <w:widowControl w:val="0"/>
              <w:spacing w:before="120"/>
              <w:rPr>
                <w:rFonts w:ascii="Tahoma" w:hAnsi="Tahoma" w:cs="Tahoma"/>
                <w:color w:val="000000"/>
                <w:sz w:val="13"/>
              </w:rPr>
            </w:pPr>
            <w:r w:rsidRPr="00BB551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25</w:t>
            </w: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20</w:t>
            </w: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15</w:t>
            </w: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15</w:t>
            </w: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5</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r w:rsidRPr="00BB5519">
              <w:rPr>
                <w:rFonts w:ascii="Tahoma" w:hAnsi="Tahoma" w:cs="Tahoma"/>
                <w:sz w:val="13"/>
              </w:rPr>
              <w:t>OL/OV</w:t>
            </w:r>
          </w:p>
        </w:tc>
      </w:tr>
      <w:tr w:rsidR="00BE2E58"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4"/>
              </w:rPr>
            </w:pPr>
            <w:bookmarkStart w:id="333" w:name="_Toc336338016"/>
            <w:bookmarkStart w:id="334" w:name="_Toc354054718"/>
            <w:r w:rsidRPr="00BB5519">
              <w:rPr>
                <w:rFonts w:ascii="Tahoma" w:hAnsi="Tahoma" w:cs="Tahoma"/>
                <w:b w:val="0"/>
                <w:sz w:val="14"/>
                <w:szCs w:val="14"/>
              </w:rPr>
              <w:t>CAL für Microsoft Dynamics CRM 2011 Employee Self Service (Nutzer &amp; Gerät)</w:t>
            </w:r>
            <w:bookmarkEnd w:id="333"/>
            <w:bookmarkEnd w:id="334"/>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FF"/>
                <w:sz w:val="13"/>
                <w:szCs w:val="13"/>
                <w:u w:val="single"/>
              </w:rPr>
            </w:pPr>
            <w:hyperlink w:anchor="_68_Microsoft_Dynamics" w:history="1">
              <w:r w:rsidR="00955428" w:rsidRPr="00BB5519">
                <w:rPr>
                  <w:rStyle w:val="Hyperlink"/>
                  <w:b/>
                  <w:sz w:val="13"/>
                  <w:szCs w:val="13"/>
                </w:rPr>
                <w:t>6</w:t>
              </w:r>
            </w:hyperlink>
            <w:r w:rsidR="00955428" w:rsidRPr="00BB5519">
              <w:rPr>
                <w:rStyle w:val="Hyperlink"/>
                <w:b/>
                <w:sz w:val="13"/>
                <w:szCs w:val="13"/>
              </w:rPr>
              <w:t>7</w:t>
            </w: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B33D0E"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ind w:left="0"/>
              <w:rPr>
                <w:rFonts w:ascii="Tahoma" w:hAnsi="Tahoma" w:cs="Tahoma"/>
                <w:b w:val="0"/>
                <w:sz w:val="14"/>
                <w:szCs w:val="14"/>
              </w:rPr>
            </w:pPr>
            <w:bookmarkStart w:id="335" w:name="_Toc336338017"/>
            <w:bookmarkStart w:id="336" w:name="_Toc354054719"/>
            <w:r w:rsidRPr="00BB5519">
              <w:rPr>
                <w:rFonts w:ascii="Tahoma" w:hAnsi="Tahoma" w:cs="Tahoma"/>
                <w:b w:val="0"/>
                <w:sz w:val="14"/>
                <w:szCs w:val="14"/>
              </w:rPr>
              <w:t>Externer Connector für Microsoft Dynamics CRM 2011</w:t>
            </w:r>
            <w:bookmarkEnd w:id="335"/>
            <w:bookmarkEnd w:id="336"/>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68_Microsoft_Dynamics" w:history="1">
              <w:r w:rsidR="00955428" w:rsidRPr="00BB5519">
                <w:rPr>
                  <w:rStyle w:val="Hyperlink"/>
                  <w:b/>
                  <w:sz w:val="13"/>
                  <w:szCs w:val="13"/>
                </w:rPr>
                <w:t>6</w:t>
              </w:r>
            </w:hyperlink>
            <w:r w:rsidR="00955428" w:rsidRPr="00BB5519">
              <w:rPr>
                <w:rStyle w:val="Hyperlink"/>
                <w:b/>
                <w:sz w:val="13"/>
                <w:szCs w:val="13"/>
              </w:rPr>
              <w:t>7</w:t>
            </w: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4"/>
                <w:lang w:val="de-DE"/>
              </w:rPr>
            </w:pPr>
            <w:bookmarkStart w:id="337" w:name="_Toc336338018"/>
            <w:bookmarkStart w:id="338" w:name="_Toc354054720"/>
            <w:r w:rsidRPr="00BB5519">
              <w:rPr>
                <w:rFonts w:ascii="Tahoma" w:hAnsi="Tahoma" w:cs="Tahoma"/>
                <w:b w:val="0"/>
                <w:sz w:val="14"/>
                <w:szCs w:val="14"/>
                <w:lang w:val="de-DE"/>
              </w:rPr>
              <w:t>Zusätzliche CAL zur vollständigen Verwendung von Microsoft Dynamics CRM 2011 (Nutzer &amp; Gerät)</w:t>
            </w:r>
            <w:bookmarkEnd w:id="337"/>
            <w:bookmarkEnd w:id="338"/>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FF"/>
                <w:sz w:val="13"/>
                <w:szCs w:val="13"/>
                <w:u w:val="single"/>
              </w:rPr>
            </w:pPr>
            <w:hyperlink w:anchor="_68_Microsoft_Dynamics" w:history="1">
              <w:r w:rsidR="00955428" w:rsidRPr="00BB5519">
                <w:rPr>
                  <w:rStyle w:val="Hyperlink"/>
                  <w:b/>
                  <w:sz w:val="13"/>
                  <w:szCs w:val="13"/>
                </w:rPr>
                <w:t>6</w:t>
              </w:r>
            </w:hyperlink>
            <w:r w:rsidR="00955428" w:rsidRPr="00BB5519">
              <w:rPr>
                <w:rStyle w:val="Hyperlink"/>
                <w:b/>
                <w:sz w:val="13"/>
                <w:szCs w:val="13"/>
              </w:rPr>
              <w:t>7</w:t>
            </w: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2E6EC0">
            <w:pPr>
              <w:pStyle w:val="Heading2"/>
              <w:ind w:left="0"/>
              <w:rPr>
                <w:rFonts w:ascii="Tahoma" w:hAnsi="Tahoma" w:cs="Tahoma"/>
                <w:b w:val="0"/>
                <w:sz w:val="14"/>
                <w:szCs w:val="14"/>
                <w:lang w:val="de-DE"/>
              </w:rPr>
            </w:pPr>
            <w:bookmarkStart w:id="339" w:name="_Toc336338019"/>
            <w:bookmarkStart w:id="340" w:name="_Toc354054721"/>
            <w:r w:rsidRPr="00BB5519">
              <w:rPr>
                <w:rFonts w:ascii="Tahoma" w:hAnsi="Tahoma" w:cs="Tahoma"/>
                <w:b w:val="0"/>
                <w:sz w:val="14"/>
                <w:szCs w:val="14"/>
                <w:lang w:val="de-DE"/>
              </w:rPr>
              <w:t>CAL zur Eingeschränkten Verwendung von</w:t>
            </w:r>
            <w:r w:rsidR="002E6EC0">
              <w:rPr>
                <w:rFonts w:ascii="Tahoma" w:hAnsi="Tahoma" w:cs="Tahoma"/>
                <w:b w:val="0"/>
                <w:sz w:val="14"/>
                <w:szCs w:val="14"/>
                <w:lang w:val="de-DE"/>
              </w:rPr>
              <w:t> </w:t>
            </w:r>
            <w:r w:rsidRPr="00BB5519">
              <w:rPr>
                <w:rFonts w:ascii="Tahoma" w:hAnsi="Tahoma" w:cs="Tahoma"/>
                <w:b w:val="0"/>
                <w:sz w:val="14"/>
                <w:szCs w:val="14"/>
                <w:lang w:val="de-DE"/>
              </w:rPr>
              <w:t>Microsoft Dynamics CRM 2011 (Nutzer</w:t>
            </w:r>
            <w:r w:rsidR="002E6EC0">
              <w:rPr>
                <w:rFonts w:ascii="Tahoma" w:hAnsi="Tahoma" w:cs="Tahoma"/>
                <w:b w:val="0"/>
                <w:sz w:val="14"/>
                <w:szCs w:val="14"/>
                <w:lang w:val="de-DE"/>
              </w:rPr>
              <w:t> </w:t>
            </w:r>
            <w:r w:rsidRPr="00BB5519">
              <w:rPr>
                <w:rFonts w:ascii="Tahoma" w:hAnsi="Tahoma" w:cs="Tahoma"/>
                <w:b w:val="0"/>
                <w:sz w:val="14"/>
                <w:szCs w:val="14"/>
                <w:lang w:val="de-DE"/>
              </w:rPr>
              <w:t>&amp;</w:t>
            </w:r>
            <w:r w:rsidR="002E6EC0">
              <w:rPr>
                <w:rFonts w:ascii="Tahoma" w:hAnsi="Tahoma" w:cs="Tahoma"/>
                <w:b w:val="0"/>
                <w:sz w:val="14"/>
                <w:szCs w:val="14"/>
                <w:lang w:val="de-DE"/>
              </w:rPr>
              <w:t> </w:t>
            </w:r>
            <w:r w:rsidRPr="00BB5519">
              <w:rPr>
                <w:rFonts w:ascii="Tahoma" w:hAnsi="Tahoma" w:cs="Tahoma"/>
                <w:b w:val="0"/>
                <w:sz w:val="14"/>
                <w:szCs w:val="14"/>
                <w:lang w:val="de-DE"/>
              </w:rPr>
              <w:t>Gerät)</w:t>
            </w:r>
            <w:bookmarkEnd w:id="339"/>
            <w:bookmarkEnd w:id="340"/>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68_Microsoft_Dynamics" w:history="1">
              <w:r w:rsidR="00955428" w:rsidRPr="00BB5519">
                <w:rPr>
                  <w:rStyle w:val="Hyperlink"/>
                  <w:b/>
                  <w:sz w:val="13"/>
                  <w:szCs w:val="13"/>
                </w:rPr>
                <w:t>6</w:t>
              </w:r>
            </w:hyperlink>
            <w:r w:rsidR="00955428" w:rsidRPr="00BB5519">
              <w:rPr>
                <w:rStyle w:val="Hyperlink"/>
                <w:b/>
                <w:sz w:val="13"/>
                <w:szCs w:val="13"/>
              </w:rPr>
              <w:t>7</w:t>
            </w: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4"/>
                <w:lang w:val="de-DE"/>
              </w:rPr>
            </w:pPr>
            <w:bookmarkStart w:id="341" w:name="_Toc336338020"/>
            <w:bookmarkStart w:id="342" w:name="_Toc354054722"/>
            <w:r w:rsidRPr="00BB5519">
              <w:rPr>
                <w:rFonts w:ascii="Tahoma" w:hAnsi="Tahoma" w:cs="Tahoma"/>
                <w:b w:val="0"/>
                <w:sz w:val="14"/>
                <w:szCs w:val="14"/>
                <w:lang w:val="de-DE"/>
              </w:rPr>
              <w:t>Zusätzliche CAL zur Eingeschränkten Verwendung von Microsoft Dynamics CRM 2011 (Nutzer &amp; Gerät)</w:t>
            </w:r>
            <w:bookmarkEnd w:id="341"/>
            <w:bookmarkEnd w:id="342"/>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FF"/>
                <w:sz w:val="13"/>
                <w:szCs w:val="13"/>
                <w:u w:val="single"/>
              </w:rPr>
            </w:pPr>
            <w:hyperlink w:anchor="_68_Microsoft_Dynamics" w:history="1">
              <w:r w:rsidR="00955428" w:rsidRPr="00BB5519">
                <w:rPr>
                  <w:rStyle w:val="Hyperlink"/>
                  <w:b/>
                  <w:sz w:val="13"/>
                  <w:szCs w:val="13"/>
                </w:rPr>
                <w:t>6</w:t>
              </w:r>
            </w:hyperlink>
            <w:r w:rsidR="00955428" w:rsidRPr="00BB5519">
              <w:rPr>
                <w:rStyle w:val="Hyperlink"/>
                <w:b/>
                <w:sz w:val="13"/>
                <w:szCs w:val="13"/>
              </w:rPr>
              <w:t>7</w:t>
            </w: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ind w:left="0"/>
              <w:rPr>
                <w:rFonts w:ascii="Tahoma" w:hAnsi="Tahoma" w:cs="Tahoma"/>
                <w:b w:val="0"/>
                <w:sz w:val="14"/>
                <w:szCs w:val="14"/>
              </w:rPr>
            </w:pPr>
            <w:bookmarkStart w:id="343" w:name="_Toc336338021"/>
            <w:bookmarkStart w:id="344" w:name="_Toc354054723"/>
            <w:r w:rsidRPr="00BB5519">
              <w:rPr>
                <w:rFonts w:ascii="Tahoma" w:hAnsi="Tahoma" w:cs="Tahoma"/>
                <w:b w:val="0"/>
                <w:sz w:val="14"/>
                <w:szCs w:val="14"/>
              </w:rPr>
              <w:t>Microsoft Dynamics CRM Server 2011</w:t>
            </w:r>
            <w:bookmarkEnd w:id="343"/>
            <w:bookmarkEnd w:id="344"/>
            <w:r w:rsidRPr="00BB5519">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FF"/>
                <w:sz w:val="13"/>
                <w:szCs w:val="13"/>
                <w:u w:val="single"/>
              </w:rPr>
            </w:pPr>
            <w:hyperlink w:anchor="_66_Microsoft_Dynamics" w:history="1">
              <w:r w:rsidR="00955428" w:rsidRPr="00BB5519">
                <w:rPr>
                  <w:rStyle w:val="Hyperlink"/>
                  <w:b/>
                  <w:sz w:val="13"/>
                  <w:szCs w:val="13"/>
                </w:rPr>
                <w:t>6</w:t>
              </w:r>
            </w:hyperlink>
            <w:r w:rsidR="00955428" w:rsidRPr="00BB5519">
              <w:rPr>
                <w:rStyle w:val="Hyperlink"/>
                <w:b/>
                <w:sz w:val="13"/>
                <w:szCs w:val="13"/>
              </w:rPr>
              <w:t>8</w:t>
            </w: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0"/>
              <w:rPr>
                <w:rFonts w:ascii="Tahoma" w:hAnsi="Tahoma" w:cs="Tahoma"/>
                <w:b w:val="0"/>
                <w:sz w:val="14"/>
                <w:szCs w:val="14"/>
              </w:rPr>
            </w:pPr>
            <w:bookmarkStart w:id="345" w:name="_Toc336338022"/>
            <w:bookmarkStart w:id="346" w:name="_Toc354054724"/>
            <w:r w:rsidRPr="00BB5519">
              <w:rPr>
                <w:rFonts w:ascii="Tahoma" w:hAnsi="Tahoma" w:cs="Tahoma"/>
                <w:b w:val="0"/>
                <w:sz w:val="14"/>
                <w:szCs w:val="14"/>
              </w:rPr>
              <w:t>Microsoft Dynamics CRM Workgroup Server 2011</w:t>
            </w:r>
            <w:bookmarkEnd w:id="345"/>
            <w:bookmarkEnd w:id="346"/>
            <w:r w:rsidRPr="00BB5519">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b/>
                <w:color w:val="0000FF"/>
                <w:sz w:val="13"/>
                <w:szCs w:val="13"/>
                <w:u w:val="single"/>
              </w:rPr>
            </w:pPr>
            <w:hyperlink w:anchor="_66_Microsoft_Dynamics" w:history="1">
              <w:r w:rsidR="00D7018C" w:rsidRPr="00BB5519">
                <w:rPr>
                  <w:rStyle w:val="Hyperlink"/>
                  <w:b/>
                  <w:sz w:val="13"/>
                  <w:szCs w:val="13"/>
                </w:rPr>
                <w:t>6</w:t>
              </w:r>
            </w:hyperlink>
            <w:r w:rsidR="00D7018C" w:rsidRPr="00BB5519">
              <w:rPr>
                <w:rStyle w:val="Hyperlink"/>
                <w:b/>
                <w:sz w:val="13"/>
                <w:szCs w:val="13"/>
              </w:rPr>
              <w:t>8</w:t>
            </w: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60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13</w:t>
            </w:r>
          </w:p>
        </w:tc>
        <w:tc>
          <w:tcPr>
            <w:tcW w:w="450" w:type="dxa"/>
            <w:gridSpan w:val="2"/>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1A63C6" w:rsidRPr="00BB5519" w:rsidDel="00436016"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ind w:left="-15" w:firstLine="15"/>
              <w:rPr>
                <w:rFonts w:ascii="Tahoma" w:hAnsi="Tahoma" w:cs="Tahoma"/>
                <w:b w:val="0"/>
                <w:sz w:val="14"/>
                <w:szCs w:val="16"/>
              </w:rPr>
            </w:pPr>
            <w:bookmarkStart w:id="347" w:name="_Toc336338023"/>
            <w:bookmarkStart w:id="348" w:name="_Toc354054725"/>
            <w:r w:rsidRPr="00BB5519">
              <w:rPr>
                <w:rFonts w:ascii="Tahoma" w:hAnsi="Tahoma" w:cs="Tahoma"/>
                <w:b w:val="0"/>
                <w:sz w:val="14"/>
                <w:szCs w:val="14"/>
              </w:rPr>
              <w:t>Microsoft Translator API</w:t>
            </w:r>
            <w:bookmarkEnd w:id="347"/>
            <w:bookmarkEnd w:id="348"/>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gridSpan w:val="2"/>
            <w:tcBorders>
              <w:left w:val="single" w:sz="18" w:space="0" w:color="auto"/>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36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r>
      <w:tr w:rsidR="006D1AA6" w:rsidRPr="00BB5519" w:rsidDel="00436016" w:rsidTr="004064E2">
        <w:trPr>
          <w:trHeight w:val="145"/>
        </w:trPr>
        <w:tc>
          <w:tcPr>
            <w:tcW w:w="2556" w:type="dxa"/>
            <w:tcBorders>
              <w:bottom w:val="single" w:sz="4" w:space="0" w:color="auto"/>
            </w:tcBorders>
            <w:shd w:val="clear" w:color="auto" w:fill="FABF8F"/>
            <w:vAlign w:val="center"/>
          </w:tcPr>
          <w:p w:rsidR="006D1AA6" w:rsidRPr="00BB5519" w:rsidRDefault="006D1AA6" w:rsidP="001A63C6">
            <w:pPr>
              <w:pStyle w:val="Heading2"/>
              <w:ind w:left="-15" w:firstLine="15"/>
              <w:rPr>
                <w:rFonts w:ascii="Tahoma" w:hAnsi="Tahoma" w:cs="Tahoma"/>
                <w:b w:val="0"/>
                <w:sz w:val="14"/>
                <w:szCs w:val="14"/>
              </w:rPr>
            </w:pPr>
            <w:bookmarkStart w:id="349" w:name="_Toc354054726"/>
            <w:r w:rsidRPr="00BB5519">
              <w:rPr>
                <w:rFonts w:ascii="Tahoma" w:hAnsi="Tahoma" w:cs="Tahoma"/>
                <w:b w:val="0"/>
                <w:sz w:val="14"/>
                <w:szCs w:val="14"/>
              </w:rPr>
              <w:t>Office 365 Midsize Business (Nutzer-AL)</w:t>
            </w:r>
            <w:bookmarkEnd w:id="349"/>
          </w:p>
        </w:tc>
        <w:tc>
          <w:tcPr>
            <w:tcW w:w="630" w:type="dxa"/>
            <w:tcBorders>
              <w:bottom w:val="single" w:sz="4" w:space="0" w:color="auto"/>
            </w:tcBorders>
            <w:shd w:val="clear" w:color="auto" w:fill="FABF8F"/>
            <w:vAlign w:val="center"/>
          </w:tcPr>
          <w:p w:rsidR="006D1AA6" w:rsidRPr="00BB5519" w:rsidRDefault="006D1AA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6D1AA6" w:rsidRPr="00BB5519" w:rsidRDefault="006D1AA6" w:rsidP="001A63C6">
            <w:pPr>
              <w:pStyle w:val="TableText"/>
              <w:widowControl w:val="0"/>
              <w:spacing w:before="120"/>
              <w:rPr>
                <w:rFonts w:ascii="Tahoma" w:hAnsi="Tahoma" w:cs="Tahoma"/>
                <w:color w:val="000000"/>
                <w:sz w:val="13"/>
              </w:rPr>
            </w:pPr>
            <w:r w:rsidRPr="00BB551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BB5519"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p>
        </w:tc>
        <w:tc>
          <w:tcPr>
            <w:tcW w:w="1260" w:type="dxa"/>
            <w:gridSpan w:val="4"/>
            <w:tcBorders>
              <w:left w:val="single" w:sz="18" w:space="0" w:color="auto"/>
              <w:bottom w:val="single" w:sz="4" w:space="0" w:color="auto"/>
              <w:right w:val="single" w:sz="18"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BB5519"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6D1AA6" w:rsidRPr="00BB5519" w:rsidRDefault="006D1AA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6D1AA6" w:rsidRPr="00BB5519" w:rsidDel="00436016" w:rsidRDefault="006D1AA6" w:rsidP="001A63C6">
            <w:pPr>
              <w:pStyle w:val="TableText"/>
              <w:widowControl w:val="0"/>
              <w:rPr>
                <w:rFonts w:ascii="Tahoma" w:hAnsi="Tahoma" w:cs="Tahoma"/>
                <w:sz w:val="13"/>
              </w:rPr>
            </w:pPr>
            <w:r w:rsidRPr="00BB5519">
              <w:rPr>
                <w:rFonts w:ascii="Tahoma" w:hAnsi="Tahoma" w:cs="Tahoma"/>
                <w:sz w:val="13"/>
              </w:rPr>
              <w:t>OL/OV</w:t>
            </w:r>
          </w:p>
        </w:tc>
      </w:tr>
      <w:tr w:rsidR="00B33D0E" w:rsidRPr="00BB5519" w:rsidDel="00436016" w:rsidTr="004064E2">
        <w:trPr>
          <w:trHeight w:val="145"/>
        </w:trPr>
        <w:tc>
          <w:tcPr>
            <w:tcW w:w="2556" w:type="dxa"/>
            <w:tcBorders>
              <w:bottom w:val="single" w:sz="4" w:space="0" w:color="auto"/>
            </w:tcBorders>
            <w:shd w:val="clear" w:color="auto" w:fill="FFFFFF"/>
            <w:vAlign w:val="center"/>
          </w:tcPr>
          <w:p w:rsidR="001A63C6" w:rsidRPr="00BB5519" w:rsidRDefault="001A63C6" w:rsidP="001A63C6">
            <w:pPr>
              <w:pStyle w:val="Heading2"/>
              <w:ind w:left="-15" w:firstLine="15"/>
              <w:rPr>
                <w:rFonts w:ascii="Tahoma" w:hAnsi="Tahoma" w:cs="Tahoma"/>
                <w:b w:val="0"/>
                <w:sz w:val="14"/>
                <w:szCs w:val="16"/>
              </w:rPr>
            </w:pPr>
            <w:bookmarkStart w:id="350" w:name="_Toc336338024"/>
            <w:bookmarkStart w:id="351" w:name="_Toc354054727"/>
            <w:r w:rsidRPr="00BB5519">
              <w:rPr>
                <w:rFonts w:ascii="Tahoma" w:hAnsi="Tahoma" w:cs="Tahoma"/>
                <w:b w:val="0"/>
                <w:sz w:val="14"/>
                <w:szCs w:val="16"/>
              </w:rPr>
              <w:t>Office 365 Education A2 (Nutzer-AL)</w:t>
            </w:r>
            <w:bookmarkEnd w:id="350"/>
            <w:bookmarkEnd w:id="351"/>
          </w:p>
        </w:tc>
        <w:tc>
          <w:tcPr>
            <w:tcW w:w="630" w:type="dxa"/>
            <w:tcBorders>
              <w:bottom w:val="single" w:sz="4" w:space="0" w:color="auto"/>
            </w:tcBorders>
            <w:shd w:val="clear" w:color="auto" w:fill="FFFFFF"/>
            <w:vAlign w:val="center"/>
          </w:tcPr>
          <w:p w:rsidR="001A63C6" w:rsidRPr="00BB5519" w:rsidRDefault="005F5403" w:rsidP="001A63C6">
            <w:pPr>
              <w:pStyle w:val="TableText"/>
              <w:widowControl w:val="0"/>
              <w:rPr>
                <w:b/>
                <w:color w:val="0000FF"/>
                <w:sz w:val="13"/>
                <w:szCs w:val="13"/>
                <w:u w:val="single"/>
              </w:rPr>
            </w:pPr>
            <w:hyperlink w:anchor="_45_Office_365" w:history="1">
              <w:r w:rsidR="00955428" w:rsidRPr="00BB5519">
                <w:rPr>
                  <w:rStyle w:val="Hyperlink"/>
                  <w:b/>
                  <w:sz w:val="13"/>
                  <w:szCs w:val="13"/>
                </w:rPr>
                <w:t>4</w:t>
              </w:r>
            </w:hyperlink>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A, ST (nur EES)</w:t>
            </w: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r>
      <w:tr w:rsidR="00B33D0E" w:rsidRPr="00BB5519" w:rsidDel="00436016"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ind w:left="-15" w:firstLine="15"/>
              <w:rPr>
                <w:rFonts w:ascii="Tahoma" w:hAnsi="Tahoma" w:cs="Tahoma"/>
                <w:b w:val="0"/>
                <w:sz w:val="14"/>
                <w:szCs w:val="16"/>
              </w:rPr>
            </w:pPr>
            <w:bookmarkStart w:id="352" w:name="_Toc336338025"/>
            <w:bookmarkStart w:id="353" w:name="_Toc354054728"/>
            <w:r w:rsidRPr="00BB5519">
              <w:rPr>
                <w:rFonts w:ascii="Tahoma" w:hAnsi="Tahoma" w:cs="Tahoma"/>
                <w:b w:val="0"/>
                <w:sz w:val="14"/>
                <w:szCs w:val="16"/>
              </w:rPr>
              <w:t>Office 365 Education A3 (Nutzer-AL)</w:t>
            </w:r>
            <w:bookmarkEnd w:id="352"/>
            <w:bookmarkEnd w:id="353"/>
          </w:p>
        </w:tc>
        <w:tc>
          <w:tcPr>
            <w:tcW w:w="630" w:type="dxa"/>
            <w:tcBorders>
              <w:bottom w:val="single" w:sz="4" w:space="0" w:color="auto"/>
            </w:tcBorders>
            <w:shd w:val="clear" w:color="auto" w:fill="FABF8F"/>
            <w:vAlign w:val="center"/>
          </w:tcPr>
          <w:p w:rsidR="001A63C6" w:rsidRPr="00BB5519" w:rsidRDefault="005F5403" w:rsidP="001A63C6">
            <w:pPr>
              <w:pStyle w:val="TableText"/>
              <w:widowControl w:val="0"/>
              <w:rPr>
                <w:b/>
                <w:color w:val="0000FF"/>
                <w:sz w:val="13"/>
                <w:szCs w:val="13"/>
                <w:u w:val="single"/>
              </w:rPr>
            </w:pPr>
            <w:hyperlink w:anchor="_45_Office_365" w:history="1">
              <w:r w:rsidR="00955428" w:rsidRPr="00BB5519">
                <w:rPr>
                  <w:rStyle w:val="Hyperlink"/>
                  <w:b/>
                  <w:sz w:val="13"/>
                  <w:szCs w:val="13"/>
                </w:rPr>
                <w:t>4</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BB5519" w:rsidDel="00436016" w:rsidRDefault="001A63C6" w:rsidP="001A63C6">
            <w:pPr>
              <w:pStyle w:val="TableText"/>
              <w:widowControl w:val="0"/>
              <w:spacing w:before="120"/>
              <w:rPr>
                <w:rFonts w:ascii="Tahoma" w:hAnsi="Tahoma" w:cs="Tahoma"/>
                <w:sz w:val="13"/>
              </w:rPr>
            </w:pPr>
            <w:r w:rsidRPr="00BB5519">
              <w:rPr>
                <w:rFonts w:ascii="Tahoma" w:hAnsi="Tahoma" w:cs="Tahoma"/>
                <w:sz w:val="13"/>
              </w:rPr>
              <w:t>EOLS (nur EES)</w:t>
            </w: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r>
      <w:tr w:rsidR="00B33D0E" w:rsidRPr="00BB5519" w:rsidDel="00436016" w:rsidTr="004064E2">
        <w:trPr>
          <w:trHeight w:val="145"/>
        </w:trPr>
        <w:tc>
          <w:tcPr>
            <w:tcW w:w="2556" w:type="dxa"/>
            <w:tcBorders>
              <w:bottom w:val="single" w:sz="4" w:space="0" w:color="auto"/>
            </w:tcBorders>
            <w:shd w:val="clear" w:color="auto" w:fill="FFFFFF"/>
            <w:vAlign w:val="center"/>
          </w:tcPr>
          <w:p w:rsidR="001A63C6" w:rsidRPr="00BB5519" w:rsidRDefault="001A63C6" w:rsidP="005B6712">
            <w:pPr>
              <w:pStyle w:val="Heading2"/>
              <w:spacing w:beforeLines="20" w:before="48" w:afterLines="20" w:after="48"/>
              <w:ind w:left="0" w:firstLine="15"/>
              <w:rPr>
                <w:rFonts w:ascii="Tahoma" w:hAnsi="Tahoma" w:cs="Tahoma"/>
                <w:b w:val="0"/>
                <w:sz w:val="14"/>
                <w:szCs w:val="16"/>
              </w:rPr>
            </w:pPr>
            <w:bookmarkStart w:id="354" w:name="_Toc336338026"/>
            <w:bookmarkStart w:id="355" w:name="_Toc354054729"/>
            <w:r w:rsidRPr="00BB5519">
              <w:rPr>
                <w:rFonts w:ascii="Tahoma" w:hAnsi="Tahoma" w:cs="Tahoma"/>
                <w:b w:val="0"/>
                <w:sz w:val="14"/>
                <w:szCs w:val="16"/>
              </w:rPr>
              <w:t>Office 365 Education A4 (Nutzer-AL)</w:t>
            </w:r>
            <w:bookmarkEnd w:id="354"/>
            <w:bookmarkEnd w:id="355"/>
          </w:p>
        </w:tc>
        <w:tc>
          <w:tcPr>
            <w:tcW w:w="630" w:type="dxa"/>
            <w:tcBorders>
              <w:bottom w:val="single" w:sz="4" w:space="0" w:color="auto"/>
            </w:tcBorders>
            <w:shd w:val="clear" w:color="auto" w:fill="FFFFFF"/>
            <w:vAlign w:val="center"/>
          </w:tcPr>
          <w:p w:rsidR="001A63C6" w:rsidRPr="00BB5519" w:rsidRDefault="005F5403" w:rsidP="001A63C6">
            <w:pPr>
              <w:pStyle w:val="TableText"/>
              <w:widowControl w:val="0"/>
              <w:rPr>
                <w:b/>
                <w:color w:val="0000FF"/>
                <w:sz w:val="13"/>
                <w:szCs w:val="13"/>
                <w:u w:val="single"/>
              </w:rPr>
            </w:pPr>
            <w:hyperlink w:anchor="_45_Office_365" w:history="1">
              <w:r w:rsidR="00955428" w:rsidRPr="00BB5519">
                <w:rPr>
                  <w:rStyle w:val="Hyperlink"/>
                  <w:b/>
                  <w:sz w:val="13"/>
                  <w:szCs w:val="13"/>
                </w:rPr>
                <w:t>4</w:t>
              </w:r>
            </w:hyperlink>
          </w:p>
        </w:tc>
        <w:tc>
          <w:tcPr>
            <w:tcW w:w="450" w:type="dxa"/>
            <w:tcBorders>
              <w:bottom w:val="single" w:sz="4" w:space="0" w:color="auto"/>
            </w:tcBorders>
            <w:shd w:val="clear" w:color="auto" w:fill="FFFFF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BB5519" w:rsidDel="00436016" w:rsidRDefault="001A63C6" w:rsidP="001A63C6">
            <w:pPr>
              <w:pStyle w:val="TableText"/>
              <w:widowControl w:val="0"/>
              <w:spacing w:before="120"/>
              <w:rPr>
                <w:rFonts w:ascii="Tahoma" w:hAnsi="Tahoma" w:cs="Tahoma"/>
                <w:sz w:val="13"/>
              </w:rPr>
            </w:pPr>
            <w:r w:rsidRPr="00BB5519">
              <w:rPr>
                <w:rFonts w:ascii="Tahoma" w:hAnsi="Tahoma" w:cs="Tahoma"/>
                <w:sz w:val="13"/>
              </w:rPr>
              <w:t>EOLS (nur EES)</w:t>
            </w: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r>
      <w:tr w:rsidR="00B33D0E" w:rsidRPr="00BB5519" w:rsidDel="00436016" w:rsidTr="004064E2">
        <w:trPr>
          <w:trHeight w:val="145"/>
        </w:trPr>
        <w:tc>
          <w:tcPr>
            <w:tcW w:w="2556" w:type="dxa"/>
            <w:tcBorders>
              <w:bottom w:val="single" w:sz="4" w:space="0" w:color="auto"/>
            </w:tcBorders>
            <w:shd w:val="clear" w:color="auto" w:fill="FABF8F"/>
            <w:vAlign w:val="center"/>
          </w:tcPr>
          <w:p w:rsidR="001A63C6" w:rsidRPr="00BB5519" w:rsidDel="00436016" w:rsidRDefault="001A63C6" w:rsidP="005B6712">
            <w:pPr>
              <w:pStyle w:val="Heading2"/>
              <w:spacing w:beforeLines="20" w:before="48" w:afterLines="20" w:after="48"/>
              <w:ind w:left="0" w:firstLine="15"/>
              <w:rPr>
                <w:rFonts w:ascii="Tahoma" w:hAnsi="Tahoma" w:cs="Tahoma"/>
                <w:b w:val="0"/>
                <w:sz w:val="14"/>
                <w:szCs w:val="16"/>
              </w:rPr>
            </w:pPr>
            <w:bookmarkStart w:id="356" w:name="_Toc336338027"/>
            <w:bookmarkStart w:id="357" w:name="_Toc354054730"/>
            <w:r w:rsidRPr="00BB5519">
              <w:rPr>
                <w:rFonts w:ascii="Tahoma" w:hAnsi="Tahoma" w:cs="Tahoma"/>
                <w:b w:val="0"/>
                <w:sz w:val="14"/>
                <w:szCs w:val="16"/>
              </w:rPr>
              <w:t>Office 365 Enterprise E1 (Nutzer-AL)</w:t>
            </w:r>
            <w:bookmarkEnd w:id="356"/>
            <w:bookmarkEnd w:id="357"/>
          </w:p>
        </w:tc>
        <w:tc>
          <w:tcPr>
            <w:tcW w:w="630" w:type="dxa"/>
            <w:tcBorders>
              <w:bottom w:val="single" w:sz="4" w:space="0" w:color="auto"/>
            </w:tcBorders>
            <w:shd w:val="clear" w:color="auto" w:fill="FABF8F"/>
            <w:vAlign w:val="center"/>
          </w:tcPr>
          <w:p w:rsidR="001A63C6" w:rsidRPr="00BB5519" w:rsidDel="00436016" w:rsidRDefault="005F5403" w:rsidP="002E59B1">
            <w:pPr>
              <w:pStyle w:val="TableText"/>
              <w:widowControl w:val="0"/>
              <w:rPr>
                <w:b/>
                <w:color w:val="0000FF"/>
                <w:sz w:val="13"/>
                <w:szCs w:val="13"/>
                <w:u w:val="single"/>
              </w:rPr>
            </w:pPr>
            <w:hyperlink w:anchor="_70_68_Office" w:history="1">
              <w:r w:rsidR="00955428" w:rsidRPr="00BB5519">
                <w:rPr>
                  <w:rStyle w:val="Hyperlink"/>
                  <w:b/>
                  <w:sz w:val="13"/>
                  <w:szCs w:val="13"/>
                </w:rPr>
                <w:t>6</w:t>
              </w:r>
            </w:hyperlink>
            <w:r w:rsidR="00955428" w:rsidRPr="00BB5519">
              <w:rPr>
                <w:rStyle w:val="Hyperlink"/>
                <w:b/>
                <w:sz w:val="13"/>
                <w:szCs w:val="13"/>
              </w:rPr>
              <w:t>9</w:t>
            </w:r>
            <w:hyperlink w:anchor="_65_Office_365" w:history="1"/>
            <w:hyperlink w:anchor="_71_Office_365_1" w:history="1"/>
          </w:p>
        </w:tc>
        <w:tc>
          <w:tcPr>
            <w:tcW w:w="450" w:type="dxa"/>
            <w:tcBorders>
              <w:bottom w:val="single" w:sz="4" w:space="0" w:color="auto"/>
            </w:tcBorders>
            <w:shd w:val="clear" w:color="auto" w:fill="FABF8F"/>
          </w:tcPr>
          <w:p w:rsidR="001A63C6" w:rsidRPr="00BB5519" w:rsidDel="00436016"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r>
      <w:tr w:rsidR="00B33D0E" w:rsidRPr="00BB5519" w:rsidDel="00436016" w:rsidTr="004064E2">
        <w:trPr>
          <w:trHeight w:val="145"/>
        </w:trPr>
        <w:tc>
          <w:tcPr>
            <w:tcW w:w="2556" w:type="dxa"/>
            <w:tcBorders>
              <w:bottom w:val="single" w:sz="4" w:space="0" w:color="auto"/>
            </w:tcBorders>
            <w:shd w:val="clear" w:color="auto" w:fill="FFFFFF"/>
            <w:vAlign w:val="center"/>
          </w:tcPr>
          <w:p w:rsidR="001A63C6" w:rsidRPr="00BB5519" w:rsidDel="00436016" w:rsidRDefault="001A63C6" w:rsidP="005B6712">
            <w:pPr>
              <w:pStyle w:val="Heading2"/>
              <w:spacing w:beforeLines="20" w:before="48" w:afterLines="20" w:after="48"/>
              <w:ind w:left="0" w:firstLine="15"/>
              <w:rPr>
                <w:rFonts w:ascii="Tahoma" w:hAnsi="Tahoma" w:cs="Tahoma"/>
                <w:b w:val="0"/>
                <w:sz w:val="14"/>
                <w:szCs w:val="16"/>
                <w:lang w:val="it-IT"/>
              </w:rPr>
            </w:pPr>
            <w:bookmarkStart w:id="358" w:name="_Toc336338028"/>
            <w:bookmarkStart w:id="359" w:name="_Toc354054731"/>
            <w:r w:rsidRPr="00BB5519">
              <w:rPr>
                <w:rFonts w:ascii="Tahoma" w:hAnsi="Tahoma" w:cs="Tahoma"/>
                <w:b w:val="0"/>
                <w:sz w:val="14"/>
                <w:szCs w:val="16"/>
                <w:lang w:val="it-IT"/>
              </w:rPr>
              <w:t>Office 365 Enterprise E2 – E4 (Nutzer-AL)</w:t>
            </w:r>
            <w:bookmarkEnd w:id="358"/>
            <w:bookmarkEnd w:id="359"/>
          </w:p>
        </w:tc>
        <w:tc>
          <w:tcPr>
            <w:tcW w:w="630" w:type="dxa"/>
            <w:tcBorders>
              <w:bottom w:val="single" w:sz="4" w:space="0" w:color="auto"/>
            </w:tcBorders>
            <w:shd w:val="clear" w:color="auto" w:fill="FFFFFF"/>
            <w:vAlign w:val="center"/>
          </w:tcPr>
          <w:p w:rsidR="001A63C6" w:rsidRPr="00BB5519" w:rsidDel="00436016" w:rsidRDefault="005F5403" w:rsidP="00132E08">
            <w:pPr>
              <w:pStyle w:val="TableText"/>
              <w:widowControl w:val="0"/>
              <w:rPr>
                <w:b/>
                <w:color w:val="0000FF"/>
                <w:sz w:val="13"/>
                <w:szCs w:val="13"/>
                <w:u w:val="single"/>
              </w:rPr>
            </w:pPr>
            <w:hyperlink w:anchor="_6_Office_365_1" w:history="1">
              <w:r w:rsidR="00132E08" w:rsidRPr="00D7018C">
                <w:rPr>
                  <w:rStyle w:val="Hyperlink"/>
                  <w:b/>
                  <w:sz w:val="13"/>
                  <w:szCs w:val="13"/>
                </w:rPr>
                <w:t>6</w:t>
              </w:r>
            </w:hyperlink>
            <w:hyperlink w:anchor="_65_Office_365" w:history="1"/>
          </w:p>
        </w:tc>
        <w:tc>
          <w:tcPr>
            <w:tcW w:w="450" w:type="dxa"/>
            <w:tcBorders>
              <w:bottom w:val="single" w:sz="4" w:space="0" w:color="auto"/>
            </w:tcBorders>
            <w:shd w:val="clear" w:color="auto" w:fill="FFFFFF"/>
          </w:tcPr>
          <w:p w:rsidR="001A63C6" w:rsidRPr="00BB5519" w:rsidDel="00436016"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BB5519"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FFFFF"/>
            <w:vAlign w:val="center"/>
          </w:tcPr>
          <w:p w:rsidR="001A63C6" w:rsidRPr="00BB5519" w:rsidDel="00436016" w:rsidRDefault="001A63C6" w:rsidP="001A63C6">
            <w:pPr>
              <w:pStyle w:val="TableText"/>
              <w:widowControl w:val="0"/>
              <w:rPr>
                <w:rFonts w:ascii="Tahoma" w:hAnsi="Tahoma" w:cs="Tahoma"/>
                <w:sz w:val="13"/>
              </w:rPr>
            </w:pPr>
          </w:p>
        </w:tc>
      </w:tr>
      <w:tr w:rsidR="00B33D0E" w:rsidRPr="00BB5519" w:rsidDel="00436016" w:rsidTr="004064E2">
        <w:trPr>
          <w:trHeight w:val="145"/>
        </w:trPr>
        <w:tc>
          <w:tcPr>
            <w:tcW w:w="2556" w:type="dxa"/>
            <w:tcBorders>
              <w:bottom w:val="single" w:sz="4" w:space="0" w:color="auto"/>
            </w:tcBorders>
            <w:shd w:val="clear" w:color="auto" w:fill="FABF8F"/>
            <w:vAlign w:val="center"/>
          </w:tcPr>
          <w:p w:rsidR="001A63C6" w:rsidRPr="00BB5519" w:rsidDel="00436016" w:rsidRDefault="001A63C6" w:rsidP="005B6712">
            <w:pPr>
              <w:pStyle w:val="Heading2"/>
              <w:spacing w:beforeLines="20" w:before="48" w:afterLines="20" w:after="48"/>
              <w:ind w:left="0" w:firstLine="15"/>
              <w:rPr>
                <w:rFonts w:ascii="Tahoma" w:hAnsi="Tahoma" w:cs="Tahoma"/>
                <w:b w:val="0"/>
                <w:sz w:val="14"/>
                <w:szCs w:val="16"/>
                <w:lang w:val="de-DE"/>
              </w:rPr>
            </w:pPr>
            <w:bookmarkStart w:id="360" w:name="_Toc336338030"/>
            <w:bookmarkStart w:id="361" w:name="_Toc354054732"/>
            <w:r w:rsidRPr="00BB5519">
              <w:rPr>
                <w:rFonts w:ascii="Tahoma" w:hAnsi="Tahoma" w:cs="Tahoma"/>
                <w:b w:val="0"/>
                <w:sz w:val="14"/>
                <w:szCs w:val="16"/>
                <w:lang w:val="de-DE"/>
              </w:rPr>
              <w:t>Office 365 Enterprise K1 (Nutzer-AL)</w:t>
            </w:r>
            <w:bookmarkEnd w:id="360"/>
            <w:bookmarkEnd w:id="361"/>
          </w:p>
        </w:tc>
        <w:tc>
          <w:tcPr>
            <w:tcW w:w="630" w:type="dxa"/>
            <w:tcBorders>
              <w:bottom w:val="single" w:sz="4" w:space="0" w:color="auto"/>
            </w:tcBorders>
            <w:shd w:val="clear" w:color="auto" w:fill="FABF8F"/>
            <w:vAlign w:val="center"/>
          </w:tcPr>
          <w:p w:rsidR="001A63C6" w:rsidRPr="00BB5519" w:rsidDel="00436016" w:rsidRDefault="005F5403" w:rsidP="002E59B1">
            <w:pPr>
              <w:pStyle w:val="TableText"/>
              <w:widowControl w:val="0"/>
              <w:rPr>
                <w:b/>
                <w:color w:val="0000FF"/>
                <w:sz w:val="13"/>
                <w:szCs w:val="13"/>
                <w:u w:val="single"/>
              </w:rPr>
            </w:pPr>
            <w:hyperlink w:anchor="_69_Office_365_1" w:history="1">
              <w:r w:rsidR="002E59B1" w:rsidRPr="004F7501">
                <w:rPr>
                  <w:rStyle w:val="Hyperlink"/>
                  <w:b/>
                  <w:sz w:val="13"/>
                  <w:szCs w:val="13"/>
                </w:rPr>
                <w:t>70</w:t>
              </w:r>
            </w:hyperlink>
            <w:hyperlink w:anchor="_69_Office_365_1" w:history="1"/>
          </w:p>
        </w:tc>
        <w:tc>
          <w:tcPr>
            <w:tcW w:w="450" w:type="dxa"/>
            <w:tcBorders>
              <w:bottom w:val="single" w:sz="4" w:space="0" w:color="auto"/>
            </w:tcBorders>
            <w:shd w:val="clear" w:color="auto" w:fill="FABF8F"/>
          </w:tcPr>
          <w:p w:rsidR="001A63C6" w:rsidRPr="00BB5519" w:rsidDel="00436016"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Del="00436016" w:rsidRDefault="001A63C6" w:rsidP="001A63C6">
            <w:pPr>
              <w:pStyle w:val="TableText"/>
              <w:widowControl w:val="0"/>
              <w:rPr>
                <w:rFonts w:ascii="Tahoma" w:hAnsi="Tahoma" w:cs="Tahoma"/>
                <w:sz w:val="13"/>
              </w:rPr>
            </w:pPr>
          </w:p>
        </w:tc>
      </w:tr>
      <w:tr w:rsidR="00B33D0E" w:rsidRPr="00BB5519" w:rsidDel="00436016" w:rsidTr="004064E2">
        <w:trPr>
          <w:trHeight w:val="145"/>
        </w:trPr>
        <w:tc>
          <w:tcPr>
            <w:tcW w:w="2556" w:type="dxa"/>
            <w:tcBorders>
              <w:bottom w:val="single" w:sz="4" w:space="0" w:color="auto"/>
            </w:tcBorders>
            <w:shd w:val="clear" w:color="auto" w:fill="auto"/>
            <w:vAlign w:val="center"/>
          </w:tcPr>
          <w:p w:rsidR="001A63C6" w:rsidRPr="00BB5519" w:rsidDel="00436016" w:rsidRDefault="001A63C6" w:rsidP="005B6712">
            <w:pPr>
              <w:pStyle w:val="Heading2"/>
              <w:spacing w:beforeLines="20" w:before="48" w:afterLines="20" w:after="48"/>
              <w:ind w:left="0" w:firstLine="15"/>
              <w:rPr>
                <w:rFonts w:ascii="Tahoma" w:hAnsi="Tahoma" w:cs="Tahoma"/>
                <w:b w:val="0"/>
                <w:sz w:val="14"/>
                <w:szCs w:val="16"/>
                <w:lang w:val="de-DE"/>
              </w:rPr>
            </w:pPr>
            <w:bookmarkStart w:id="362" w:name="_Toc336338031"/>
            <w:bookmarkStart w:id="363" w:name="_Toc354054733"/>
            <w:r w:rsidRPr="00BB5519">
              <w:rPr>
                <w:rFonts w:ascii="Tahoma" w:hAnsi="Tahoma" w:cs="Tahoma"/>
                <w:b w:val="0"/>
                <w:sz w:val="14"/>
                <w:szCs w:val="16"/>
                <w:lang w:val="de-DE"/>
              </w:rPr>
              <w:t>Office 365 Enterprise K2 (Nutzer-AL)</w:t>
            </w:r>
            <w:bookmarkEnd w:id="362"/>
            <w:bookmarkEnd w:id="363"/>
          </w:p>
        </w:tc>
        <w:tc>
          <w:tcPr>
            <w:tcW w:w="630" w:type="dxa"/>
            <w:tcBorders>
              <w:bottom w:val="single" w:sz="4" w:space="0" w:color="auto"/>
            </w:tcBorders>
            <w:shd w:val="clear" w:color="auto" w:fill="auto"/>
            <w:vAlign w:val="center"/>
          </w:tcPr>
          <w:p w:rsidR="001A63C6" w:rsidRPr="00BB5519" w:rsidDel="00436016" w:rsidRDefault="005F5403" w:rsidP="002E59B1">
            <w:pPr>
              <w:pStyle w:val="TableText"/>
              <w:widowControl w:val="0"/>
              <w:rPr>
                <w:b/>
                <w:color w:val="0000FF"/>
                <w:sz w:val="13"/>
                <w:szCs w:val="13"/>
                <w:u w:val="single"/>
              </w:rPr>
            </w:pPr>
            <w:hyperlink w:anchor="_69_Office_365_1" w:history="1">
              <w:r w:rsidR="004F7501" w:rsidRPr="004F7501">
                <w:rPr>
                  <w:rStyle w:val="Hyperlink"/>
                  <w:b/>
                  <w:sz w:val="13"/>
                  <w:szCs w:val="13"/>
                </w:rPr>
                <w:t>70</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BB5519" w:rsidDel="00436016"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Del="00436016"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Del="00436016" w:rsidRDefault="001A63C6" w:rsidP="001A63C6">
            <w:pPr>
              <w:pStyle w:val="TableText"/>
              <w:widowControl w:val="0"/>
              <w:rPr>
                <w:rFonts w:ascii="Tahoma" w:hAnsi="Tahoma" w:cs="Tahoma"/>
                <w:sz w:val="13"/>
              </w:rPr>
            </w:pPr>
          </w:p>
        </w:tc>
      </w:tr>
      <w:tr w:rsidR="00871AE2" w:rsidRPr="00BB5519" w:rsidDel="00436016" w:rsidTr="004064E2">
        <w:trPr>
          <w:trHeight w:val="145"/>
        </w:trPr>
        <w:tc>
          <w:tcPr>
            <w:tcW w:w="2556"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RDefault="00871AE2" w:rsidP="005B6712">
            <w:pPr>
              <w:pStyle w:val="Heading2"/>
              <w:spacing w:beforeLines="20" w:before="48" w:afterLines="20" w:after="48"/>
              <w:ind w:left="0" w:firstLine="15"/>
              <w:rPr>
                <w:rFonts w:ascii="Tahoma" w:hAnsi="Tahoma" w:cs="Tahoma"/>
                <w:b w:val="0"/>
                <w:sz w:val="14"/>
                <w:szCs w:val="16"/>
              </w:rPr>
            </w:pPr>
            <w:bookmarkStart w:id="364" w:name="_Toc354054734"/>
            <w:r w:rsidRPr="00BB5519">
              <w:rPr>
                <w:rFonts w:ascii="Tahoma" w:hAnsi="Tahoma" w:cs="Tahoma"/>
                <w:b w:val="0"/>
                <w:sz w:val="14"/>
                <w:szCs w:val="16"/>
              </w:rPr>
              <w:t xml:space="preserve">Office 365 Government G1 – G4 </w:t>
            </w:r>
            <w:r w:rsidR="002E6EC0">
              <w:rPr>
                <w:rFonts w:ascii="Tahoma" w:hAnsi="Tahoma" w:cs="Tahoma"/>
                <w:b w:val="0"/>
                <w:sz w:val="14"/>
                <w:szCs w:val="16"/>
              </w:rPr>
              <w:br/>
            </w:r>
            <w:r w:rsidRPr="00BB5519">
              <w:rPr>
                <w:rFonts w:ascii="Tahoma" w:hAnsi="Tahoma" w:cs="Tahoma"/>
                <w:b w:val="0"/>
                <w:sz w:val="14"/>
                <w:szCs w:val="16"/>
              </w:rPr>
              <w:t>(Nutzer-AL)</w:t>
            </w:r>
            <w:bookmarkEnd w:id="364"/>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RDefault="005F5403" w:rsidP="002E59B1">
            <w:pPr>
              <w:pStyle w:val="TableText"/>
              <w:widowControl w:val="0"/>
              <w:rPr>
                <w:b/>
                <w:sz w:val="13"/>
                <w:szCs w:val="13"/>
              </w:rPr>
            </w:pPr>
            <w:hyperlink w:anchor="_70_Office_365" w:history="1">
              <w:r w:rsidR="00955428" w:rsidRPr="004F7501">
                <w:rPr>
                  <w:rStyle w:val="Hyperlink"/>
                  <w:b/>
                  <w:sz w:val="13"/>
                  <w:szCs w:val="13"/>
                </w:rPr>
                <w:t>71</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BB5519" w:rsidRDefault="00871AE2" w:rsidP="00871AE2">
            <w:pPr>
              <w:pStyle w:val="TableText"/>
              <w:widowControl w:val="0"/>
              <w:spacing w:before="120"/>
              <w:rPr>
                <w:rFonts w:ascii="Tahoma" w:hAnsi="Tahoma" w:cs="Tahoma"/>
                <w:color w:val="000000"/>
                <w:sz w:val="13"/>
              </w:rPr>
            </w:pPr>
            <w:r w:rsidRPr="00BB5519">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B5519" w:rsidRDefault="00871AE2" w:rsidP="00871AE2">
            <w:pPr>
              <w:pStyle w:val="TableText"/>
              <w:widowControl w:val="0"/>
              <w:rPr>
                <w:rFonts w:ascii="Tahoma" w:hAnsi="Tahoma" w:cs="Tahoma"/>
                <w:sz w:val="13"/>
              </w:rPr>
            </w:pPr>
            <w:r w:rsidRPr="00BB5519">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BB5519" w:rsidRDefault="00871AE2" w:rsidP="00871AE2">
            <w:pPr>
              <w:pStyle w:val="TableText"/>
              <w:widowControl w:val="0"/>
              <w:rPr>
                <w:rFonts w:ascii="Tahoma" w:hAnsi="Tahoma" w:cs="Tahoma"/>
                <w:sz w:val="13"/>
              </w:rPr>
            </w:pPr>
            <w:r w:rsidRPr="00BB5519">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tcPr>
          <w:p w:rsidR="00871AE2" w:rsidRPr="00BB5519" w:rsidDel="00436016" w:rsidRDefault="00871AE2" w:rsidP="00871AE2">
            <w:pPr>
              <w:pStyle w:val="TableText"/>
              <w:widowControl w:val="0"/>
              <w:spacing w:before="12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BB5519" w:rsidDel="00436016" w:rsidRDefault="00871AE2" w:rsidP="00871AE2">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FFFFF"/>
            <w:vAlign w:val="center"/>
          </w:tcPr>
          <w:p w:rsidR="001A63C6" w:rsidRPr="00BB5519" w:rsidRDefault="001A63C6" w:rsidP="006C465D">
            <w:pPr>
              <w:pStyle w:val="ProductNames"/>
              <w:spacing w:before="0" w:after="0"/>
              <w:rPr>
                <w:rFonts w:ascii="Tahoma" w:hAnsi="Tahoma" w:cs="Tahoma"/>
                <w:position w:val="0"/>
                <w:sz w:val="14"/>
                <w:lang w:val="de-DE"/>
              </w:rPr>
            </w:pPr>
            <w:bookmarkStart w:id="365" w:name="_Toc336338032"/>
            <w:bookmarkStart w:id="366" w:name="_Toc354054735"/>
            <w:r w:rsidRPr="00BB5519">
              <w:rPr>
                <w:rFonts w:ascii="Tahoma" w:hAnsi="Tahoma" w:cs="Tahoma"/>
                <w:position w:val="0"/>
                <w:sz w:val="14"/>
                <w:lang w:val="de-DE"/>
              </w:rPr>
              <w:t>Office Web-Anwendungen mit SharePoint Plan 2A (Nutzer-AL)</w:t>
            </w:r>
            <w:bookmarkEnd w:id="365"/>
            <w:bookmarkEnd w:id="366"/>
          </w:p>
        </w:tc>
        <w:tc>
          <w:tcPr>
            <w:tcW w:w="630" w:type="dxa"/>
            <w:tcBorders>
              <w:bottom w:val="single" w:sz="4" w:space="0" w:color="auto"/>
            </w:tcBorders>
            <w:shd w:val="clear" w:color="auto" w:fill="FFFFFF"/>
            <w:vAlign w:val="center"/>
          </w:tcPr>
          <w:p w:rsidR="001A63C6" w:rsidRPr="00BB5519" w:rsidRDefault="001A63C6" w:rsidP="00D66F68">
            <w:pPr>
              <w:pStyle w:val="TableText"/>
              <w:widowControl w:val="0"/>
              <w:rPr>
                <w:b/>
                <w:color w:val="0000FF"/>
                <w:sz w:val="13"/>
                <w:szCs w:val="13"/>
                <w:u w:val="single"/>
                <w:lang w:val="de-DE"/>
              </w:rPr>
            </w:pPr>
          </w:p>
        </w:tc>
        <w:tc>
          <w:tcPr>
            <w:tcW w:w="450" w:type="dxa"/>
            <w:tcBorders>
              <w:bottom w:val="single" w:sz="4" w:space="0" w:color="auto"/>
            </w:tcBorders>
            <w:shd w:val="clear" w:color="auto" w:fill="FFFFFF"/>
            <w:vAlign w:val="center"/>
          </w:tcPr>
          <w:p w:rsidR="001A63C6" w:rsidRPr="00BB5519" w:rsidRDefault="001A63C6" w:rsidP="006C465D">
            <w:pPr>
              <w:pStyle w:val="TableText"/>
              <w:widowControl w:val="0"/>
              <w:rPr>
                <w:rFonts w:ascii="Tahoma" w:hAnsi="Tahoma" w:cs="Tahoma"/>
                <w:color w:val="000000"/>
                <w:sz w:val="13"/>
              </w:rPr>
            </w:pPr>
            <w:r w:rsidRPr="00BB5519">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BB5519"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BB5519"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B5519"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B5519"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B5519"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B5519"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BB5519"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BB5519" w:rsidRDefault="001A63C6" w:rsidP="006C465D">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FFFFFF"/>
            <w:vAlign w:val="bottom"/>
          </w:tcPr>
          <w:p w:rsidR="001A63C6" w:rsidRPr="00BB5519" w:rsidRDefault="001A63C6"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FFFFF"/>
            <w:vAlign w:val="bottom"/>
          </w:tcPr>
          <w:p w:rsidR="001A63C6" w:rsidRPr="00BB5519"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BB5519"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BB5519" w:rsidRDefault="001A63C6" w:rsidP="006C465D">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BB5519" w:rsidRDefault="001A63C6" w:rsidP="00D02D7A">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B5519" w:rsidRDefault="001A63C6" w:rsidP="00D02D7A">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BB5519" w:rsidRDefault="001A63C6" w:rsidP="006C465D">
            <w:pPr>
              <w:pStyle w:val="TableText"/>
              <w:widowControl w:val="0"/>
              <w:rPr>
                <w:rFonts w:ascii="Tahoma" w:hAnsi="Tahoma" w:cs="Tahoma"/>
                <w:sz w:val="13"/>
              </w:rPr>
            </w:pPr>
            <w:r w:rsidRPr="00BB5519">
              <w:rPr>
                <w:rFonts w:ascii="Tahoma" w:hAnsi="Tahoma" w:cs="Tahoma"/>
                <w:sz w:val="13"/>
              </w:rPr>
              <w:t>A, ST (nur EES)</w:t>
            </w:r>
          </w:p>
        </w:tc>
        <w:tc>
          <w:tcPr>
            <w:tcW w:w="450" w:type="dxa"/>
            <w:tcBorders>
              <w:bottom w:val="single" w:sz="4" w:space="0" w:color="auto"/>
            </w:tcBorders>
            <w:shd w:val="clear" w:color="auto" w:fill="FFFFFF"/>
            <w:vAlign w:val="center"/>
          </w:tcPr>
          <w:p w:rsidR="001A63C6" w:rsidRPr="00BB5519" w:rsidRDefault="001A63C6" w:rsidP="00D66F68">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67" w:name="_Toc354054736"/>
            <w:r w:rsidRPr="00BB5519">
              <w:rPr>
                <w:rFonts w:ascii="Tahoma" w:hAnsi="Tahoma" w:cs="Tahoma"/>
                <w:position w:val="0"/>
                <w:sz w:val="14"/>
              </w:rPr>
              <w:t>Project Online</w:t>
            </w:r>
            <w:bookmarkEnd w:id="367"/>
            <w:r w:rsidR="009E4976" w:rsidRPr="00BB5519">
              <w:rPr>
                <w:rFonts w:ascii="Tahoma" w:hAnsi="Tahoma" w:cs="Tahoma"/>
                <w:position w:val="0"/>
                <w:sz w:val="14"/>
              </w:rPr>
              <w:t xml:space="preserve"> </w:t>
            </w:r>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40"/>
              <w:rPr>
                <w:rFonts w:ascii="Tahoma" w:hAnsi="Tahoma" w:cs="Tahoma"/>
                <w:color w:val="000000"/>
                <w:sz w:val="13"/>
              </w:rPr>
            </w:pPr>
            <w:r w:rsidRPr="00BB551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68" w:name="_Toc354054737"/>
            <w:r w:rsidRPr="00BB5519">
              <w:rPr>
                <w:rFonts w:ascii="Tahoma" w:hAnsi="Tahoma" w:cs="Tahoma"/>
                <w:position w:val="0"/>
                <w:sz w:val="14"/>
              </w:rPr>
              <w:lastRenderedPageBreak/>
              <w:t>Project Online A</w:t>
            </w:r>
            <w:bookmarkEnd w:id="368"/>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40"/>
              <w:rPr>
                <w:rFonts w:ascii="Tahoma" w:hAnsi="Tahoma" w:cs="Tahoma"/>
                <w:color w:val="000000"/>
                <w:sz w:val="13"/>
              </w:rPr>
            </w:pPr>
            <w:r w:rsidRPr="00BB5519">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69" w:name="_Toc336338033"/>
            <w:bookmarkStart w:id="370" w:name="_Toc354054738"/>
            <w:r w:rsidRPr="00BB5519">
              <w:rPr>
                <w:rFonts w:ascii="Tahoma" w:hAnsi="Tahoma" w:cs="Tahoma"/>
                <w:position w:val="0"/>
                <w:sz w:val="14"/>
              </w:rPr>
              <w:t xml:space="preserve">Project Server </w:t>
            </w:r>
            <w:bookmarkEnd w:id="369"/>
            <w:r w:rsidRPr="00BB5519">
              <w:rPr>
                <w:rFonts w:ascii="Tahoma" w:hAnsi="Tahoma" w:cs="Tahoma"/>
                <w:position w:val="0"/>
                <w:sz w:val="14"/>
              </w:rPr>
              <w:t>2013</w:t>
            </w:r>
            <w:bookmarkEnd w:id="370"/>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color w:val="0000FF"/>
                <w:sz w:val="13"/>
                <w:szCs w:val="13"/>
                <w:u w:val="single"/>
              </w:rPr>
            </w:pPr>
            <w:bookmarkStart w:id="371" w:name="_Hlt336249768"/>
          </w:p>
        </w:tc>
        <w:bookmarkEnd w:id="371"/>
        <w:tc>
          <w:tcPr>
            <w:tcW w:w="450" w:type="dxa"/>
            <w:tcBorders>
              <w:bottom w:val="single" w:sz="4" w:space="0" w:color="auto"/>
            </w:tcBorders>
            <w:shd w:val="clear" w:color="auto" w:fill="FABF8F"/>
          </w:tcPr>
          <w:p w:rsidR="001A63C6" w:rsidRPr="00BB5519" w:rsidRDefault="001A63C6" w:rsidP="001A63C6">
            <w:pPr>
              <w:pStyle w:val="TableText"/>
              <w:widowControl w:val="0"/>
              <w:spacing w:before="40"/>
              <w:rPr>
                <w:rFonts w:ascii="Tahoma" w:hAnsi="Tahoma" w:cs="Tahoma"/>
                <w:color w:val="000000"/>
                <w:sz w:val="13"/>
              </w:rPr>
            </w:pPr>
            <w:r w:rsidRPr="00BB551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2A6E97">
            <w:pPr>
              <w:pStyle w:val="TableText"/>
              <w:widowControl w:val="0"/>
              <w:rPr>
                <w:rFonts w:ascii="Tahoma" w:hAnsi="Tahoma" w:cs="Tahoma"/>
                <w:sz w:val="14"/>
                <w:szCs w:val="14"/>
              </w:rPr>
            </w:pPr>
            <w:r w:rsidRPr="00BB5519">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BB5519" w:rsidRDefault="001A63C6" w:rsidP="002A6E97">
            <w:pPr>
              <w:pStyle w:val="TableText"/>
              <w:widowControl w:val="0"/>
              <w:rPr>
                <w:rFonts w:ascii="Tahoma" w:hAnsi="Tahoma" w:cs="Tahoma"/>
                <w:sz w:val="14"/>
                <w:szCs w:val="14"/>
              </w:rPr>
            </w:pPr>
            <w:r w:rsidRPr="00BB5519">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BB5519" w:rsidRDefault="001A63C6" w:rsidP="00D02D7A">
            <w:pPr>
              <w:pStyle w:val="TableText"/>
              <w:widowControl w:val="0"/>
              <w:rPr>
                <w:rFonts w:ascii="Tahoma" w:hAnsi="Tahoma" w:cs="Tahoma"/>
                <w:sz w:val="14"/>
                <w:szCs w:val="14"/>
              </w:rPr>
            </w:pPr>
            <w:r w:rsidRPr="00BB5519">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BB5519" w:rsidRDefault="001A63C6" w:rsidP="00D02D7A">
            <w:pPr>
              <w:pStyle w:val="TableText"/>
              <w:widowControl w:val="0"/>
              <w:rPr>
                <w:rFonts w:ascii="Tahoma" w:hAnsi="Tahoma" w:cs="Tahoma"/>
                <w:sz w:val="14"/>
                <w:szCs w:val="14"/>
              </w:rPr>
            </w:pPr>
            <w:r w:rsidRPr="00BB5519">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BB5519" w:rsidRDefault="001A63C6" w:rsidP="00242B11">
            <w:pPr>
              <w:pStyle w:val="TableText"/>
              <w:widowControl w:val="0"/>
              <w:rPr>
                <w:rFonts w:ascii="Tahoma" w:hAnsi="Tahoma" w:cs="Tahoma"/>
                <w:sz w:val="14"/>
                <w:szCs w:val="14"/>
              </w:rPr>
            </w:pPr>
            <w:r w:rsidRPr="00BB5519">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BB5519" w:rsidRDefault="001A63C6" w:rsidP="00242B11">
            <w:pPr>
              <w:pStyle w:val="TableText"/>
              <w:widowControl w:val="0"/>
              <w:rPr>
                <w:rFonts w:ascii="Tahoma" w:hAnsi="Tahoma" w:cs="Tahoma"/>
                <w:sz w:val="14"/>
                <w:szCs w:val="14"/>
              </w:rPr>
            </w:pPr>
            <w:r w:rsidRPr="00BB5519">
              <w:rPr>
                <w:rFonts w:ascii="Tahoma" w:hAnsi="Tahoma" w:cs="Tahoma"/>
                <w:sz w:val="14"/>
                <w:szCs w:val="14"/>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EA31A6">
            <w:pPr>
              <w:pStyle w:val="TableText"/>
              <w:widowControl w:val="0"/>
              <w:rPr>
                <w:rFonts w:ascii="Tahoma" w:hAnsi="Tahoma" w:cs="Tahoma"/>
                <w:sz w:val="14"/>
                <w:szCs w:val="14"/>
              </w:rPr>
            </w:pPr>
            <w:r w:rsidRPr="00BB5519">
              <w:rPr>
                <w:rFonts w:ascii="Tahoma" w:hAnsi="Tahoma" w:cs="Tahoma"/>
                <w:sz w:val="14"/>
                <w:szCs w:val="14"/>
              </w:rPr>
              <w:t>25</w:t>
            </w:r>
          </w:p>
        </w:tc>
        <w:tc>
          <w:tcPr>
            <w:tcW w:w="360" w:type="dxa"/>
            <w:tcBorders>
              <w:left w:val="single" w:sz="18" w:space="0" w:color="auto"/>
              <w:bottom w:val="single" w:sz="4" w:space="0" w:color="auto"/>
            </w:tcBorders>
            <w:shd w:val="clear" w:color="auto" w:fill="FABF8F"/>
            <w:vAlign w:val="center"/>
          </w:tcPr>
          <w:p w:rsidR="001A63C6" w:rsidRPr="00BB5519" w:rsidRDefault="001A63C6" w:rsidP="00EA31A6">
            <w:pPr>
              <w:pStyle w:val="TableText"/>
              <w:widowControl w:val="0"/>
              <w:rPr>
                <w:rFonts w:ascii="Tahoma" w:hAnsi="Tahoma" w:cs="Tahoma"/>
                <w:sz w:val="14"/>
                <w:szCs w:val="14"/>
              </w:rPr>
            </w:pPr>
            <w:r w:rsidRPr="00BB5519">
              <w:rPr>
                <w:rFonts w:ascii="Tahoma" w:hAnsi="Tahoma" w:cs="Tahoma"/>
                <w:sz w:val="14"/>
                <w:szCs w:val="14"/>
              </w:rPr>
              <w:t>50</w:t>
            </w:r>
          </w:p>
        </w:tc>
        <w:tc>
          <w:tcPr>
            <w:tcW w:w="450" w:type="dxa"/>
            <w:gridSpan w:val="2"/>
            <w:tcBorders>
              <w:bottom w:val="single" w:sz="4" w:space="0" w:color="auto"/>
            </w:tcBorders>
            <w:shd w:val="clear" w:color="auto" w:fill="FABF8F"/>
            <w:vAlign w:val="center"/>
          </w:tcPr>
          <w:p w:rsidR="001A63C6" w:rsidRPr="00BB5519" w:rsidRDefault="001A63C6" w:rsidP="00EA31A6">
            <w:pPr>
              <w:pStyle w:val="TableText"/>
              <w:widowControl w:val="0"/>
              <w:rPr>
                <w:rFonts w:ascii="Tahoma" w:hAnsi="Tahoma" w:cs="Tahoma"/>
                <w:sz w:val="14"/>
                <w:szCs w:val="14"/>
              </w:rPr>
            </w:pPr>
            <w:r w:rsidRPr="00BB5519">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EA31A6">
            <w:pPr>
              <w:pStyle w:val="TableText"/>
              <w:widowControl w:val="0"/>
              <w:rPr>
                <w:rFonts w:ascii="Tahoma" w:hAnsi="Tahoma" w:cs="Tahoma"/>
                <w:sz w:val="14"/>
                <w:szCs w:val="14"/>
              </w:rPr>
            </w:pPr>
            <w:r w:rsidRPr="00BB5519">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BB5519" w:rsidRDefault="001A63C6" w:rsidP="003537B9">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3537B9">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3537B9">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3537B9">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C778DB">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72" w:name="_Toc336338034"/>
            <w:bookmarkStart w:id="373" w:name="_Toc354054739"/>
            <w:r w:rsidRPr="00BB5519">
              <w:rPr>
                <w:rFonts w:ascii="Tahoma" w:hAnsi="Tahoma" w:cs="Tahoma"/>
                <w:position w:val="0"/>
                <w:sz w:val="14"/>
              </w:rPr>
              <w:t>CAL für Project Server</w:t>
            </w:r>
            <w:bookmarkEnd w:id="372"/>
            <w:r w:rsidRPr="00BB5519">
              <w:rPr>
                <w:rFonts w:ascii="Tahoma" w:hAnsi="Tahoma" w:cs="Tahoma"/>
                <w:position w:val="0"/>
                <w:sz w:val="14"/>
              </w:rPr>
              <w:t xml:space="preserve"> 2013</w:t>
            </w:r>
            <w:bookmarkEnd w:id="373"/>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Heading2"/>
              <w:spacing w:beforeLines="20" w:before="48" w:afterLines="20" w:after="48"/>
              <w:ind w:left="0" w:firstLine="15"/>
              <w:rPr>
                <w:rFonts w:ascii="Tahoma" w:hAnsi="Tahoma" w:cs="Tahoma"/>
                <w:b w:val="0"/>
                <w:sz w:val="14"/>
              </w:rPr>
            </w:pPr>
            <w:bookmarkStart w:id="374" w:name="_Toc336338036"/>
            <w:bookmarkStart w:id="375" w:name="_Toc354054740"/>
            <w:r w:rsidRPr="00BB5519">
              <w:rPr>
                <w:rFonts w:ascii="Tahoma" w:hAnsi="Tahoma" w:cs="Tahoma"/>
                <w:b w:val="0"/>
                <w:sz w:val="14"/>
              </w:rPr>
              <w:t>SharePoint™ Online Extra Storage 1 GB (Add-On-AL)</w:t>
            </w:r>
            <w:bookmarkEnd w:id="374"/>
            <w:bookmarkEnd w:id="375"/>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BB5519" w:rsidDel="008F575D" w:rsidRDefault="001A63C6" w:rsidP="001A63C6">
            <w:pPr>
              <w:pStyle w:val="TableText"/>
              <w:widowControl w:val="0"/>
              <w:spacing w:before="8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C0225C">
            <w:pPr>
              <w:pStyle w:val="Heading2"/>
              <w:keepNext/>
              <w:keepLines/>
              <w:ind w:left="0" w:firstLine="15"/>
              <w:jc w:val="both"/>
              <w:rPr>
                <w:rFonts w:ascii="Tahoma" w:hAnsi="Tahoma" w:cs="Tahoma"/>
                <w:b w:val="0"/>
                <w:sz w:val="14"/>
              </w:rPr>
            </w:pPr>
            <w:bookmarkStart w:id="376" w:name="_Toc336338037"/>
            <w:bookmarkStart w:id="377" w:name="_Toc354054741"/>
            <w:r w:rsidRPr="00BB5519">
              <w:rPr>
                <w:rFonts w:ascii="Tahoma" w:hAnsi="Tahoma" w:cs="Tahoma"/>
                <w:b w:val="0"/>
                <w:sz w:val="14"/>
              </w:rPr>
              <w:t>SharePoint™ Online Extra Storage 1 GB A (Add-On-AL)</w:t>
            </w:r>
            <w:bookmarkEnd w:id="376"/>
            <w:bookmarkEnd w:id="377"/>
          </w:p>
        </w:tc>
        <w:tc>
          <w:tcPr>
            <w:tcW w:w="63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r w:rsidRPr="00BB5519">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C0225C">
            <w:pPr>
              <w:pStyle w:val="TableText"/>
              <w:keepNext/>
              <w:keepLines/>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C0225C">
            <w:pPr>
              <w:pStyle w:val="TableText"/>
              <w:keepNext/>
              <w:keepLines/>
              <w:widowControl w:val="0"/>
              <w:rPr>
                <w:rFonts w:ascii="Tahoma" w:hAnsi="Tahoma" w:cs="Tahoma"/>
                <w:sz w:val="13"/>
              </w:rPr>
            </w:pPr>
            <w:r w:rsidRPr="00BB5519">
              <w:rPr>
                <w:rFonts w:ascii="Tahoma" w:hAnsi="Tahoma" w:cs="Tahoma"/>
                <w:sz w:val="13"/>
              </w:rPr>
              <w:t>A, ST (nur EES)</w:t>
            </w:r>
          </w:p>
        </w:tc>
        <w:tc>
          <w:tcPr>
            <w:tcW w:w="450" w:type="dxa"/>
            <w:tcBorders>
              <w:bottom w:val="single" w:sz="4" w:space="0" w:color="auto"/>
            </w:tcBorders>
            <w:shd w:val="clear" w:color="auto" w:fill="auto"/>
            <w:vAlign w:val="center"/>
          </w:tcPr>
          <w:p w:rsidR="001A63C6" w:rsidRPr="00BB5519" w:rsidRDefault="001A63C6" w:rsidP="00D66F68">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Heading2"/>
              <w:spacing w:beforeLines="20" w:before="48" w:afterLines="20" w:after="48"/>
              <w:ind w:left="0" w:firstLine="15"/>
              <w:jc w:val="both"/>
              <w:rPr>
                <w:rFonts w:ascii="Tahoma" w:hAnsi="Tahoma" w:cs="Tahoma"/>
                <w:b w:val="0"/>
                <w:lang w:val="de-DE"/>
              </w:rPr>
            </w:pPr>
            <w:bookmarkStart w:id="378" w:name="_Toc336338038"/>
            <w:bookmarkStart w:id="379" w:name="_Toc354054742"/>
            <w:r w:rsidRPr="00BB5519">
              <w:rPr>
                <w:rFonts w:ascii="Tahoma" w:hAnsi="Tahoma" w:cs="Tahoma"/>
                <w:b w:val="0"/>
                <w:sz w:val="14"/>
                <w:lang w:val="de-DE"/>
              </w:rPr>
              <w:t>SharePoint™ Online Plan 1 (Nutzer-AL)</w:t>
            </w:r>
            <w:bookmarkEnd w:id="378"/>
            <w:bookmarkEnd w:id="379"/>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b w:val="0"/>
                <w:color w:val="0000FF"/>
                <w:sz w:val="13"/>
                <w:szCs w:val="13"/>
                <w:u w:val="single"/>
              </w:rPr>
            </w:pPr>
            <w:hyperlink w:anchor="_71_SharePoint_Online" w:history="1">
              <w:r w:rsidR="00955428" w:rsidRPr="004F7501">
                <w:rPr>
                  <w:rStyle w:val="Hyperlink"/>
                  <w:rFonts w:cs="Tahoma"/>
                  <w:b/>
                  <w:sz w:val="13"/>
                  <w:szCs w:val="13"/>
                </w:rPr>
                <w:t>72</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380" w:name="_Toc336338039"/>
            <w:bookmarkStart w:id="381" w:name="_Toc354054743"/>
            <w:r w:rsidRPr="00BB5519">
              <w:rPr>
                <w:rFonts w:ascii="Tahoma" w:hAnsi="Tahoma" w:cs="Tahoma"/>
                <w:position w:val="0"/>
                <w:sz w:val="14"/>
                <w:lang w:val="de-DE"/>
              </w:rPr>
              <w:t>SharePoint™ Online Plan 2 (Nutzer-AL)</w:t>
            </w:r>
            <w:bookmarkEnd w:id="380"/>
            <w:bookmarkEnd w:id="381"/>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b w:val="0"/>
                <w:color w:val="000000"/>
                <w:sz w:val="13"/>
                <w:szCs w:val="13"/>
                <w:u w:val="single"/>
              </w:rPr>
            </w:pPr>
            <w:hyperlink w:anchor="_71_SharePoint_Online" w:history="1">
              <w:r w:rsidR="00955428" w:rsidRPr="00BB5519">
                <w:rPr>
                  <w:rStyle w:val="Hyperlink"/>
                  <w:rFonts w:cs="Tahoma"/>
                  <w:b/>
                  <w:sz w:val="13"/>
                  <w:szCs w:val="13"/>
                </w:rPr>
                <w:t>7</w:t>
              </w:r>
            </w:hyperlink>
            <w:r w:rsidR="00955428" w:rsidRPr="00BB5519">
              <w:rPr>
                <w:rStyle w:val="Hyperlink"/>
                <w:rFonts w:cs="Tahoma"/>
                <w:b/>
                <w:sz w:val="13"/>
                <w:szCs w:val="13"/>
              </w:rPr>
              <w:t>2</w:t>
            </w: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cs="Tahoma"/>
                <w:position w:val="0"/>
                <w:sz w:val="14"/>
              </w:rPr>
            </w:pPr>
            <w:bookmarkStart w:id="382" w:name="_Toc336338040"/>
            <w:bookmarkStart w:id="383" w:name="_Toc354054744"/>
            <w:r w:rsidRPr="00BB5519">
              <w:rPr>
                <w:rFonts w:ascii="Tahoma" w:hAnsi="Tahoma" w:cs="Tahoma"/>
                <w:position w:val="0"/>
                <w:sz w:val="14"/>
              </w:rPr>
              <w:t xml:space="preserve">SharePoint™ Server </w:t>
            </w:r>
            <w:bookmarkEnd w:id="382"/>
            <w:r w:rsidRPr="00BB5519">
              <w:rPr>
                <w:rFonts w:ascii="Tahoma" w:hAnsi="Tahoma" w:cs="Tahoma"/>
                <w:position w:val="0"/>
                <w:sz w:val="14"/>
              </w:rPr>
              <w:t>2013</w:t>
            </w:r>
            <w:bookmarkEnd w:id="383"/>
            <w:r w:rsidRPr="00BB5519">
              <w:rPr>
                <w:rFonts w:ascii="Tahoma" w:hAnsi="Tahoma" w:cs="Tahoma"/>
                <w:position w:val="0"/>
                <w:sz w:val="14"/>
              </w:rPr>
              <w:t xml:space="preserve"> </w:t>
            </w:r>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b w:val="0"/>
                <w:color w:val="000000"/>
                <w:sz w:val="13"/>
                <w:szCs w:val="13"/>
                <w:u w:val="single"/>
              </w:rPr>
            </w:pPr>
            <w:hyperlink w:anchor="_73_SharePoint_Server" w:history="1">
              <w:r w:rsidR="00955428" w:rsidRPr="00094D46">
                <w:rPr>
                  <w:rStyle w:val="Hyperlink"/>
                  <w:b/>
                  <w:sz w:val="13"/>
                  <w:szCs w:val="13"/>
                </w:rPr>
                <w:t>73</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6C465D">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6468EC">
            <w:pPr>
              <w:pStyle w:val="ProductNames"/>
              <w:keepNext/>
              <w:spacing w:beforeLines="20" w:before="48" w:afterLines="20" w:after="48"/>
              <w:rPr>
                <w:rFonts w:ascii="Tahoma" w:hAnsi="Tahoma" w:cs="Tahoma"/>
                <w:position w:val="0"/>
                <w:sz w:val="14"/>
              </w:rPr>
            </w:pPr>
            <w:bookmarkStart w:id="384" w:name="_Toc336338041"/>
            <w:bookmarkStart w:id="385" w:name="_Toc354054745"/>
            <w:r w:rsidRPr="00BB5519">
              <w:rPr>
                <w:rFonts w:ascii="Tahoma" w:hAnsi="Tahoma" w:cs="Tahoma"/>
                <w:position w:val="0"/>
                <w:sz w:val="14"/>
              </w:rPr>
              <w:t xml:space="preserve">Enterprise CAL für </w:t>
            </w:r>
            <w:r w:rsidR="002E6EC0">
              <w:rPr>
                <w:rFonts w:ascii="Tahoma" w:hAnsi="Tahoma" w:cs="Tahoma"/>
                <w:position w:val="0"/>
                <w:sz w:val="14"/>
              </w:rPr>
              <w:br/>
            </w:r>
            <w:r w:rsidRPr="00BB5519">
              <w:rPr>
                <w:rFonts w:ascii="Tahoma" w:hAnsi="Tahoma" w:cs="Tahoma"/>
                <w:position w:val="0"/>
                <w:sz w:val="14"/>
              </w:rPr>
              <w:t>SharePoint™ Server</w:t>
            </w:r>
            <w:bookmarkEnd w:id="384"/>
            <w:r w:rsidRPr="00BB5519">
              <w:rPr>
                <w:rFonts w:ascii="Tahoma" w:hAnsi="Tahoma" w:cs="Tahoma"/>
                <w:position w:val="0"/>
                <w:sz w:val="14"/>
              </w:rPr>
              <w:t xml:space="preserve"> 2013</w:t>
            </w:r>
            <w:bookmarkEnd w:id="385"/>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BB5519" w:rsidRDefault="001A63C6" w:rsidP="006468EC">
            <w:pPr>
              <w:pStyle w:val="TableText"/>
              <w:keepNext/>
              <w:keepLines/>
              <w:widowControl w:val="0"/>
              <w:spacing w:before="120"/>
              <w:rPr>
                <w:rFonts w:ascii="Tahoma" w:hAnsi="Tahoma" w:cs="Tahoma"/>
                <w:color w:val="000000"/>
                <w:sz w:val="13"/>
              </w:rPr>
            </w:pPr>
            <w:r w:rsidRPr="00BB551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6468EC">
            <w:pPr>
              <w:pStyle w:val="TableText"/>
              <w:keepNext/>
              <w:keepLines/>
              <w:widowControl w:val="0"/>
              <w:spacing w:before="12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sz w:val="13"/>
              </w:rPr>
            </w:pPr>
          </w:p>
        </w:tc>
      </w:tr>
      <w:tr w:rsidR="00B33D0E" w:rsidRPr="00BB5519" w:rsidTr="004064E2">
        <w:trPr>
          <w:trHeight w:val="260"/>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cs="Tahoma"/>
                <w:position w:val="0"/>
                <w:sz w:val="14"/>
              </w:rPr>
            </w:pPr>
            <w:bookmarkStart w:id="386" w:name="_Toc336338044"/>
            <w:bookmarkStart w:id="387" w:name="_Toc354054746"/>
            <w:r w:rsidRPr="00BB5519">
              <w:rPr>
                <w:rFonts w:ascii="Tahoma" w:hAnsi="Tahoma" w:cs="Tahoma"/>
                <w:position w:val="0"/>
                <w:sz w:val="14"/>
              </w:rPr>
              <w:t xml:space="preserve">Standard-CAL für SharePoint™ </w:t>
            </w:r>
            <w:r w:rsidR="00D15040">
              <w:rPr>
                <w:rFonts w:ascii="Tahoma" w:hAnsi="Tahoma" w:cs="Tahoma"/>
                <w:position w:val="0"/>
                <w:sz w:val="14"/>
              </w:rPr>
              <w:br/>
            </w:r>
            <w:r w:rsidRPr="00BB5519">
              <w:rPr>
                <w:rFonts w:ascii="Tahoma" w:hAnsi="Tahoma" w:cs="Tahoma"/>
                <w:position w:val="0"/>
                <w:sz w:val="14"/>
              </w:rPr>
              <w:t>Server</w:t>
            </w:r>
            <w:bookmarkEnd w:id="386"/>
            <w:r w:rsidRPr="00BB5519">
              <w:rPr>
                <w:rFonts w:ascii="Tahoma" w:hAnsi="Tahoma" w:cs="Tahoma"/>
                <w:position w:val="0"/>
                <w:sz w:val="14"/>
              </w:rPr>
              <w:t xml:space="preserve"> 2013</w:t>
            </w:r>
            <w:bookmarkEnd w:id="387"/>
          </w:p>
        </w:tc>
        <w:tc>
          <w:tcPr>
            <w:tcW w:w="630" w:type="dxa"/>
            <w:tcBorders>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BB5519" w:rsidRDefault="001A63C6" w:rsidP="005B6712">
            <w:pPr>
              <w:pStyle w:val="TableText"/>
              <w:widowControl w:val="0"/>
              <w:spacing w:beforeLines="20" w:before="48" w:afterLines="20" w:after="48"/>
              <w:rPr>
                <w:rFonts w:ascii="Tahoma" w:hAnsi="Tahoma" w:cs="Tahoma"/>
                <w:color w:val="000000"/>
                <w:sz w:val="13"/>
              </w:rPr>
            </w:pPr>
            <w:r w:rsidRPr="00BB551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5B6712">
            <w:pPr>
              <w:pStyle w:val="TableText"/>
              <w:widowControl w:val="0"/>
              <w:spacing w:beforeLines="20" w:before="48" w:afterLines="20" w:after="48"/>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FABF8F"/>
            <w:vAlign w:val="center"/>
          </w:tcPr>
          <w:p w:rsidR="001A63C6" w:rsidRPr="00BB5519" w:rsidRDefault="001A63C6" w:rsidP="005B6712">
            <w:pPr>
              <w:pStyle w:val="TableText"/>
              <w:widowControl w:val="0"/>
              <w:spacing w:beforeLines="20" w:before="48" w:afterLines="20" w:after="48"/>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D31507">
            <w:pPr>
              <w:pStyle w:val="ProductNames"/>
              <w:keepNext/>
              <w:spacing w:beforeLines="20" w:before="48" w:afterLines="20" w:after="48"/>
              <w:rPr>
                <w:rFonts w:ascii="Tahoma" w:hAnsi="Tahoma" w:cs="Tahoma"/>
                <w:position w:val="0"/>
                <w:sz w:val="14"/>
                <w:lang w:val="pt-BR"/>
              </w:rPr>
            </w:pPr>
            <w:bookmarkStart w:id="388" w:name="_Toc336338045"/>
            <w:bookmarkStart w:id="389" w:name="_Toc354054747"/>
            <w:r w:rsidRPr="00BB5519">
              <w:rPr>
                <w:rFonts w:ascii="Tahoma" w:hAnsi="Tahoma" w:cs="Tahoma"/>
                <w:position w:val="0"/>
                <w:sz w:val="14"/>
                <w:lang w:val="pt-BR"/>
              </w:rPr>
              <w:t>SQL Server</w:t>
            </w:r>
            <w:r w:rsidRPr="00BB5519">
              <w:rPr>
                <w:rFonts w:ascii="Tahoma" w:eastAsia="Times New Roman" w:hAnsi="Tahoma" w:cs="Tahoma"/>
                <w:color w:val="000000"/>
                <w:position w:val="0"/>
                <w:sz w:val="18"/>
                <w:szCs w:val="18"/>
                <w:vertAlign w:val="superscript"/>
                <w:lang w:val="pt-BR"/>
              </w:rPr>
              <w:t>®</w:t>
            </w:r>
            <w:r w:rsidRPr="00BB5519">
              <w:rPr>
                <w:rFonts w:ascii="Tahoma" w:hAnsi="Tahoma" w:cs="Tahoma"/>
                <w:position w:val="0"/>
                <w:sz w:val="14"/>
                <w:lang w:val="pt-BR"/>
              </w:rPr>
              <w:t xml:space="preserve"> 2008 R2 Datacenter, 1</w:t>
            </w:r>
            <w:r w:rsidR="00D15040">
              <w:rPr>
                <w:rFonts w:ascii="Tahoma" w:hAnsi="Tahoma" w:cs="Tahoma"/>
                <w:position w:val="0"/>
                <w:sz w:val="14"/>
                <w:lang w:val="pt-BR"/>
              </w:rPr>
              <w:t> </w:t>
            </w:r>
            <w:r w:rsidRPr="00BB5519">
              <w:rPr>
                <w:rFonts w:ascii="Tahoma" w:hAnsi="Tahoma" w:cs="Tahoma"/>
                <w:position w:val="0"/>
                <w:sz w:val="14"/>
                <w:lang w:val="pt-BR"/>
              </w:rPr>
              <w:t>Prozessorlizenz</w:t>
            </w:r>
            <w:bookmarkEnd w:id="388"/>
            <w:bookmarkEnd w:id="389"/>
          </w:p>
        </w:tc>
        <w:tc>
          <w:tcPr>
            <w:tcW w:w="630" w:type="dxa"/>
            <w:tcBorders>
              <w:bottom w:val="single" w:sz="4" w:space="0" w:color="auto"/>
            </w:tcBorders>
            <w:shd w:val="clear" w:color="auto" w:fill="auto"/>
            <w:vAlign w:val="center"/>
          </w:tcPr>
          <w:p w:rsidR="001A63C6" w:rsidRPr="00BB5519" w:rsidRDefault="005F5403" w:rsidP="00D31507">
            <w:pPr>
              <w:pStyle w:val="TableText"/>
              <w:keepNext/>
              <w:keepLines/>
              <w:widowControl w:val="0"/>
              <w:rPr>
                <w:b/>
                <w:color w:val="0000FF"/>
                <w:sz w:val="13"/>
                <w:szCs w:val="13"/>
                <w:u w:val="single"/>
              </w:rPr>
            </w:pPr>
            <w:hyperlink w:anchor="_75_73_SQL" w:history="1">
              <w:r w:rsidR="00955428" w:rsidRPr="00BB5519">
                <w:rPr>
                  <w:rStyle w:val="Hyperlink"/>
                  <w:b/>
                  <w:sz w:val="13"/>
                  <w:szCs w:val="13"/>
                </w:rPr>
                <w:t>7</w:t>
              </w:r>
            </w:hyperlink>
            <w:r w:rsidR="00955428" w:rsidRPr="00BB5519">
              <w:rPr>
                <w:rStyle w:val="Hyperlink"/>
                <w:b/>
                <w:sz w:val="13"/>
                <w:szCs w:val="13"/>
              </w:rPr>
              <w:t>4</w:t>
            </w:r>
          </w:p>
        </w:tc>
        <w:tc>
          <w:tcPr>
            <w:tcW w:w="450" w:type="dxa"/>
            <w:tcBorders>
              <w:bottom w:val="single" w:sz="4" w:space="0" w:color="auto"/>
            </w:tcBorders>
            <w:shd w:val="clear" w:color="auto" w:fill="auto"/>
          </w:tcPr>
          <w:p w:rsidR="001A63C6" w:rsidRPr="00BB5519" w:rsidRDefault="001A63C6" w:rsidP="00D31507">
            <w:pPr>
              <w:pStyle w:val="TableText"/>
              <w:keepNext/>
              <w:keepLines/>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D3150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90" w:name="_Toc336338048"/>
            <w:bookmarkStart w:id="391" w:name="_Toc354054748"/>
            <w:r w:rsidRPr="00BB5519">
              <w:rPr>
                <w:rFonts w:ascii="Tahoma" w:hAnsi="Tahoma" w:cs="Tahoma"/>
                <w:position w:val="0"/>
                <w:sz w:val="14"/>
              </w:rPr>
              <w:t>SQL Server</w:t>
            </w:r>
            <w:r w:rsidRPr="00BB5519">
              <w:rPr>
                <w:rFonts w:ascii="Tahoma" w:eastAsia="Times New Roman" w:hAnsi="Tahoma" w:cs="Tahoma"/>
                <w:color w:val="000000"/>
                <w:position w:val="0"/>
                <w:sz w:val="18"/>
                <w:szCs w:val="18"/>
                <w:vertAlign w:val="superscript"/>
              </w:rPr>
              <w:t>®</w:t>
            </w:r>
            <w:r w:rsidRPr="00BB5519">
              <w:rPr>
                <w:rFonts w:ascii="Tahoma" w:hAnsi="Tahoma" w:cs="Tahoma"/>
                <w:position w:val="0"/>
                <w:sz w:val="14"/>
              </w:rPr>
              <w:t xml:space="preserve"> 2008 R2 Small Business</w:t>
            </w:r>
            <w:bookmarkEnd w:id="390"/>
            <w:bookmarkEnd w:id="391"/>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b w:val="0"/>
                <w:color w:val="000000"/>
                <w:sz w:val="13"/>
                <w:szCs w:val="13"/>
                <w:u w:val="single"/>
              </w:rPr>
            </w:pPr>
            <w:hyperlink w:anchor="_75_SQL_Server®" w:history="1">
              <w:r w:rsidR="00955428" w:rsidRPr="00094D46">
                <w:rPr>
                  <w:rStyle w:val="Hyperlink"/>
                  <w:b/>
                  <w:sz w:val="13"/>
                  <w:szCs w:val="13"/>
                </w:rPr>
                <w:t>75</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92" w:name="_Toc336338049"/>
            <w:bookmarkStart w:id="393" w:name="_Toc354054749"/>
            <w:r w:rsidRPr="00BB5519">
              <w:rPr>
                <w:rFonts w:ascii="Tahoma" w:hAnsi="Tahoma" w:cs="Tahoma"/>
                <w:position w:val="0"/>
                <w:sz w:val="14"/>
              </w:rPr>
              <w:t>CAL für SQL Server</w:t>
            </w:r>
            <w:r w:rsidRPr="00BB5519">
              <w:rPr>
                <w:rFonts w:ascii="Tahoma" w:eastAsia="Times New Roman" w:hAnsi="Tahoma" w:cs="Tahoma"/>
                <w:color w:val="000000"/>
                <w:position w:val="0"/>
                <w:sz w:val="18"/>
                <w:szCs w:val="18"/>
                <w:vertAlign w:val="superscript"/>
              </w:rPr>
              <w:t>®</w:t>
            </w:r>
            <w:r w:rsidRPr="00BB5519">
              <w:rPr>
                <w:rFonts w:ascii="Tahoma" w:hAnsi="Tahoma" w:cs="Tahoma"/>
                <w:position w:val="0"/>
                <w:sz w:val="14"/>
              </w:rPr>
              <w:t xml:space="preserve"> 2008 R2 Small Business</w:t>
            </w:r>
            <w:bookmarkEnd w:id="392"/>
            <w:bookmarkEnd w:id="393"/>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94" w:name="_Toc336338050"/>
            <w:bookmarkStart w:id="395" w:name="_Toc354054750"/>
            <w:r w:rsidRPr="00BB5519">
              <w:rPr>
                <w:rFonts w:ascii="Tahoma" w:hAnsi="Tahoma" w:cs="Tahoma"/>
                <w:position w:val="0"/>
                <w:sz w:val="14"/>
              </w:rPr>
              <w:t>SQL Server</w:t>
            </w:r>
            <w:r w:rsidRPr="00BB5519">
              <w:rPr>
                <w:rFonts w:ascii="Tahoma" w:eastAsia="Times New Roman" w:hAnsi="Tahoma" w:cs="Tahoma"/>
                <w:color w:val="000000"/>
                <w:position w:val="0"/>
                <w:sz w:val="18"/>
                <w:szCs w:val="18"/>
                <w:vertAlign w:val="superscript"/>
              </w:rPr>
              <w:t>®</w:t>
            </w:r>
            <w:r w:rsidRPr="00BB5519">
              <w:rPr>
                <w:rFonts w:ascii="Tahoma" w:hAnsi="Tahoma" w:cs="Tahoma"/>
                <w:position w:val="0"/>
                <w:sz w:val="14"/>
              </w:rPr>
              <w:t xml:space="preserve"> 2008 R2 Web pro Prozessor</w:t>
            </w:r>
            <w:bookmarkEnd w:id="394"/>
            <w:bookmarkEnd w:id="395"/>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b w:val="0"/>
                <w:color w:val="000000"/>
                <w:sz w:val="13"/>
                <w:szCs w:val="13"/>
                <w:u w:val="single"/>
              </w:rPr>
            </w:pPr>
            <w:hyperlink w:anchor="_76_SQL_Server®" w:history="1">
              <w:r w:rsidR="00955428" w:rsidRPr="00094D46">
                <w:rPr>
                  <w:rStyle w:val="Hyperlink"/>
                  <w:b/>
                  <w:sz w:val="13"/>
                  <w:szCs w:val="13"/>
                </w:rPr>
                <w:t>76</w:t>
              </w:r>
            </w:hyperlink>
            <w:hyperlink w:anchor="Srv_84SQL2008R2Webproc"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96" w:name="_Toc336338051"/>
            <w:bookmarkStart w:id="397" w:name="_Toc354054751"/>
            <w:r w:rsidRPr="00BB5519">
              <w:rPr>
                <w:rFonts w:ascii="Tahoma" w:hAnsi="Tahoma" w:cs="Tahoma"/>
                <w:position w:val="0"/>
                <w:sz w:val="14"/>
              </w:rPr>
              <w:t>CAL für SQL Server</w:t>
            </w:r>
            <w:r w:rsidRPr="00BB5519">
              <w:rPr>
                <w:rFonts w:ascii="Tahoma" w:eastAsia="Times New Roman" w:hAnsi="Tahoma" w:cs="Tahoma"/>
                <w:color w:val="000000"/>
                <w:position w:val="0"/>
                <w:sz w:val="18"/>
                <w:szCs w:val="18"/>
                <w:vertAlign w:val="superscript"/>
              </w:rPr>
              <w:t>®</w:t>
            </w:r>
            <w:r w:rsidRPr="00BB5519">
              <w:rPr>
                <w:rFonts w:ascii="Tahoma" w:hAnsi="Tahoma" w:cs="Tahoma"/>
                <w:position w:val="0"/>
                <w:sz w:val="14"/>
              </w:rPr>
              <w:t xml:space="preserve"> 2008 R2 Workgroup</w:t>
            </w:r>
            <w:bookmarkEnd w:id="396"/>
            <w:bookmarkEnd w:id="397"/>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398" w:name="_Toc336338053"/>
            <w:bookmarkStart w:id="399" w:name="_Toc354054752"/>
            <w:r w:rsidRPr="00BB5519">
              <w:rPr>
                <w:rFonts w:ascii="Tahoma" w:hAnsi="Tahoma" w:cs="Tahoma"/>
                <w:position w:val="0"/>
                <w:sz w:val="14"/>
                <w:szCs w:val="18"/>
              </w:rPr>
              <w:t>SQL Server</w:t>
            </w:r>
            <w:r w:rsidRPr="00BB5519">
              <w:rPr>
                <w:rFonts w:ascii="Tahoma" w:eastAsia="Times New Roman" w:hAnsi="Tahoma" w:cs="Tahoma"/>
                <w:color w:val="000000"/>
                <w:position w:val="0"/>
                <w:sz w:val="14"/>
                <w:szCs w:val="18"/>
                <w:vertAlign w:val="superscript"/>
              </w:rPr>
              <w:t>®</w:t>
            </w:r>
            <w:r w:rsidRPr="00BB5519">
              <w:rPr>
                <w:rFonts w:ascii="Tahoma" w:hAnsi="Tahoma" w:cs="Tahoma"/>
                <w:position w:val="0"/>
                <w:sz w:val="14"/>
                <w:szCs w:val="18"/>
              </w:rPr>
              <w:t xml:space="preserve"> 2008 R2 Workgroup (Add-On für 5 Clients)</w:t>
            </w:r>
            <w:bookmarkEnd w:id="398"/>
            <w:bookmarkEnd w:id="399"/>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b w:val="0"/>
                <w:color w:val="000000"/>
                <w:sz w:val="13"/>
                <w:szCs w:val="13"/>
                <w:u w:val="single"/>
              </w:rPr>
            </w:pPr>
            <w:hyperlink w:anchor="_78_76_SQL" w:history="1">
              <w:r w:rsidR="00955428" w:rsidRPr="00BB5519">
                <w:rPr>
                  <w:rStyle w:val="Hyperlink"/>
                  <w:b/>
                  <w:sz w:val="13"/>
                  <w:szCs w:val="13"/>
                </w:rPr>
                <w:t>7</w:t>
              </w:r>
            </w:hyperlink>
            <w:r w:rsidR="00955428" w:rsidRPr="00BB5519">
              <w:rPr>
                <w:b/>
                <w:color w:val="000000"/>
                <w:sz w:val="13"/>
                <w:szCs w:val="13"/>
                <w:u w:val="single"/>
              </w:rPr>
              <w:t>7</w:t>
            </w: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szCs w:val="18"/>
              </w:rPr>
            </w:pPr>
            <w:bookmarkStart w:id="400" w:name="_Toc336338052"/>
            <w:bookmarkStart w:id="401" w:name="_Toc354054753"/>
            <w:r w:rsidRPr="00BB5519">
              <w:rPr>
                <w:rFonts w:ascii="Tahoma" w:hAnsi="Tahoma" w:cs="Tahoma"/>
                <w:position w:val="0"/>
                <w:sz w:val="14"/>
              </w:rPr>
              <w:t>SQL Server</w:t>
            </w:r>
            <w:r w:rsidRPr="00BB5519">
              <w:rPr>
                <w:rFonts w:ascii="Tahoma" w:eastAsia="Times New Roman" w:hAnsi="Tahoma" w:cs="Tahoma"/>
                <w:color w:val="000000"/>
                <w:position w:val="0"/>
                <w:sz w:val="18"/>
                <w:szCs w:val="18"/>
                <w:vertAlign w:val="superscript"/>
              </w:rPr>
              <w:t>®</w:t>
            </w:r>
            <w:r w:rsidRPr="00BB5519">
              <w:rPr>
                <w:rFonts w:ascii="Tahoma" w:hAnsi="Tahoma" w:cs="Tahoma"/>
                <w:position w:val="0"/>
                <w:sz w:val="14"/>
              </w:rPr>
              <w:t xml:space="preserve"> 2008 R2 Workgroup, 1 Prozessorlizenz</w:t>
            </w:r>
            <w:bookmarkEnd w:id="400"/>
            <w:bookmarkEnd w:id="401"/>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b w:val="0"/>
                <w:color w:val="000000"/>
                <w:sz w:val="13"/>
                <w:szCs w:val="13"/>
              </w:rPr>
            </w:pPr>
            <w:hyperlink w:anchor="_79_77_SQL" w:history="1">
              <w:r w:rsidR="00955428" w:rsidRPr="00BB5519">
                <w:rPr>
                  <w:rStyle w:val="Hyperlink"/>
                  <w:b/>
                  <w:sz w:val="13"/>
                  <w:szCs w:val="13"/>
                </w:rPr>
                <w:t>7</w:t>
              </w:r>
            </w:hyperlink>
            <w:r w:rsidR="00955428" w:rsidRPr="00BB5519">
              <w:rPr>
                <w:rStyle w:val="Hyperlink"/>
                <w:b/>
                <w:sz w:val="13"/>
                <w:szCs w:val="13"/>
              </w:rPr>
              <w:t>8</w:t>
            </w: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02" w:name="_Toc336338054"/>
            <w:bookmarkStart w:id="403" w:name="_Toc354054754"/>
            <w:r w:rsidRPr="00BB5519">
              <w:rPr>
                <w:rFonts w:ascii="Tahoma" w:hAnsi="Tahoma" w:cs="Tahoma"/>
                <w:position w:val="0"/>
                <w:sz w:val="14"/>
              </w:rPr>
              <w:t>SQL Server</w:t>
            </w:r>
            <w:r w:rsidRPr="00621662">
              <w:rPr>
                <w:rFonts w:ascii="Tahoma" w:eastAsia="Times New Roman" w:hAnsi="Tahoma" w:cs="Tahoma"/>
                <w:color w:val="000000"/>
                <w:position w:val="0"/>
                <w:sz w:val="14"/>
                <w:szCs w:val="14"/>
                <w:vertAlign w:val="superscript"/>
              </w:rPr>
              <w:t>®</w:t>
            </w:r>
            <w:r w:rsidRPr="00BB5519">
              <w:rPr>
                <w:rFonts w:ascii="Tahoma" w:hAnsi="Tahoma" w:cs="Tahoma"/>
                <w:position w:val="0"/>
                <w:sz w:val="14"/>
              </w:rPr>
              <w:t xml:space="preserve"> 2012 Business Intelligence</w:t>
            </w:r>
            <w:bookmarkEnd w:id="402"/>
            <w:bookmarkEnd w:id="403"/>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38</w:t>
            </w: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75</w:t>
            </w:r>
          </w:p>
        </w:tc>
        <w:tc>
          <w:tcPr>
            <w:tcW w:w="450" w:type="dxa"/>
            <w:gridSpan w:val="2"/>
            <w:tcBorders>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szCs w:val="13"/>
              </w:rPr>
            </w:pPr>
            <w:r w:rsidRPr="00BB551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404" w:name="_Toc336338055"/>
            <w:bookmarkStart w:id="405" w:name="_Toc354054755"/>
            <w:r w:rsidRPr="00BB5519">
              <w:rPr>
                <w:rFonts w:ascii="Tahoma" w:hAnsi="Tahoma" w:cs="Tahoma"/>
                <w:position w:val="0"/>
                <w:sz w:val="14"/>
                <w:lang w:val="de-DE"/>
              </w:rPr>
              <w:t>CAL für SQL Server</w:t>
            </w:r>
            <w:r w:rsidRPr="00621662">
              <w:rPr>
                <w:rFonts w:ascii="Tahoma" w:eastAsia="Times New Roman" w:hAnsi="Tahoma" w:cs="Tahoma"/>
                <w:color w:val="000000"/>
                <w:position w:val="0"/>
                <w:sz w:val="14"/>
                <w:szCs w:val="14"/>
                <w:vertAlign w:val="superscript"/>
                <w:lang w:val="de-DE"/>
              </w:rPr>
              <w:t>®</w:t>
            </w:r>
            <w:r w:rsidRPr="00BB5519">
              <w:rPr>
                <w:rFonts w:ascii="Tahoma" w:hAnsi="Tahoma" w:cs="Tahoma"/>
                <w:position w:val="0"/>
                <w:sz w:val="14"/>
                <w:lang w:val="de-DE"/>
              </w:rPr>
              <w:t xml:space="preserve"> 2012 (Geräte- &amp; Nutzer-AL)</w:t>
            </w:r>
            <w:bookmarkEnd w:id="404"/>
            <w:bookmarkEnd w:id="405"/>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color w:val="000000"/>
                <w:sz w:val="13"/>
                <w:szCs w:val="13"/>
                <w:u w:val="single"/>
                <w:lang w:val="de-D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AO,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60"/>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06" w:name="_Toc336338056"/>
            <w:bookmarkStart w:id="407" w:name="_Toc354054756"/>
            <w:r w:rsidRPr="00BB5519">
              <w:rPr>
                <w:rFonts w:ascii="Tahoma" w:hAnsi="Tahoma" w:cs="Tahoma"/>
                <w:position w:val="0"/>
                <w:sz w:val="14"/>
              </w:rPr>
              <w:t>SQL Server</w:t>
            </w:r>
            <w:r w:rsidRPr="00621662">
              <w:rPr>
                <w:rFonts w:ascii="Tahoma" w:eastAsia="Times New Roman" w:hAnsi="Tahoma" w:cs="Tahoma"/>
                <w:color w:val="000000"/>
                <w:position w:val="0"/>
                <w:sz w:val="14"/>
                <w:szCs w:val="14"/>
                <w:vertAlign w:val="superscript"/>
              </w:rPr>
              <w:t>®</w:t>
            </w:r>
            <w:r w:rsidRPr="00BB5519">
              <w:rPr>
                <w:rFonts w:ascii="Tahoma" w:hAnsi="Tahoma" w:cs="Tahoma"/>
                <w:position w:val="0"/>
                <w:sz w:val="14"/>
              </w:rPr>
              <w:t xml:space="preserve"> 2012 Developer</w:t>
            </w:r>
            <w:bookmarkEnd w:id="406"/>
            <w:bookmarkEnd w:id="407"/>
            <w:r w:rsidRPr="00BB5519">
              <w:rPr>
                <w:rFonts w:ascii="Tahoma" w:hAnsi="Tahoma" w:cs="Tahoma"/>
                <w:position w:val="0"/>
                <w:sz w:val="14"/>
              </w:rPr>
              <w:t xml:space="preserve"> </w:t>
            </w:r>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b w:val="0"/>
                <w:color w:val="000000"/>
                <w:sz w:val="13"/>
                <w:szCs w:val="13"/>
              </w:rPr>
            </w:pPr>
            <w:hyperlink w:anchor="_79_SQL_Server®" w:history="1">
              <w:r w:rsidR="00955428" w:rsidRPr="00094D46">
                <w:rPr>
                  <w:rStyle w:val="Hyperlink"/>
                  <w:b/>
                  <w:sz w:val="13"/>
                  <w:szCs w:val="13"/>
                </w:rPr>
                <w:t>79</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08" w:name="_Toc336338057"/>
            <w:bookmarkStart w:id="409" w:name="_Toc354054757"/>
            <w:r w:rsidRPr="00BB5519">
              <w:rPr>
                <w:rFonts w:ascii="Tahoma" w:hAnsi="Tahoma" w:cs="Tahoma"/>
                <w:position w:val="0"/>
                <w:sz w:val="14"/>
              </w:rPr>
              <w:t>SQL Server</w:t>
            </w:r>
            <w:r w:rsidRPr="00621662">
              <w:rPr>
                <w:rFonts w:ascii="Tahoma" w:eastAsia="Times New Roman" w:hAnsi="Tahoma" w:cs="Tahoma"/>
                <w:color w:val="000000"/>
                <w:position w:val="0"/>
                <w:sz w:val="14"/>
                <w:szCs w:val="14"/>
                <w:vertAlign w:val="superscript"/>
              </w:rPr>
              <w:t>®</w:t>
            </w:r>
            <w:r w:rsidRPr="00BB5519">
              <w:rPr>
                <w:rFonts w:ascii="Tahoma" w:hAnsi="Tahoma" w:cs="Tahoma"/>
                <w:position w:val="0"/>
                <w:sz w:val="14"/>
              </w:rPr>
              <w:t xml:space="preserve"> 2012 Enterprise</w:t>
            </w:r>
            <w:bookmarkEnd w:id="408"/>
            <w:bookmarkEnd w:id="409"/>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b w:val="0"/>
                <w:color w:val="000000"/>
                <w:sz w:val="13"/>
                <w:szCs w:val="13"/>
              </w:rPr>
            </w:pPr>
            <w:hyperlink w:anchor="_81_79_SQL" w:history="1">
              <w:r w:rsidR="002E59B1" w:rsidRPr="004F7501">
                <w:rPr>
                  <w:rStyle w:val="Hyperlink"/>
                  <w:b/>
                  <w:sz w:val="13"/>
                  <w:szCs w:val="13"/>
                </w:rPr>
                <w:t>80</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188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113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113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10" w:name="_Toc336338058"/>
            <w:bookmarkStart w:id="411" w:name="_Toc354054758"/>
            <w:r w:rsidRPr="00BB5519">
              <w:rPr>
                <w:rFonts w:ascii="Tahoma" w:hAnsi="Tahoma" w:cs="Tahoma"/>
                <w:position w:val="0"/>
                <w:sz w:val="14"/>
              </w:rPr>
              <w:t>SQL Server</w:t>
            </w:r>
            <w:r w:rsidRPr="00621662">
              <w:rPr>
                <w:rFonts w:ascii="Tahoma" w:eastAsia="Times New Roman" w:hAnsi="Tahoma" w:cs="Tahoma"/>
                <w:color w:val="000000"/>
                <w:position w:val="0"/>
                <w:sz w:val="14"/>
                <w:szCs w:val="14"/>
                <w:vertAlign w:val="superscript"/>
              </w:rPr>
              <w:t>®</w:t>
            </w:r>
            <w:r w:rsidRPr="00BB5519">
              <w:rPr>
                <w:rFonts w:ascii="Tahoma" w:hAnsi="Tahoma" w:cs="Tahoma"/>
                <w:position w:val="0"/>
                <w:sz w:val="14"/>
              </w:rPr>
              <w:t xml:space="preserve"> 2012 Enterprise Core (2 Pack Core-Lizenz)</w:t>
            </w:r>
            <w:bookmarkEnd w:id="410"/>
            <w:bookmarkEnd w:id="411"/>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b w:val="0"/>
                <w:color w:val="0000FF"/>
                <w:sz w:val="13"/>
                <w:szCs w:val="13"/>
                <w:u w:val="single"/>
              </w:rPr>
            </w:pPr>
            <w:hyperlink w:anchor="_81_SQL_Server®" w:history="1">
              <w:r w:rsidR="00955428" w:rsidRPr="00094D46">
                <w:rPr>
                  <w:rStyle w:val="Hyperlink"/>
                  <w:b/>
                  <w:sz w:val="13"/>
                  <w:szCs w:val="13"/>
                </w:rPr>
                <w:t>81</w:t>
              </w:r>
            </w:hyperlink>
            <w:hyperlink w:anchor="Srv_89SQLServer2012EnterpriseCore"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313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188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188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63</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12" w:name="_Toc336338046"/>
            <w:bookmarkStart w:id="413" w:name="_Toc354054759"/>
            <w:r w:rsidRPr="00BB5519">
              <w:rPr>
                <w:rFonts w:ascii="Tahoma" w:hAnsi="Tahoma" w:cs="Tahoma"/>
                <w:position w:val="0"/>
                <w:sz w:val="14"/>
              </w:rPr>
              <w:t>SQL Server</w:t>
            </w:r>
            <w:r w:rsidRPr="00621662">
              <w:rPr>
                <w:rFonts w:ascii="Tahoma" w:eastAsia="Times New Roman" w:hAnsi="Tahoma" w:cs="Tahoma"/>
                <w:color w:val="000000"/>
                <w:position w:val="0"/>
                <w:sz w:val="14"/>
                <w:szCs w:val="14"/>
                <w:vertAlign w:val="superscript"/>
              </w:rPr>
              <w:t>®</w:t>
            </w:r>
            <w:r w:rsidRPr="00BB5519">
              <w:rPr>
                <w:rFonts w:ascii="Tahoma" w:hAnsi="Tahoma" w:cs="Tahoma"/>
                <w:position w:val="0"/>
                <w:sz w:val="14"/>
              </w:rPr>
              <w:t xml:space="preserve"> 2012 Parallel </w:t>
            </w:r>
            <w:r w:rsidR="002E6EC0">
              <w:rPr>
                <w:rFonts w:ascii="Tahoma" w:hAnsi="Tahoma" w:cs="Tahoma"/>
                <w:position w:val="0"/>
                <w:sz w:val="14"/>
              </w:rPr>
              <w:br/>
            </w:r>
            <w:r w:rsidRPr="00BB5519">
              <w:rPr>
                <w:rFonts w:ascii="Tahoma" w:hAnsi="Tahoma" w:cs="Tahoma"/>
                <w:position w:val="0"/>
                <w:sz w:val="14"/>
              </w:rPr>
              <w:t>Data Warehouse</w:t>
            </w:r>
            <w:bookmarkEnd w:id="412"/>
            <w:bookmarkEnd w:id="413"/>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rFonts w:cs="Tahoma"/>
                <w:b w:val="0"/>
                <w:color w:val="000000"/>
                <w:sz w:val="13"/>
                <w:szCs w:val="13"/>
                <w:u w:val="single"/>
              </w:rPr>
            </w:pPr>
            <w:hyperlink w:anchor="_81_SQL_Server" w:history="1">
              <w:r w:rsidR="00955428" w:rsidRPr="00BB5519">
                <w:rPr>
                  <w:rStyle w:val="Hyperlink"/>
                  <w:b/>
                  <w:sz w:val="13"/>
                  <w:szCs w:val="13"/>
                </w:rPr>
                <w:t>8</w:t>
              </w:r>
            </w:hyperlink>
            <w:r w:rsidR="00955428" w:rsidRPr="00BB5519">
              <w:rPr>
                <w:rStyle w:val="Hyperlink"/>
                <w:b/>
                <w:sz w:val="13"/>
                <w:szCs w:val="13"/>
              </w:rPr>
              <w:t>2</w:t>
            </w:r>
            <w:hyperlink w:anchor="_80_SQL_Server"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400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14" w:name="_Toc336338047"/>
            <w:bookmarkStart w:id="415" w:name="_Toc354054760"/>
            <w:r w:rsidRPr="00BB5519">
              <w:rPr>
                <w:rFonts w:ascii="Tahoma" w:hAnsi="Tahoma" w:cs="Tahoma"/>
                <w:position w:val="0"/>
                <w:sz w:val="14"/>
              </w:rPr>
              <w:t>SQL Server</w:t>
            </w:r>
            <w:r w:rsidRPr="00621662">
              <w:rPr>
                <w:rFonts w:ascii="Tahoma" w:eastAsia="Times New Roman" w:hAnsi="Tahoma" w:cs="Tahoma"/>
                <w:color w:val="000000"/>
                <w:position w:val="0"/>
                <w:sz w:val="14"/>
                <w:szCs w:val="14"/>
                <w:vertAlign w:val="superscript"/>
              </w:rPr>
              <w:t>®</w:t>
            </w:r>
            <w:r w:rsidRPr="00BB5519">
              <w:rPr>
                <w:rFonts w:ascii="Tahoma" w:hAnsi="Tahoma" w:cs="Tahoma"/>
                <w:position w:val="0"/>
                <w:sz w:val="14"/>
              </w:rPr>
              <w:t xml:space="preserve"> 2012 Parallel Data Warehouse</w:t>
            </w:r>
            <w:r w:rsidR="002E6EC0">
              <w:rPr>
                <w:rFonts w:ascii="Tahoma" w:hAnsi="Tahoma" w:cs="Tahoma"/>
                <w:position w:val="0"/>
                <w:sz w:val="14"/>
              </w:rPr>
              <w:t> </w:t>
            </w:r>
            <w:r w:rsidRPr="00BB5519">
              <w:rPr>
                <w:rFonts w:ascii="Tahoma" w:hAnsi="Tahoma" w:cs="Tahoma"/>
                <w:position w:val="0"/>
                <w:sz w:val="14"/>
              </w:rPr>
              <w:t>Developer</w:t>
            </w:r>
            <w:bookmarkEnd w:id="414"/>
            <w:bookmarkEnd w:id="415"/>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16" w:name="_Toc336338059"/>
            <w:bookmarkStart w:id="417" w:name="_Toc354054761"/>
            <w:r w:rsidRPr="00BB5519">
              <w:rPr>
                <w:rFonts w:ascii="Tahoma" w:hAnsi="Tahoma" w:cs="Tahoma"/>
                <w:position w:val="0"/>
                <w:sz w:val="14"/>
              </w:rPr>
              <w:t>SQL Server</w:t>
            </w:r>
            <w:r w:rsidRPr="00621662">
              <w:rPr>
                <w:rFonts w:ascii="Tahoma" w:eastAsia="Times New Roman" w:hAnsi="Tahoma" w:cs="Tahoma"/>
                <w:color w:val="000000"/>
                <w:position w:val="0"/>
                <w:sz w:val="14"/>
                <w:szCs w:val="14"/>
                <w:vertAlign w:val="superscript"/>
              </w:rPr>
              <w:t>®</w:t>
            </w:r>
            <w:r w:rsidRPr="00BB5519">
              <w:rPr>
                <w:rFonts w:ascii="Tahoma" w:hAnsi="Tahoma" w:cs="Tahoma"/>
                <w:position w:val="0"/>
                <w:sz w:val="14"/>
              </w:rPr>
              <w:t xml:space="preserve"> 2012 Standard</w:t>
            </w:r>
            <w:bookmarkEnd w:id="416"/>
            <w:bookmarkEnd w:id="417"/>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rFonts w:cs="Tahoma"/>
                <w:b w:val="0"/>
                <w:color w:val="0000FF"/>
                <w:sz w:val="13"/>
                <w:szCs w:val="13"/>
                <w:u w:val="single"/>
              </w:rPr>
            </w:pPr>
            <w:hyperlink w:anchor="_82_SQL_Server®" w:history="1">
              <w:r w:rsidR="00955428" w:rsidRPr="00BB5519">
                <w:rPr>
                  <w:rStyle w:val="Hyperlink"/>
                  <w:b/>
                  <w:sz w:val="13"/>
                  <w:szCs w:val="13"/>
                </w:rPr>
                <w:t>8</w:t>
              </w:r>
            </w:hyperlink>
            <w:r w:rsidR="00955428" w:rsidRPr="00BB5519">
              <w:rPr>
                <w:rStyle w:val="Hyperlink"/>
                <w:b/>
                <w:sz w:val="13"/>
                <w:szCs w:val="13"/>
              </w:rPr>
              <w:t>3</w:t>
            </w:r>
            <w:hyperlink w:anchor="Srv_90SQLServer2012Standard"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8</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2E6EC0">
            <w:pPr>
              <w:pStyle w:val="ProductNames"/>
              <w:spacing w:beforeLines="20" w:before="48" w:afterLines="20" w:after="48"/>
              <w:rPr>
                <w:rFonts w:ascii="Tahoma" w:hAnsi="Tahoma" w:cs="Tahoma"/>
                <w:position w:val="0"/>
                <w:sz w:val="14"/>
              </w:rPr>
            </w:pPr>
            <w:bookmarkStart w:id="418" w:name="_Toc336338060"/>
            <w:bookmarkStart w:id="419" w:name="_Toc354054762"/>
            <w:r w:rsidRPr="00BB5519">
              <w:rPr>
                <w:rFonts w:ascii="Tahoma" w:hAnsi="Tahoma" w:cs="Tahoma"/>
                <w:position w:val="0"/>
                <w:sz w:val="14"/>
              </w:rPr>
              <w:t>SQL Server</w:t>
            </w:r>
            <w:r w:rsidRPr="00621662">
              <w:rPr>
                <w:rFonts w:ascii="Tahoma" w:eastAsia="Times New Roman" w:hAnsi="Tahoma" w:cs="Tahoma"/>
                <w:color w:val="000000"/>
                <w:position w:val="0"/>
                <w:sz w:val="14"/>
                <w:szCs w:val="14"/>
                <w:vertAlign w:val="superscript"/>
              </w:rPr>
              <w:t>®</w:t>
            </w:r>
            <w:r w:rsidRPr="00BB5519">
              <w:rPr>
                <w:rFonts w:ascii="Tahoma" w:hAnsi="Tahoma" w:cs="Tahoma"/>
                <w:position w:val="0"/>
                <w:sz w:val="14"/>
              </w:rPr>
              <w:t xml:space="preserve"> 2012 Standard Core (2</w:t>
            </w:r>
            <w:r w:rsidR="002E6EC0">
              <w:rPr>
                <w:rFonts w:ascii="Tahoma" w:hAnsi="Tahoma" w:cs="Tahoma"/>
                <w:position w:val="0"/>
                <w:sz w:val="14"/>
              </w:rPr>
              <w:t> </w:t>
            </w:r>
            <w:r w:rsidRPr="00BB5519">
              <w:rPr>
                <w:rFonts w:ascii="Tahoma" w:hAnsi="Tahoma" w:cs="Tahoma"/>
                <w:position w:val="0"/>
                <w:sz w:val="14"/>
              </w:rPr>
              <w:t>Pack</w:t>
            </w:r>
            <w:r w:rsidR="002E6EC0">
              <w:rPr>
                <w:rFonts w:ascii="Tahoma" w:hAnsi="Tahoma" w:cs="Tahoma"/>
                <w:position w:val="0"/>
                <w:sz w:val="14"/>
              </w:rPr>
              <w:t> </w:t>
            </w:r>
            <w:r w:rsidRPr="00BB5519">
              <w:rPr>
                <w:rFonts w:ascii="Tahoma" w:hAnsi="Tahoma" w:cs="Tahoma"/>
                <w:position w:val="0"/>
                <w:sz w:val="14"/>
              </w:rPr>
              <w:t>Core-Lizenz)</w:t>
            </w:r>
            <w:bookmarkEnd w:id="418"/>
            <w:bookmarkEnd w:id="419"/>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rFonts w:cs="Tahoma"/>
                <w:b w:val="0"/>
                <w:color w:val="000000"/>
                <w:sz w:val="13"/>
                <w:szCs w:val="13"/>
                <w:u w:val="single"/>
              </w:rPr>
            </w:pPr>
            <w:hyperlink w:anchor="_84_SQL_Server®" w:history="1">
              <w:r w:rsidR="00955428" w:rsidRPr="00094D46">
                <w:rPr>
                  <w:rStyle w:val="Hyperlink"/>
                  <w:b/>
                  <w:sz w:val="13"/>
                  <w:szCs w:val="13"/>
                </w:rPr>
                <w:t>84</w:t>
              </w:r>
            </w:hyperlink>
            <w:hyperlink w:anchor="Srv_91SQLServer2012StandardCore"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2E6EC0">
            <w:pPr>
              <w:pStyle w:val="ProductNames"/>
              <w:spacing w:beforeLines="20" w:before="48" w:afterLines="20" w:after="48"/>
              <w:rPr>
                <w:rFonts w:ascii="Tahoma" w:hAnsi="Tahoma" w:cs="Tahoma"/>
                <w:position w:val="0"/>
                <w:sz w:val="14"/>
              </w:rPr>
            </w:pPr>
            <w:bookmarkStart w:id="420" w:name="_Toc336338062"/>
            <w:bookmarkStart w:id="421" w:name="_Toc354054763"/>
            <w:r w:rsidRPr="00BB5519">
              <w:rPr>
                <w:rFonts w:ascii="Tahoma" w:hAnsi="Tahoma" w:cs="Tahoma"/>
                <w:position w:val="0"/>
                <w:sz w:val="14"/>
              </w:rPr>
              <w:t>Enterprise-Server-Management-Lizenz für</w:t>
            </w:r>
            <w:r w:rsidR="002E6EC0">
              <w:rPr>
                <w:rFonts w:ascii="Tahoma" w:hAnsi="Tahoma" w:cs="Tahoma"/>
                <w:position w:val="0"/>
                <w:sz w:val="14"/>
              </w:rPr>
              <w:t> </w:t>
            </w:r>
            <w:r w:rsidRPr="00BB5519">
              <w:rPr>
                <w:rFonts w:ascii="Tahoma" w:hAnsi="Tahoma" w:cs="Tahoma"/>
                <w:position w:val="0"/>
                <w:sz w:val="14"/>
              </w:rPr>
              <w:t>System Center Configuration Manager</w:t>
            </w:r>
            <w:r w:rsidR="002E6EC0">
              <w:rPr>
                <w:rFonts w:ascii="Tahoma" w:hAnsi="Tahoma" w:cs="Tahoma"/>
                <w:position w:val="0"/>
                <w:sz w:val="14"/>
              </w:rPr>
              <w:t> </w:t>
            </w:r>
            <w:r w:rsidRPr="00BB5519">
              <w:rPr>
                <w:rFonts w:ascii="Tahoma" w:hAnsi="Tahoma" w:cs="Tahoma"/>
                <w:position w:val="0"/>
                <w:sz w:val="14"/>
              </w:rPr>
              <w:t>2007 R3</w:t>
            </w:r>
            <w:bookmarkEnd w:id="420"/>
            <w:bookmarkEnd w:id="421"/>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80"/>
              <w:rPr>
                <w:rFonts w:ascii="Tahoma" w:hAnsi="Tahoma" w:cs="Tahoma"/>
                <w:color w:val="000000"/>
                <w:sz w:val="13"/>
              </w:rPr>
            </w:pPr>
            <w:r w:rsidRPr="00BB5519">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422" w:name="_Toc336338063"/>
            <w:bookmarkStart w:id="423" w:name="_Toc354054764"/>
            <w:r w:rsidRPr="00BB5519">
              <w:rPr>
                <w:rFonts w:ascii="Tahoma" w:hAnsi="Tahoma" w:cs="Tahoma"/>
                <w:position w:val="0"/>
                <w:sz w:val="14"/>
                <w:lang w:val="de-DE"/>
              </w:rPr>
              <w:t>Standard-Server-Management-Lizenz (Standard-Server-ML) für System Center Configuration Manager 2007 R3</w:t>
            </w:r>
            <w:bookmarkEnd w:id="422"/>
            <w:bookmarkEnd w:id="423"/>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color w:val="0000FF"/>
                <w:sz w:val="13"/>
                <w:szCs w:val="13"/>
                <w:u w:val="single"/>
                <w:lang w:val="de-D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80"/>
              <w:rPr>
                <w:rFonts w:ascii="Tahoma" w:hAnsi="Tahoma" w:cs="Tahoma"/>
                <w:color w:val="000000"/>
                <w:sz w:val="13"/>
              </w:rPr>
            </w:pPr>
            <w:r w:rsidRPr="00BB5519">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D15040">
            <w:pPr>
              <w:pStyle w:val="ProductNames"/>
              <w:spacing w:beforeLines="10" w:before="24" w:afterLines="10" w:after="24"/>
              <w:rPr>
                <w:rFonts w:ascii="Tahoma" w:hAnsi="Tahoma" w:cs="Tahoma"/>
                <w:position w:val="0"/>
                <w:sz w:val="14"/>
              </w:rPr>
            </w:pPr>
            <w:bookmarkStart w:id="424" w:name="_Toc257333903"/>
            <w:bookmarkStart w:id="425" w:name="_Toc336338067"/>
            <w:bookmarkStart w:id="426" w:name="_Toc354054765"/>
            <w:r w:rsidRPr="00BB5519">
              <w:rPr>
                <w:rFonts w:ascii="Tahoma" w:hAnsi="Tahoma" w:cs="Tahoma"/>
                <w:position w:val="0"/>
                <w:sz w:val="14"/>
              </w:rPr>
              <w:lastRenderedPageBreak/>
              <w:t>Enterprise-Server-Management-Lizenz für System Center Data Protection Manager</w:t>
            </w:r>
            <w:r w:rsidR="00D15040">
              <w:rPr>
                <w:rFonts w:ascii="Tahoma" w:hAnsi="Tahoma" w:cs="Tahoma"/>
                <w:position w:val="0"/>
                <w:sz w:val="14"/>
              </w:rPr>
              <w:t> </w:t>
            </w:r>
            <w:r w:rsidRPr="00BB5519">
              <w:rPr>
                <w:rFonts w:ascii="Tahoma" w:hAnsi="Tahoma" w:cs="Tahoma"/>
                <w:position w:val="0"/>
                <w:sz w:val="14"/>
              </w:rPr>
              <w:t>2010</w:t>
            </w:r>
            <w:bookmarkEnd w:id="424"/>
            <w:bookmarkEnd w:id="425"/>
            <w:bookmarkEnd w:id="426"/>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80"/>
              <w:rPr>
                <w:rFonts w:ascii="Tahoma" w:hAnsi="Tahoma" w:cs="Tahoma"/>
                <w:color w:val="000000"/>
                <w:sz w:val="13"/>
              </w:rPr>
            </w:pPr>
            <w:r w:rsidRPr="00BB5519">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AO,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D15040">
            <w:pPr>
              <w:pStyle w:val="ProductNames"/>
              <w:spacing w:beforeLines="10" w:before="24" w:afterLines="10" w:after="24"/>
              <w:rPr>
                <w:rFonts w:ascii="Tahoma" w:hAnsi="Tahoma" w:cs="Tahoma"/>
                <w:position w:val="0"/>
                <w:sz w:val="14"/>
              </w:rPr>
            </w:pPr>
            <w:bookmarkStart w:id="427" w:name="_Toc257333904"/>
            <w:bookmarkStart w:id="428" w:name="_Toc336338068"/>
            <w:bookmarkStart w:id="429" w:name="_Toc354054766"/>
            <w:r w:rsidRPr="00BB5519">
              <w:rPr>
                <w:rFonts w:ascii="Tahoma" w:hAnsi="Tahoma" w:cs="Tahoma"/>
                <w:position w:val="0"/>
                <w:sz w:val="14"/>
              </w:rPr>
              <w:t>Standard-Server-Management-Lizenz für System Center Data Protection Manager</w:t>
            </w:r>
            <w:r w:rsidR="00D15040">
              <w:rPr>
                <w:rFonts w:ascii="Tahoma" w:hAnsi="Tahoma" w:cs="Tahoma"/>
                <w:position w:val="0"/>
                <w:sz w:val="14"/>
              </w:rPr>
              <w:t> </w:t>
            </w:r>
            <w:r w:rsidRPr="00BB5519">
              <w:rPr>
                <w:rFonts w:ascii="Tahoma" w:hAnsi="Tahoma" w:cs="Tahoma"/>
                <w:position w:val="0"/>
                <w:sz w:val="14"/>
              </w:rPr>
              <w:t>2010</w:t>
            </w:r>
            <w:bookmarkEnd w:id="427"/>
            <w:bookmarkEnd w:id="428"/>
            <w:bookmarkEnd w:id="429"/>
            <w:r w:rsidRPr="00BB5519">
              <w:rPr>
                <w:rFonts w:ascii="Tahoma" w:hAnsi="Tahoma" w:cs="Tahoma"/>
                <w:position w:val="0"/>
                <w:sz w:val="14"/>
              </w:rPr>
              <w:t xml:space="preserve"> </w:t>
            </w:r>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80"/>
              <w:rPr>
                <w:rFonts w:ascii="Tahoma" w:hAnsi="Tahoma" w:cs="Tahoma"/>
                <w:color w:val="000000"/>
                <w:sz w:val="13"/>
              </w:rPr>
            </w:pPr>
            <w:r w:rsidRPr="00BB5519">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AO,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30" w:name="_Toc336338069"/>
            <w:bookmarkStart w:id="431" w:name="_Toc354054767"/>
            <w:bookmarkStart w:id="432" w:name="_Toc257333905"/>
            <w:r w:rsidRPr="00BB5519">
              <w:rPr>
                <w:rFonts w:ascii="Tahoma" w:hAnsi="Tahoma" w:cs="Tahoma"/>
                <w:position w:val="0"/>
                <w:sz w:val="14"/>
              </w:rPr>
              <w:t>System Center Essentials 2010</w:t>
            </w:r>
            <w:bookmarkEnd w:id="430"/>
            <w:bookmarkEnd w:id="431"/>
            <w:r w:rsidRPr="00BB5519">
              <w:rPr>
                <w:rFonts w:ascii="Tahoma" w:hAnsi="Tahoma" w:cs="Tahoma"/>
                <w:position w:val="0"/>
                <w:sz w:val="14"/>
              </w:rPr>
              <w:t xml:space="preserve"> </w:t>
            </w:r>
            <w:bookmarkEnd w:id="432"/>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b w:val="0"/>
                <w:color w:val="0000FF"/>
                <w:sz w:val="13"/>
                <w:szCs w:val="13"/>
                <w:u w:val="single"/>
              </w:rPr>
            </w:pPr>
            <w:hyperlink w:anchor="_79_System_Center" w:history="1">
              <w:r w:rsidR="00955428" w:rsidRPr="00094D46">
                <w:rPr>
                  <w:rStyle w:val="Hyperlink"/>
                  <w:b/>
                  <w:sz w:val="13"/>
                  <w:szCs w:val="13"/>
                </w:rPr>
                <w:t>85</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C0225C">
            <w:pPr>
              <w:pStyle w:val="ProductNames"/>
              <w:keepNext/>
              <w:spacing w:beforeLines="20" w:before="48" w:afterLines="20" w:after="48"/>
              <w:rPr>
                <w:rFonts w:ascii="Tahoma" w:hAnsi="Tahoma" w:cs="Tahoma"/>
                <w:position w:val="0"/>
                <w:sz w:val="14"/>
                <w:lang w:val="de-DE"/>
              </w:rPr>
            </w:pPr>
            <w:bookmarkStart w:id="433" w:name="_Toc257333906"/>
            <w:bookmarkStart w:id="434" w:name="_Toc336338070"/>
            <w:bookmarkStart w:id="435" w:name="_Toc354054768"/>
            <w:r w:rsidRPr="00BB5519">
              <w:rPr>
                <w:rFonts w:ascii="Tahoma" w:hAnsi="Tahoma" w:cs="Tahoma"/>
                <w:position w:val="0"/>
                <w:sz w:val="14"/>
                <w:lang w:val="de-DE"/>
              </w:rPr>
              <w:t>Client-ML für System Center Essentials</w:t>
            </w:r>
            <w:r w:rsidR="002E6EC0">
              <w:rPr>
                <w:rFonts w:ascii="Tahoma" w:hAnsi="Tahoma" w:cs="Tahoma"/>
                <w:position w:val="0"/>
                <w:sz w:val="14"/>
                <w:lang w:val="de-DE"/>
              </w:rPr>
              <w:t> </w:t>
            </w:r>
            <w:r w:rsidRPr="00BB5519">
              <w:rPr>
                <w:rFonts w:ascii="Tahoma" w:hAnsi="Tahoma" w:cs="Tahoma"/>
                <w:position w:val="0"/>
                <w:sz w:val="14"/>
                <w:lang w:val="de-DE"/>
              </w:rPr>
              <w:t>2010</w:t>
            </w:r>
            <w:bookmarkEnd w:id="433"/>
            <w:bookmarkEnd w:id="434"/>
            <w:bookmarkEnd w:id="435"/>
          </w:p>
        </w:tc>
        <w:tc>
          <w:tcPr>
            <w:tcW w:w="63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rPr>
                <w:rStyle w:val="EndnoteReference"/>
                <w:sz w:val="13"/>
                <w:szCs w:val="13"/>
                <w:u w:val="single"/>
                <w:lang w:val="de-DE"/>
              </w:rPr>
            </w:pPr>
          </w:p>
        </w:tc>
        <w:tc>
          <w:tcPr>
            <w:tcW w:w="450" w:type="dxa"/>
            <w:tcBorders>
              <w:bottom w:val="single" w:sz="4" w:space="0" w:color="auto"/>
            </w:tcBorders>
            <w:shd w:val="clear" w:color="auto" w:fill="FABF8F"/>
          </w:tcPr>
          <w:p w:rsidR="001A63C6" w:rsidRPr="00BB5519" w:rsidRDefault="001A63C6" w:rsidP="00C0225C">
            <w:pPr>
              <w:pStyle w:val="TableText"/>
              <w:keepNext/>
              <w:keepLines/>
              <w:widowControl w:val="0"/>
              <w:spacing w:before="1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r w:rsidRPr="00BB5519">
              <w:rPr>
                <w:rFonts w:ascii="Tahoma" w:hAnsi="Tahoma" w:cs="Tahoma"/>
                <w:color w:val="000000"/>
                <w:sz w:val="13"/>
              </w:rPr>
              <w:t>1</w:t>
            </w:r>
          </w:p>
        </w:tc>
        <w:tc>
          <w:tcPr>
            <w:tcW w:w="450" w:type="dxa"/>
            <w:gridSpan w:val="2"/>
            <w:tcBorders>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BB5519" w:rsidRDefault="001A63C6" w:rsidP="00C0225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C0225C">
            <w:pPr>
              <w:pStyle w:val="TableText"/>
              <w:keepNext/>
              <w:keepLines/>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D15040">
            <w:pPr>
              <w:pStyle w:val="ProductNames"/>
              <w:spacing w:beforeLines="20" w:before="48" w:afterLines="20" w:after="48"/>
              <w:rPr>
                <w:rFonts w:ascii="Tahoma" w:hAnsi="Tahoma" w:cs="Tahoma"/>
                <w:position w:val="0"/>
                <w:sz w:val="14"/>
                <w:lang w:val="de-DE"/>
              </w:rPr>
            </w:pPr>
            <w:bookmarkStart w:id="436" w:name="_Toc257333908"/>
            <w:bookmarkStart w:id="437" w:name="_Toc336338071"/>
            <w:bookmarkStart w:id="438" w:name="_Toc354054769"/>
            <w:r w:rsidRPr="00BB5519">
              <w:rPr>
                <w:rFonts w:ascii="Tahoma" w:hAnsi="Tahoma" w:cs="Tahoma"/>
                <w:position w:val="0"/>
                <w:sz w:val="14"/>
                <w:lang w:val="de-DE"/>
              </w:rPr>
              <w:t>Server-ML für System Center Essentials</w:t>
            </w:r>
            <w:r w:rsidR="00D15040">
              <w:rPr>
                <w:rFonts w:ascii="Tahoma" w:hAnsi="Tahoma" w:cs="Tahoma"/>
                <w:position w:val="0"/>
                <w:sz w:val="14"/>
                <w:lang w:val="de-DE"/>
              </w:rPr>
              <w:t> </w:t>
            </w:r>
            <w:r w:rsidRPr="00BB5519">
              <w:rPr>
                <w:rFonts w:ascii="Tahoma" w:hAnsi="Tahoma" w:cs="Tahoma"/>
                <w:position w:val="0"/>
                <w:sz w:val="14"/>
                <w:lang w:val="de-DE"/>
              </w:rPr>
              <w:t>2010</w:t>
            </w:r>
            <w:bookmarkEnd w:id="436"/>
            <w:bookmarkEnd w:id="437"/>
            <w:bookmarkEnd w:id="438"/>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sz w:val="13"/>
                <w:szCs w:val="13"/>
                <w:u w:val="single"/>
                <w:lang w:val="de-D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439" w:name="_Toc336338072"/>
            <w:bookmarkStart w:id="440" w:name="_Toc354054770"/>
            <w:bookmarkStart w:id="441" w:name="_Toc257333910"/>
            <w:r w:rsidRPr="00BB5519">
              <w:rPr>
                <w:rFonts w:ascii="Tahoma" w:hAnsi="Tahoma" w:cs="Tahoma"/>
                <w:position w:val="0"/>
                <w:sz w:val="14"/>
                <w:lang w:val="de-DE"/>
              </w:rPr>
              <w:t>System Center Essentials 2010 mit SQL Server 2008-Technologie</w:t>
            </w:r>
            <w:bookmarkEnd w:id="439"/>
            <w:bookmarkEnd w:id="440"/>
            <w:r w:rsidRPr="00BB5519">
              <w:rPr>
                <w:rFonts w:ascii="Tahoma" w:hAnsi="Tahoma" w:cs="Tahoma"/>
                <w:position w:val="0"/>
                <w:sz w:val="14"/>
                <w:lang w:val="de-DE"/>
              </w:rPr>
              <w:t xml:space="preserve"> </w:t>
            </w:r>
            <w:bookmarkEnd w:id="441"/>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sz w:val="13"/>
                <w:szCs w:val="13"/>
                <w:u w:val="single"/>
                <w:lang w:val="de-D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200"/>
              <w:rPr>
                <w:rFonts w:ascii="Tahoma" w:hAnsi="Tahoma" w:cs="Tahoma"/>
                <w:color w:val="000000"/>
                <w:sz w:val="13"/>
                <w:lang w:val="de-DE"/>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lang w:val="de-DE"/>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6468EC">
            <w:pPr>
              <w:pStyle w:val="ProductNames"/>
              <w:keepNext/>
              <w:spacing w:beforeLines="20" w:before="48" w:afterLines="20" w:after="48"/>
              <w:rPr>
                <w:rFonts w:ascii="Tahoma" w:hAnsi="Tahoma" w:cs="Tahoma"/>
                <w:position w:val="0"/>
                <w:sz w:val="14"/>
              </w:rPr>
            </w:pPr>
            <w:bookmarkStart w:id="442" w:name="_Toc336338073"/>
            <w:bookmarkStart w:id="443" w:name="_Toc354054771"/>
            <w:r w:rsidRPr="00BB5519">
              <w:rPr>
                <w:rFonts w:ascii="Tahoma" w:hAnsi="Tahoma" w:cs="Tahoma"/>
                <w:position w:val="0"/>
                <w:sz w:val="14"/>
              </w:rPr>
              <w:t>Lizenz-Suite für System Center Essentials Plus 2010 Client-Management</w:t>
            </w:r>
            <w:bookmarkEnd w:id="442"/>
            <w:bookmarkEnd w:id="443"/>
          </w:p>
        </w:tc>
        <w:tc>
          <w:tcPr>
            <w:tcW w:w="63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auto"/>
          </w:tcPr>
          <w:p w:rsidR="001A63C6" w:rsidRPr="00BB5519" w:rsidRDefault="001A63C6" w:rsidP="006468EC">
            <w:pPr>
              <w:pStyle w:val="TableText"/>
              <w:keepNext/>
              <w:keepLines/>
              <w:widowControl w:val="0"/>
              <w:spacing w:before="80"/>
              <w:rPr>
                <w:rFonts w:ascii="Tahoma" w:hAnsi="Tahoma" w:cs="Tahoma"/>
                <w:color w:val="000000"/>
                <w:sz w:val="13"/>
              </w:rPr>
            </w:pPr>
            <w:r w:rsidRPr="00BB5519">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r w:rsidRPr="00BB5519">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6468EC">
            <w:pPr>
              <w:pStyle w:val="TableText"/>
              <w:keepNext/>
              <w:keepLines/>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D15040">
            <w:pPr>
              <w:pStyle w:val="ProductNames"/>
              <w:spacing w:beforeLines="20" w:before="48" w:afterLines="20" w:after="48"/>
              <w:rPr>
                <w:rFonts w:ascii="Tahoma" w:hAnsi="Tahoma" w:cs="Tahoma"/>
                <w:position w:val="0"/>
                <w:sz w:val="14"/>
              </w:rPr>
            </w:pPr>
            <w:bookmarkStart w:id="444" w:name="_Toc336338077"/>
            <w:bookmarkStart w:id="445" w:name="_Toc354054772"/>
            <w:r w:rsidRPr="00BB5519">
              <w:rPr>
                <w:rFonts w:ascii="Tahoma" w:hAnsi="Tahoma" w:cs="Tahoma"/>
                <w:position w:val="0"/>
                <w:sz w:val="14"/>
              </w:rPr>
              <w:t>Standard-Server-Management-Lizenz für</w:t>
            </w:r>
            <w:r w:rsidR="00D15040">
              <w:rPr>
                <w:rFonts w:ascii="Tahoma" w:hAnsi="Tahoma" w:cs="Tahoma"/>
                <w:position w:val="0"/>
                <w:sz w:val="14"/>
              </w:rPr>
              <w:t> </w:t>
            </w:r>
            <w:r w:rsidRPr="00BB5519">
              <w:rPr>
                <w:rFonts w:ascii="Tahoma" w:hAnsi="Tahoma" w:cs="Tahoma"/>
                <w:position w:val="0"/>
                <w:sz w:val="14"/>
              </w:rPr>
              <w:t>System Center Operations Manager</w:t>
            </w:r>
            <w:r w:rsidR="00D15040">
              <w:rPr>
                <w:rFonts w:ascii="Tahoma" w:hAnsi="Tahoma" w:cs="Tahoma"/>
                <w:position w:val="0"/>
                <w:sz w:val="14"/>
              </w:rPr>
              <w:t> </w:t>
            </w:r>
            <w:r w:rsidRPr="00BB5519">
              <w:rPr>
                <w:rFonts w:ascii="Tahoma" w:hAnsi="Tahoma" w:cs="Tahoma"/>
                <w:position w:val="0"/>
                <w:sz w:val="14"/>
              </w:rPr>
              <w:t>2007 R2</w:t>
            </w:r>
            <w:bookmarkEnd w:id="444"/>
            <w:bookmarkEnd w:id="445"/>
            <w:r w:rsidRPr="00BB5519">
              <w:rPr>
                <w:rFonts w:ascii="Tahoma" w:hAnsi="Tahoma" w:cs="Tahoma"/>
                <w:position w:val="0"/>
                <w:sz w:val="14"/>
              </w:rPr>
              <w:t xml:space="preserve"> </w:t>
            </w:r>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200"/>
              <w:rPr>
                <w:rFonts w:ascii="Tahoma" w:hAnsi="Tahoma" w:cs="Tahoma"/>
                <w:color w:val="000000"/>
                <w:sz w:val="13"/>
              </w:rPr>
            </w:pPr>
            <w:r w:rsidRPr="00BB5519">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D31507">
            <w:pPr>
              <w:pStyle w:val="ProductNames"/>
              <w:keepNext/>
              <w:spacing w:beforeLines="20" w:before="48" w:afterLines="20" w:after="48"/>
              <w:rPr>
                <w:rFonts w:ascii="Tahoma" w:hAnsi="Tahoma" w:cs="Tahoma"/>
                <w:position w:val="0"/>
                <w:sz w:val="14"/>
              </w:rPr>
            </w:pPr>
            <w:bookmarkStart w:id="446" w:name="_Toc336338078"/>
            <w:bookmarkStart w:id="447" w:name="_Toc354054773"/>
            <w:r w:rsidRPr="00BB5519">
              <w:rPr>
                <w:rFonts w:ascii="Tahoma" w:hAnsi="Tahoma" w:cs="Tahoma"/>
                <w:position w:val="0"/>
                <w:sz w:val="14"/>
              </w:rPr>
              <w:t>Enterprise-Server-Management-Lizenz für</w:t>
            </w:r>
            <w:r w:rsidR="00D15040">
              <w:rPr>
                <w:rFonts w:ascii="Tahoma" w:hAnsi="Tahoma" w:cs="Tahoma"/>
                <w:position w:val="0"/>
                <w:sz w:val="14"/>
              </w:rPr>
              <w:t> </w:t>
            </w:r>
            <w:r w:rsidRPr="00BB5519">
              <w:rPr>
                <w:rFonts w:ascii="Tahoma" w:hAnsi="Tahoma" w:cs="Tahoma"/>
                <w:position w:val="0"/>
                <w:sz w:val="14"/>
              </w:rPr>
              <w:t>System Center Operations Manager</w:t>
            </w:r>
            <w:r w:rsidR="00D15040">
              <w:rPr>
                <w:rFonts w:ascii="Tahoma" w:hAnsi="Tahoma" w:cs="Tahoma"/>
                <w:position w:val="0"/>
                <w:sz w:val="14"/>
              </w:rPr>
              <w:t> </w:t>
            </w:r>
            <w:r w:rsidRPr="00BB5519">
              <w:rPr>
                <w:rFonts w:ascii="Tahoma" w:hAnsi="Tahoma" w:cs="Tahoma"/>
                <w:position w:val="0"/>
                <w:sz w:val="14"/>
              </w:rPr>
              <w:t>2007 R2</w:t>
            </w:r>
            <w:bookmarkEnd w:id="446"/>
            <w:bookmarkEnd w:id="447"/>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BB5519" w:rsidRDefault="001A63C6" w:rsidP="00D31507">
            <w:pPr>
              <w:pStyle w:val="TableText"/>
              <w:keepNext/>
              <w:keepLines/>
              <w:widowControl w:val="0"/>
              <w:spacing w:before="200"/>
              <w:rPr>
                <w:rFonts w:ascii="Tahoma" w:hAnsi="Tahoma" w:cs="Tahoma"/>
                <w:color w:val="000000"/>
                <w:sz w:val="13"/>
              </w:rPr>
            </w:pPr>
            <w:r w:rsidRPr="00BB5519">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r w:rsidRPr="00BB551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D31507">
            <w:pPr>
              <w:pStyle w:val="TableText"/>
              <w:keepNext/>
              <w:keepLines/>
              <w:widowControl w:val="0"/>
              <w:rPr>
                <w:rFonts w:ascii="Tahoma" w:hAnsi="Tahoma" w:cs="Tahoma"/>
                <w:color w:val="000000"/>
                <w:sz w:val="13"/>
              </w:rPr>
            </w:pPr>
          </w:p>
        </w:tc>
        <w:tc>
          <w:tcPr>
            <w:tcW w:w="540" w:type="dxa"/>
            <w:tcBorders>
              <w:bottom w:val="single" w:sz="4" w:space="0" w:color="auto"/>
            </w:tcBorders>
            <w:shd w:val="clear" w:color="auto" w:fill="auto"/>
          </w:tcPr>
          <w:p w:rsidR="001A63C6" w:rsidRPr="00BB5519" w:rsidRDefault="001A63C6" w:rsidP="00D31507">
            <w:pPr>
              <w:pStyle w:val="TableText"/>
              <w:keepNext/>
              <w:keepLines/>
              <w:widowControl w:val="0"/>
              <w:spacing w:before="12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448" w:name="_Toc336338079"/>
            <w:bookmarkStart w:id="449" w:name="_Toc354054774"/>
            <w:r w:rsidRPr="00BB5519">
              <w:rPr>
                <w:rFonts w:ascii="Tahoma" w:hAnsi="Tahoma" w:cs="Tahoma"/>
                <w:position w:val="0"/>
                <w:sz w:val="14"/>
                <w:lang w:val="de-DE"/>
              </w:rPr>
              <w:t>Client-Management-Lizenz pro OSE für System Center Operations Manager 2007 R2</w:t>
            </w:r>
            <w:bookmarkEnd w:id="448"/>
            <w:bookmarkEnd w:id="449"/>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color w:val="000000"/>
                <w:sz w:val="13"/>
                <w:szCs w:val="13"/>
                <w:u w:val="single"/>
                <w:lang w:val="de-D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200"/>
              <w:rPr>
                <w:rFonts w:ascii="Tahoma" w:hAnsi="Tahoma" w:cs="Tahoma"/>
                <w:color w:val="000000"/>
                <w:sz w:val="13"/>
              </w:rPr>
            </w:pPr>
            <w:r w:rsidRPr="00BB5519">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sz w:val="13"/>
              </w:rPr>
              <w:t>AO,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D15040">
            <w:pPr>
              <w:pStyle w:val="ProductNames"/>
              <w:spacing w:beforeLines="20" w:before="48" w:afterLines="20" w:after="48"/>
              <w:rPr>
                <w:rFonts w:ascii="Tahoma" w:hAnsi="Tahoma" w:cs="Tahoma"/>
                <w:position w:val="0"/>
                <w:sz w:val="14"/>
                <w:lang w:val="de-DE"/>
              </w:rPr>
            </w:pPr>
            <w:bookmarkStart w:id="450" w:name="_Toc336338080"/>
            <w:bookmarkStart w:id="451" w:name="_Toc354054775"/>
            <w:r w:rsidRPr="00BB5519">
              <w:rPr>
                <w:rFonts w:ascii="Tahoma" w:hAnsi="Tahoma" w:cs="Tahoma"/>
                <w:position w:val="0"/>
                <w:sz w:val="14"/>
                <w:lang w:val="de-DE"/>
              </w:rPr>
              <w:t>Client-Management-Lizenz pro Nutzer für</w:t>
            </w:r>
            <w:r w:rsidR="00D15040">
              <w:rPr>
                <w:rFonts w:ascii="Tahoma" w:hAnsi="Tahoma" w:cs="Tahoma"/>
                <w:position w:val="0"/>
                <w:sz w:val="14"/>
                <w:lang w:val="de-DE"/>
              </w:rPr>
              <w:t> </w:t>
            </w:r>
            <w:r w:rsidRPr="00BB5519">
              <w:rPr>
                <w:rFonts w:ascii="Tahoma" w:hAnsi="Tahoma" w:cs="Tahoma"/>
                <w:position w:val="0"/>
                <w:sz w:val="14"/>
                <w:lang w:val="de-DE"/>
              </w:rPr>
              <w:t>System Center Operations Manager 2007 R2</w:t>
            </w:r>
            <w:bookmarkEnd w:id="450"/>
            <w:bookmarkEnd w:id="451"/>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color w:val="000000"/>
                <w:sz w:val="13"/>
                <w:szCs w:val="13"/>
                <w:u w:val="single"/>
                <w:lang w:val="de-D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200"/>
              <w:rPr>
                <w:rFonts w:ascii="Tahoma" w:hAnsi="Tahoma" w:cs="Tahoma"/>
                <w:sz w:val="13"/>
              </w:rPr>
            </w:pPr>
            <w:r w:rsidRPr="00BB5519">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120"/>
            </w:pPr>
          </w:p>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52" w:name="_Toc336338081"/>
            <w:bookmarkStart w:id="453" w:name="_Toc354054776"/>
            <w:r w:rsidRPr="00BB5519">
              <w:rPr>
                <w:rFonts w:ascii="Tahoma" w:hAnsi="Tahoma" w:cs="Tahoma"/>
                <w:position w:val="0"/>
                <w:sz w:val="14"/>
              </w:rPr>
              <w:t>System Center Reporting Manager 2006</w:t>
            </w:r>
            <w:bookmarkEnd w:id="452"/>
            <w:bookmarkEnd w:id="453"/>
            <w:r w:rsidRPr="00BB5519">
              <w:rPr>
                <w:rFonts w:ascii="Tahoma" w:hAnsi="Tahoma" w:cs="Tahoma"/>
                <w:position w:val="0"/>
                <w:sz w:val="14"/>
              </w:rPr>
              <w:t xml:space="preserve"> </w:t>
            </w:r>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rPr>
                <w:rStyle w:val="EndnoteReference"/>
                <w:b w:val="0"/>
                <w:color w:val="0000FF"/>
                <w:sz w:val="13"/>
                <w:szCs w:val="13"/>
                <w:u w:val="single"/>
              </w:rPr>
            </w:pPr>
            <w:hyperlink w:anchor="_80_System_Center" w:history="1">
              <w:r w:rsidR="00955428" w:rsidRPr="00094D46">
                <w:rPr>
                  <w:rStyle w:val="Hyperlink"/>
                  <w:b/>
                  <w:sz w:val="13"/>
                  <w:szCs w:val="13"/>
                </w:rPr>
                <w:t>86</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54" w:name="_Toc336338082"/>
            <w:bookmarkStart w:id="455" w:name="_Toc354054777"/>
            <w:r w:rsidRPr="00BB5519">
              <w:rPr>
                <w:rFonts w:ascii="Tahoma" w:hAnsi="Tahoma" w:cs="Tahoma"/>
                <w:position w:val="0"/>
                <w:sz w:val="14"/>
              </w:rPr>
              <w:t>System Center Server Management Suite Enterprise</w:t>
            </w:r>
            <w:bookmarkEnd w:id="454"/>
            <w:bookmarkEnd w:id="455"/>
            <w:r w:rsidRPr="00BB5519">
              <w:rPr>
                <w:rFonts w:ascii="Tahoma" w:hAnsi="Tahoma" w:cs="Tahoma"/>
                <w:position w:val="0"/>
                <w:sz w:val="14"/>
              </w:rPr>
              <w:t xml:space="preserve"> </w:t>
            </w:r>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rStyle w:val="EndnoteReference"/>
                <w:b w:val="0"/>
                <w:color w:val="0000FF"/>
                <w:sz w:val="13"/>
                <w:szCs w:val="13"/>
                <w:u w:val="single"/>
              </w:rPr>
            </w:pPr>
            <w:hyperlink w:anchor="Srv_85SysCtrSvrMgmtSuiteEnterprise" w:history="1">
              <w:r w:rsidR="00955428" w:rsidRPr="00094D46">
                <w:rPr>
                  <w:rStyle w:val="Hyperlink"/>
                  <w:b/>
                  <w:sz w:val="13"/>
                  <w:szCs w:val="13"/>
                </w:rPr>
                <w:t>87</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6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6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Heading4"/>
              <w:spacing w:beforeLines="20" w:before="48" w:afterLines="20" w:after="48"/>
              <w:ind w:left="0" w:firstLine="0"/>
              <w:rPr>
                <w:rFonts w:ascii="Tahoma" w:hAnsi="Tahoma" w:cs="Tahoma"/>
                <w:b w:val="0"/>
                <w:sz w:val="18"/>
                <w:szCs w:val="18"/>
              </w:rPr>
            </w:pPr>
            <w:bookmarkStart w:id="456" w:name="_Toc336338083"/>
            <w:bookmarkStart w:id="457" w:name="_Toc354054778"/>
            <w:r w:rsidRPr="00BB5519">
              <w:rPr>
                <w:rFonts w:ascii="Tahoma" w:hAnsi="Tahoma" w:cs="Tahoma"/>
                <w:b w:val="0"/>
                <w:sz w:val="14"/>
                <w:szCs w:val="18"/>
              </w:rPr>
              <w:t>System Center Server Management Suite Datacenter</w:t>
            </w:r>
            <w:bookmarkEnd w:id="456"/>
            <w:bookmarkEnd w:id="457"/>
          </w:p>
        </w:tc>
        <w:tc>
          <w:tcPr>
            <w:tcW w:w="630" w:type="dxa"/>
            <w:tcBorders>
              <w:bottom w:val="single" w:sz="4" w:space="0" w:color="auto"/>
            </w:tcBorders>
            <w:shd w:val="clear" w:color="auto" w:fill="FABF8F"/>
          </w:tcPr>
          <w:p w:rsidR="001A63C6" w:rsidRPr="00BB5519" w:rsidRDefault="005F5403" w:rsidP="002E59B1">
            <w:pPr>
              <w:pStyle w:val="TableText"/>
              <w:widowControl w:val="0"/>
              <w:spacing w:before="120"/>
              <w:rPr>
                <w:rStyle w:val="EndnoteReference"/>
                <w:b w:val="0"/>
                <w:sz w:val="13"/>
                <w:szCs w:val="13"/>
                <w:u w:val="single"/>
              </w:rPr>
            </w:pPr>
            <w:hyperlink w:anchor="_88_System_Center" w:history="1">
              <w:r w:rsidR="00955428" w:rsidRPr="00094D46">
                <w:rPr>
                  <w:rStyle w:val="Hyperlink"/>
                  <w:b/>
                  <w:sz w:val="13"/>
                  <w:szCs w:val="13"/>
                </w:rPr>
                <w:t>88</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10" w:before="24" w:afterLines="10" w:after="24"/>
              <w:rPr>
                <w:rFonts w:ascii="Tahoma" w:hAnsi="Tahoma" w:cs="Tahoma"/>
                <w:b/>
                <w:position w:val="0"/>
                <w:sz w:val="14"/>
                <w:lang w:val="de-DE"/>
              </w:rPr>
            </w:pPr>
            <w:bookmarkStart w:id="458" w:name="_Toc336338086"/>
            <w:bookmarkStart w:id="459" w:name="_Toc354054779"/>
            <w:r w:rsidRPr="00BB5519">
              <w:rPr>
                <w:rFonts w:ascii="Tahoma" w:hAnsi="Tahoma" w:cs="Tahoma"/>
                <w:position w:val="0"/>
                <w:sz w:val="14"/>
                <w:lang w:val="de-DE"/>
              </w:rPr>
              <w:t>Client-Management-Lizenz (Client-ML) für System Center Service Manager 2010 pro Betriebssystemumgebung</w:t>
            </w:r>
            <w:bookmarkEnd w:id="458"/>
            <w:bookmarkEnd w:id="459"/>
          </w:p>
        </w:tc>
        <w:tc>
          <w:tcPr>
            <w:tcW w:w="630" w:type="dxa"/>
            <w:tcBorders>
              <w:bottom w:val="single" w:sz="4" w:space="0" w:color="auto"/>
            </w:tcBorders>
            <w:shd w:val="clear" w:color="auto" w:fill="auto"/>
          </w:tcPr>
          <w:p w:rsidR="001A63C6" w:rsidRPr="00BB5519" w:rsidRDefault="001A63C6" w:rsidP="001A63C6">
            <w:pPr>
              <w:pStyle w:val="TableText"/>
              <w:widowControl w:val="0"/>
              <w:rPr>
                <w:rStyle w:val="EndnoteReference"/>
                <w:sz w:val="13"/>
                <w:szCs w:val="13"/>
                <w:u w:val="single"/>
                <w:lang w:val="de-D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120"/>
            </w:pPr>
          </w:p>
          <w:p w:rsidR="001A63C6" w:rsidRPr="00BB551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D15040">
            <w:pPr>
              <w:pStyle w:val="ProductNames"/>
              <w:spacing w:beforeLines="10" w:before="24" w:afterLines="10" w:after="24"/>
              <w:rPr>
                <w:rFonts w:ascii="Tahoma" w:hAnsi="Tahoma" w:cs="Tahoma"/>
                <w:b/>
                <w:position w:val="0"/>
                <w:sz w:val="14"/>
                <w:lang w:val="de-DE"/>
              </w:rPr>
            </w:pPr>
            <w:bookmarkStart w:id="460" w:name="_Toc336338087"/>
            <w:bookmarkStart w:id="461" w:name="_Toc354054780"/>
            <w:r w:rsidRPr="00BB5519">
              <w:rPr>
                <w:rFonts w:ascii="Tahoma" w:hAnsi="Tahoma" w:cs="Tahoma"/>
                <w:position w:val="0"/>
                <w:sz w:val="14"/>
                <w:lang w:val="de-DE"/>
              </w:rPr>
              <w:t>Client-Management-Lizenz (Client-ML) für System Center Service Manager 2010 pro</w:t>
            </w:r>
            <w:r w:rsidR="00D15040">
              <w:rPr>
                <w:rFonts w:ascii="Tahoma" w:hAnsi="Tahoma" w:cs="Tahoma"/>
                <w:position w:val="0"/>
                <w:sz w:val="14"/>
                <w:lang w:val="de-DE"/>
              </w:rPr>
              <w:t> </w:t>
            </w:r>
            <w:r w:rsidRPr="00BB5519">
              <w:rPr>
                <w:rFonts w:ascii="Tahoma" w:hAnsi="Tahoma" w:cs="Tahoma"/>
                <w:position w:val="0"/>
                <w:sz w:val="14"/>
                <w:lang w:val="de-DE"/>
              </w:rPr>
              <w:t>Nutzer</w:t>
            </w:r>
            <w:bookmarkEnd w:id="460"/>
            <w:bookmarkEnd w:id="461"/>
          </w:p>
        </w:tc>
        <w:tc>
          <w:tcPr>
            <w:tcW w:w="630" w:type="dxa"/>
            <w:tcBorders>
              <w:bottom w:val="single" w:sz="4" w:space="0" w:color="auto"/>
            </w:tcBorders>
            <w:shd w:val="clear" w:color="auto" w:fill="FABF8F"/>
          </w:tcPr>
          <w:p w:rsidR="001A63C6" w:rsidRPr="00BB5519" w:rsidRDefault="001A63C6" w:rsidP="001A63C6">
            <w:pPr>
              <w:pStyle w:val="TableText"/>
              <w:widowControl w:val="0"/>
              <w:rPr>
                <w:rStyle w:val="EndnoteReference"/>
                <w:sz w:val="13"/>
                <w:szCs w:val="13"/>
                <w:u w:val="single"/>
                <w:lang w:val="de-DE"/>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spacing w:before="120"/>
            </w:pPr>
          </w:p>
          <w:p w:rsidR="001A63C6" w:rsidRPr="00BB551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Heading3"/>
              <w:spacing w:beforeLines="20" w:before="48" w:afterLines="20" w:after="48"/>
              <w:rPr>
                <w:rFonts w:ascii="Tahoma" w:hAnsi="Tahoma" w:cs="Tahoma"/>
                <w:b w:val="0"/>
                <w:sz w:val="14"/>
                <w:szCs w:val="16"/>
                <w:lang w:val="de-DE"/>
              </w:rPr>
            </w:pPr>
            <w:bookmarkStart w:id="462" w:name="_Toc336338088"/>
            <w:bookmarkStart w:id="463" w:name="_Toc354054781"/>
            <w:r w:rsidRPr="00BB5519">
              <w:rPr>
                <w:rFonts w:ascii="Tahoma" w:hAnsi="Tahoma" w:cs="Tahoma"/>
                <w:b w:val="0"/>
                <w:sz w:val="14"/>
                <w:szCs w:val="16"/>
                <w:lang w:val="de-DE"/>
              </w:rPr>
              <w:t>Server-Management-Lizenz (Server-ML) für System Center Service Manager 2010 pro Betriebssystemumgebung</w:t>
            </w:r>
            <w:bookmarkEnd w:id="462"/>
            <w:bookmarkEnd w:id="463"/>
          </w:p>
        </w:tc>
        <w:tc>
          <w:tcPr>
            <w:tcW w:w="630" w:type="dxa"/>
            <w:tcBorders>
              <w:bottom w:val="single" w:sz="4" w:space="0" w:color="auto"/>
            </w:tcBorders>
            <w:shd w:val="clear" w:color="auto" w:fill="auto"/>
          </w:tcPr>
          <w:p w:rsidR="001A63C6" w:rsidRPr="00BB5519" w:rsidRDefault="001A63C6" w:rsidP="001A63C6">
            <w:pPr>
              <w:pStyle w:val="TableText"/>
              <w:widowControl w:val="0"/>
              <w:spacing w:before="20" w:after="20"/>
              <w:rPr>
                <w:rStyle w:val="EndnoteReference"/>
                <w:sz w:val="13"/>
                <w:szCs w:val="13"/>
                <w:u w:val="single"/>
                <w:lang w:val="de-D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20" w:after="20"/>
              <w:rPr>
                <w:rFonts w:ascii="Tahoma" w:hAnsi="Tahoma" w:cs="Tahoma"/>
                <w:sz w:val="13"/>
              </w:rPr>
            </w:pPr>
            <w:r w:rsidRPr="00BB5519">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BB5519" w:rsidRDefault="001A63C6" w:rsidP="00CD48A1">
            <w:pPr>
              <w:pStyle w:val="TableText"/>
              <w:widowControl w:val="0"/>
              <w:spacing w:before="20" w:after="2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CD48A1">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before="20" w:after="20"/>
            </w:pPr>
          </w:p>
          <w:p w:rsidR="001A63C6" w:rsidRPr="00BB5519" w:rsidRDefault="001A63C6" w:rsidP="001A63C6">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spacing w:before="20" w:after="2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20" w:after="20"/>
              <w:rPr>
                <w:rFonts w:ascii="Tahoma" w:hAnsi="Tahoma" w:cs="Tahoma"/>
                <w:sz w:val="13"/>
              </w:rPr>
            </w:pPr>
          </w:p>
        </w:tc>
      </w:tr>
      <w:tr w:rsidR="006864A1" w:rsidRPr="00BB5519" w:rsidTr="004064E2">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556" w:type="dxa"/>
            <w:tcBorders>
              <w:bottom w:val="single" w:sz="2" w:space="0" w:color="auto"/>
            </w:tcBorders>
            <w:shd w:val="clear" w:color="auto" w:fill="FABF8F"/>
          </w:tcPr>
          <w:p w:rsidR="001A63C6" w:rsidRPr="00BB5519" w:rsidRDefault="001A63C6" w:rsidP="005B6712">
            <w:pPr>
              <w:pStyle w:val="Heading2"/>
              <w:spacing w:beforeLines="20" w:before="48" w:afterLines="20" w:after="48"/>
              <w:ind w:left="0"/>
              <w:rPr>
                <w:rFonts w:ascii="Tahoma" w:hAnsi="Tahoma" w:cs="Tahoma"/>
                <w:b w:val="0"/>
                <w:sz w:val="14"/>
                <w:szCs w:val="14"/>
                <w:lang w:val="de-DE"/>
              </w:rPr>
            </w:pPr>
            <w:bookmarkStart w:id="464" w:name="_Toc336338089"/>
            <w:bookmarkStart w:id="465" w:name="_Toc354054782"/>
            <w:r w:rsidRPr="00BB5519">
              <w:rPr>
                <w:rFonts w:ascii="Tahoma" w:hAnsi="Tahoma" w:cs="Tahoma"/>
                <w:b w:val="0"/>
                <w:sz w:val="14"/>
                <w:szCs w:val="14"/>
                <w:lang w:val="de-DE"/>
              </w:rPr>
              <w:t>Client-Management-Lizenz für System Center Virtual Machine Manager 2008 R2 pro Betriebssystemumgebung</w:t>
            </w:r>
            <w:bookmarkEnd w:id="464"/>
            <w:bookmarkEnd w:id="465"/>
          </w:p>
        </w:tc>
        <w:tc>
          <w:tcPr>
            <w:tcW w:w="630" w:type="dxa"/>
            <w:tcBorders>
              <w:bottom w:val="single" w:sz="2" w:space="0" w:color="auto"/>
            </w:tcBorders>
            <w:shd w:val="clear" w:color="auto" w:fill="FABF8F"/>
            <w:vAlign w:val="center"/>
          </w:tcPr>
          <w:p w:rsidR="001A63C6" w:rsidRPr="00BB5519" w:rsidRDefault="005F5403" w:rsidP="002E59B1">
            <w:pPr>
              <w:pStyle w:val="TableText"/>
              <w:widowControl w:val="0"/>
              <w:spacing w:before="60"/>
              <w:rPr>
                <w:rStyle w:val="EndnoteReference"/>
                <w:rFonts w:cs="Tahoma"/>
                <w:b w:val="0"/>
                <w:color w:val="0000FF"/>
                <w:sz w:val="13"/>
                <w:szCs w:val="13"/>
                <w:u w:val="single"/>
              </w:rPr>
            </w:pPr>
            <w:hyperlink w:anchor="_87_System_Center" w:history="1">
              <w:r w:rsidR="00955428" w:rsidRPr="004F7501">
                <w:rPr>
                  <w:rStyle w:val="Hyperlink"/>
                  <w:rFonts w:cs="Tahoma"/>
                  <w:b/>
                  <w:sz w:val="13"/>
                  <w:szCs w:val="13"/>
                </w:rPr>
                <w:t>89</w:t>
              </w:r>
            </w:hyperlink>
          </w:p>
        </w:tc>
        <w:tc>
          <w:tcPr>
            <w:tcW w:w="450" w:type="dxa"/>
            <w:tcBorders>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3"/>
                <w:szCs w:val="13"/>
              </w:rPr>
            </w:pPr>
            <w:r w:rsidRPr="00BB5519">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4"/>
                <w:szCs w:val="14"/>
              </w:rPr>
              <w:t>SRV</w:t>
            </w:r>
          </w:p>
        </w:tc>
        <w:tc>
          <w:tcPr>
            <w:tcW w:w="360" w:type="dxa"/>
            <w:tcBorders>
              <w:left w:val="single" w:sz="18" w:space="0" w:color="auto"/>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360" w:type="dxa"/>
            <w:tcBorders>
              <w:left w:val="single" w:sz="18" w:space="0" w:color="auto"/>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gridSpan w:val="2"/>
            <w:tcBorders>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540" w:type="dxa"/>
            <w:tcBorders>
              <w:left w:val="single" w:sz="18" w:space="0" w:color="auto"/>
              <w:bottom w:val="single" w:sz="2"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3"/>
              </w:rPr>
              <w:t>A</w:t>
            </w:r>
          </w:p>
        </w:tc>
        <w:tc>
          <w:tcPr>
            <w:tcW w:w="450" w:type="dxa"/>
            <w:tcBorders>
              <w:bottom w:val="single" w:sz="2" w:space="0" w:color="auto"/>
            </w:tcBorders>
            <w:shd w:val="clear" w:color="auto" w:fill="FABF8F"/>
          </w:tcPr>
          <w:p w:rsidR="001A63C6" w:rsidRPr="00BB5519" w:rsidRDefault="001A63C6" w:rsidP="001A63C6">
            <w:pPr>
              <w:pStyle w:val="TableText"/>
              <w:widowControl w:val="0"/>
              <w:rPr>
                <w:rFonts w:ascii="Tahoma" w:hAnsi="Tahoma" w:cs="Tahoma"/>
                <w:sz w:val="14"/>
                <w:szCs w:val="14"/>
              </w:rPr>
            </w:pPr>
          </w:p>
        </w:tc>
      </w:tr>
      <w:tr w:rsidR="006864A1"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Heading2"/>
              <w:spacing w:beforeLines="20" w:before="48" w:afterLines="20" w:after="48"/>
              <w:ind w:left="0"/>
              <w:rPr>
                <w:rFonts w:ascii="Tahoma" w:hAnsi="Tahoma" w:cs="Tahoma"/>
                <w:b w:val="0"/>
                <w:sz w:val="14"/>
                <w:szCs w:val="14"/>
                <w:lang w:val="de-DE"/>
              </w:rPr>
            </w:pPr>
            <w:bookmarkStart w:id="466" w:name="_Toc336338090"/>
            <w:bookmarkStart w:id="467" w:name="_Toc354054783"/>
            <w:r w:rsidRPr="00BB5519">
              <w:rPr>
                <w:rFonts w:ascii="Tahoma" w:hAnsi="Tahoma" w:cs="Tahoma"/>
                <w:b w:val="0"/>
                <w:sz w:val="14"/>
                <w:szCs w:val="14"/>
                <w:lang w:val="de-DE"/>
              </w:rPr>
              <w:t>Client-Management-Lizenz für System Center Virtual Machine Manager 2008 R2 pro Nutzer</w:t>
            </w:r>
            <w:bookmarkEnd w:id="466"/>
            <w:bookmarkEnd w:id="467"/>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spacing w:before="60"/>
              <w:rPr>
                <w:rStyle w:val="EndnoteReference"/>
                <w:rFonts w:cs="Tahoma"/>
                <w:b w:val="0"/>
                <w:sz w:val="13"/>
                <w:szCs w:val="13"/>
                <w:u w:val="single"/>
              </w:rPr>
            </w:pPr>
            <w:hyperlink w:anchor="_87_System_Center" w:history="1">
              <w:r w:rsidR="004F7501" w:rsidRPr="004F7501">
                <w:rPr>
                  <w:rStyle w:val="Hyperlink"/>
                  <w:rFonts w:cs="Tahoma"/>
                  <w:b/>
                  <w:sz w:val="13"/>
                  <w:szCs w:val="13"/>
                </w:rPr>
                <w:t>89</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szCs w:val="13"/>
              </w:rPr>
            </w:pPr>
            <w:r w:rsidRPr="00BB5519">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360" w:type="dxa"/>
            <w:tcBorders>
              <w:left w:val="single" w:sz="18" w:space="0" w:color="auto"/>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4"/>
                <w:szCs w:val="14"/>
              </w:rPr>
              <w:t>1</w:t>
            </w:r>
          </w:p>
        </w:tc>
        <w:tc>
          <w:tcPr>
            <w:tcW w:w="450" w:type="dxa"/>
            <w:tcBorders>
              <w:top w:val="single" w:sz="4" w:space="0" w:color="auto"/>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3"/>
              </w:rPr>
              <w:t>A</w:t>
            </w:r>
          </w:p>
        </w:tc>
        <w:tc>
          <w:tcPr>
            <w:tcW w:w="45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4"/>
                <w:szCs w:val="14"/>
              </w:rPr>
            </w:pPr>
          </w:p>
        </w:tc>
      </w:tr>
      <w:tr w:rsidR="006864A1" w:rsidRPr="00BB5519" w:rsidTr="004064E2">
        <w:trPr>
          <w:trHeight w:val="145"/>
        </w:trPr>
        <w:tc>
          <w:tcPr>
            <w:tcW w:w="2556" w:type="dxa"/>
            <w:tcBorders>
              <w:bottom w:val="single" w:sz="4" w:space="0" w:color="auto"/>
            </w:tcBorders>
            <w:shd w:val="clear" w:color="auto" w:fill="FABF8F"/>
          </w:tcPr>
          <w:p w:rsidR="001A63C6" w:rsidRPr="00BB5519" w:rsidRDefault="001A63C6" w:rsidP="00D15040">
            <w:pPr>
              <w:pStyle w:val="ProductNames"/>
              <w:spacing w:beforeLines="20" w:before="48" w:afterLines="20" w:after="48"/>
              <w:rPr>
                <w:rFonts w:ascii="Tahoma" w:hAnsi="Tahoma" w:cs="Tahoma"/>
                <w:position w:val="0"/>
                <w:sz w:val="14"/>
                <w:szCs w:val="14"/>
                <w:lang w:val="de-DE"/>
              </w:rPr>
            </w:pPr>
            <w:bookmarkStart w:id="468" w:name="_Toc336338091"/>
            <w:bookmarkStart w:id="469" w:name="_Toc354054784"/>
            <w:r w:rsidRPr="00BB5519">
              <w:rPr>
                <w:rFonts w:ascii="Tahoma" w:hAnsi="Tahoma" w:cs="Tahoma"/>
                <w:color w:val="000000"/>
                <w:position w:val="0"/>
                <w:sz w:val="14"/>
                <w:szCs w:val="14"/>
                <w:lang w:val="de-DE"/>
              </w:rPr>
              <w:t>Enterprise-Server-Management-Lizenz für System Center Virtual Machine Manager</w:t>
            </w:r>
            <w:r w:rsidR="00D15040">
              <w:rPr>
                <w:rFonts w:ascii="Tahoma" w:hAnsi="Tahoma" w:cs="Tahoma"/>
                <w:color w:val="000000"/>
                <w:position w:val="0"/>
                <w:sz w:val="14"/>
                <w:szCs w:val="14"/>
                <w:lang w:val="de-DE"/>
              </w:rPr>
              <w:t> </w:t>
            </w:r>
            <w:r w:rsidRPr="00BB5519">
              <w:rPr>
                <w:rFonts w:ascii="Tahoma" w:hAnsi="Tahoma" w:cs="Tahoma"/>
                <w:color w:val="000000"/>
                <w:position w:val="0"/>
                <w:sz w:val="14"/>
                <w:szCs w:val="14"/>
                <w:lang w:val="de-DE"/>
              </w:rPr>
              <w:t>2008 R2</w:t>
            </w:r>
            <w:bookmarkEnd w:id="468"/>
            <w:bookmarkEnd w:id="469"/>
          </w:p>
        </w:tc>
        <w:tc>
          <w:tcPr>
            <w:tcW w:w="630" w:type="dxa"/>
            <w:tcBorders>
              <w:bottom w:val="single" w:sz="4" w:space="0" w:color="auto"/>
            </w:tcBorders>
            <w:shd w:val="clear" w:color="auto" w:fill="FABF8F"/>
            <w:vAlign w:val="center"/>
          </w:tcPr>
          <w:p w:rsidR="001A63C6" w:rsidRPr="00BB5519" w:rsidRDefault="005F5403" w:rsidP="002E59B1">
            <w:pPr>
              <w:pStyle w:val="TableText"/>
              <w:widowControl w:val="0"/>
              <w:spacing w:before="120"/>
              <w:rPr>
                <w:rStyle w:val="EndnoteReference"/>
                <w:rFonts w:cs="Tahoma"/>
                <w:b w:val="0"/>
                <w:sz w:val="13"/>
                <w:szCs w:val="13"/>
                <w:u w:val="single"/>
              </w:rPr>
            </w:pPr>
            <w:hyperlink w:anchor="_87_System_Center" w:history="1">
              <w:r w:rsidR="004F7501" w:rsidRPr="004F7501">
                <w:rPr>
                  <w:rStyle w:val="Hyperlink"/>
                  <w:rFonts w:cs="Tahoma"/>
                  <w:b/>
                  <w:sz w:val="13"/>
                  <w:szCs w:val="13"/>
                </w:rPr>
                <w:t>89</w:t>
              </w:r>
            </w:hyperlink>
            <w:hyperlink w:anchor="Srv_100SysCenterVMM2008R2"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szCs w:val="13"/>
              </w:rPr>
            </w:pPr>
            <w:r w:rsidRPr="00BB5519">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360" w:type="dxa"/>
            <w:tcBorders>
              <w:left w:val="single" w:sz="18" w:space="0" w:color="auto"/>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gridSpan w:val="2"/>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4"/>
                <w:szCs w:val="14"/>
              </w:rPr>
            </w:pPr>
            <w:r w:rsidRPr="00BB5519">
              <w:rPr>
                <w:rFonts w:ascii="Tahoma" w:hAnsi="Tahoma" w:cs="Tahoma"/>
                <w:sz w:val="13"/>
              </w:rPr>
              <w:t>A</w:t>
            </w:r>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4"/>
                <w:szCs w:val="14"/>
              </w:rPr>
            </w:pPr>
          </w:p>
        </w:tc>
      </w:tr>
      <w:tr w:rsidR="006864A1" w:rsidRPr="00BB5519" w:rsidTr="004064E2">
        <w:trPr>
          <w:trHeight w:val="368"/>
        </w:trPr>
        <w:tc>
          <w:tcPr>
            <w:tcW w:w="2556" w:type="dxa"/>
            <w:tcBorders>
              <w:bottom w:val="single" w:sz="4" w:space="0" w:color="auto"/>
            </w:tcBorders>
            <w:shd w:val="clear" w:color="auto" w:fill="auto"/>
            <w:vAlign w:val="center"/>
          </w:tcPr>
          <w:p w:rsidR="001A63C6" w:rsidRPr="00BB5519" w:rsidRDefault="001A63C6" w:rsidP="00D15040">
            <w:pPr>
              <w:pStyle w:val="ProductNames"/>
              <w:spacing w:beforeLines="20" w:before="48" w:afterLines="20" w:after="48"/>
              <w:rPr>
                <w:rFonts w:ascii="Tahoma" w:hAnsi="Tahoma" w:cs="Tahoma"/>
                <w:position w:val="0"/>
                <w:sz w:val="14"/>
                <w:lang w:val="de-DE"/>
              </w:rPr>
            </w:pPr>
            <w:bookmarkStart w:id="470" w:name="_Toc336338093"/>
            <w:bookmarkStart w:id="471" w:name="_Toc354054785"/>
            <w:r w:rsidRPr="00BB5519">
              <w:rPr>
                <w:rFonts w:ascii="Tahoma" w:hAnsi="Tahoma" w:cs="Tahoma"/>
                <w:position w:val="0"/>
                <w:sz w:val="14"/>
                <w:szCs w:val="18"/>
                <w:lang w:val="de-DE"/>
              </w:rPr>
              <w:t>Client Management Suite (Client-ML) für</w:t>
            </w:r>
            <w:r w:rsidR="00D15040">
              <w:rPr>
                <w:rFonts w:ascii="Tahoma" w:hAnsi="Tahoma" w:cs="Tahoma"/>
                <w:position w:val="0"/>
                <w:sz w:val="14"/>
                <w:szCs w:val="18"/>
                <w:lang w:val="de-DE"/>
              </w:rPr>
              <w:t> </w:t>
            </w:r>
            <w:r w:rsidRPr="00BB5519">
              <w:rPr>
                <w:rFonts w:ascii="Tahoma" w:hAnsi="Tahoma" w:cs="Tahoma"/>
                <w:position w:val="0"/>
                <w:sz w:val="14"/>
                <w:szCs w:val="18"/>
                <w:lang w:val="de-DE"/>
              </w:rPr>
              <w:t>System Center 2012 pro Betriebssystemumgebung</w:t>
            </w:r>
            <w:bookmarkEnd w:id="470"/>
            <w:bookmarkEnd w:id="471"/>
          </w:p>
        </w:tc>
        <w:tc>
          <w:tcPr>
            <w:tcW w:w="630" w:type="dxa"/>
            <w:tcBorders>
              <w:bottom w:val="single" w:sz="4" w:space="0" w:color="auto"/>
            </w:tcBorders>
            <w:shd w:val="clear" w:color="auto" w:fill="auto"/>
            <w:vAlign w:val="center"/>
          </w:tcPr>
          <w:p w:rsidR="001A63C6" w:rsidRPr="00BB5519" w:rsidRDefault="005F5403" w:rsidP="002E59B1">
            <w:pPr>
              <w:pStyle w:val="TableText"/>
              <w:widowControl w:val="0"/>
              <w:rPr>
                <w:b/>
                <w:color w:val="000000"/>
                <w:sz w:val="13"/>
                <w:szCs w:val="13"/>
                <w:u w:val="single"/>
              </w:rPr>
            </w:pPr>
            <w:hyperlink w:anchor="_91_89_System" w:history="1">
              <w:r w:rsidR="002E59B1" w:rsidRPr="004F750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24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 xml:space="preserve"> </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P</w:t>
            </w:r>
          </w:p>
        </w:tc>
        <w:tc>
          <w:tcPr>
            <w:tcW w:w="540" w:type="dxa"/>
            <w:tcBorders>
              <w:bottom w:val="single" w:sz="4" w:space="0" w:color="auto"/>
            </w:tcBorders>
            <w:shd w:val="clear" w:color="auto" w:fill="auto"/>
          </w:tcPr>
          <w:p w:rsidR="001A63C6" w:rsidRPr="00BB5519" w:rsidRDefault="001A63C6" w:rsidP="001A63C6">
            <w:pPr>
              <w:spacing w:before="240"/>
              <w:jc w:val="center"/>
            </w:pPr>
            <w:r w:rsidRPr="00BB5519">
              <w:rPr>
                <w:rFonts w:ascii="Arial" w:hAnsi="Arial" w:cs="Arial"/>
                <w:sz w:val="13"/>
                <w:szCs w:val="13"/>
              </w:rPr>
              <w:t>AO, ST</w:t>
            </w:r>
          </w:p>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6864A1" w:rsidRPr="00BB5519" w:rsidTr="004064E2">
        <w:trPr>
          <w:trHeight w:val="134"/>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fr-FR"/>
              </w:rPr>
            </w:pPr>
            <w:bookmarkStart w:id="472" w:name="_Toc336338094"/>
            <w:bookmarkStart w:id="473" w:name="_Toc354054786"/>
            <w:r w:rsidRPr="00BB5519">
              <w:rPr>
                <w:rFonts w:ascii="Tahoma" w:hAnsi="Tahoma" w:cs="Tahoma"/>
                <w:position w:val="0"/>
                <w:sz w:val="14"/>
                <w:szCs w:val="18"/>
                <w:lang w:val="fr-FR"/>
              </w:rPr>
              <w:lastRenderedPageBreak/>
              <w:t>System Center 2012 Client Management Suite (Client-ML) pro Nutzer</w:t>
            </w:r>
            <w:bookmarkEnd w:id="472"/>
            <w:bookmarkEnd w:id="473"/>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rPr>
                <w:b/>
                <w:color w:val="000000"/>
                <w:sz w:val="13"/>
                <w:szCs w:val="13"/>
                <w:u w:val="single"/>
              </w:rPr>
            </w:pPr>
            <w:hyperlink w:anchor="_91_89_System" w:history="1">
              <w:r w:rsidR="004F7501" w:rsidRPr="004F750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24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 xml:space="preserve"> </w:t>
            </w: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6864A1" w:rsidRPr="00BB5519" w:rsidTr="004064E2">
        <w:trPr>
          <w:trHeight w:val="134"/>
        </w:trPr>
        <w:tc>
          <w:tcPr>
            <w:tcW w:w="2556" w:type="dxa"/>
            <w:tcBorders>
              <w:bottom w:val="single" w:sz="4" w:space="0" w:color="auto"/>
            </w:tcBorders>
            <w:shd w:val="clear" w:color="auto" w:fill="auto"/>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74" w:name="_Toc336338095"/>
            <w:bookmarkStart w:id="475" w:name="_Toc354054787"/>
            <w:r w:rsidRPr="00BB5519">
              <w:rPr>
                <w:rFonts w:ascii="Tahoma" w:hAnsi="Tahoma" w:cs="Tahoma"/>
                <w:position w:val="0"/>
                <w:sz w:val="14"/>
                <w:szCs w:val="14"/>
              </w:rPr>
              <w:t>Client-Management-Lizenz (Client-ML) für System Center 2012 Configuration Manager (nur Studenten)</w:t>
            </w:r>
            <w:bookmarkEnd w:id="474"/>
            <w:bookmarkEnd w:id="475"/>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rPr>
                <w:b/>
                <w:color w:val="000000"/>
                <w:sz w:val="13"/>
                <w:szCs w:val="13"/>
                <w:u w:val="single"/>
              </w:rPr>
            </w:pPr>
            <w:hyperlink w:anchor="_91_89_System" w:history="1">
              <w:r w:rsidR="004F7501" w:rsidRPr="004F750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24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 xml:space="preserve"> </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6864A1" w:rsidRPr="00BB5519" w:rsidTr="004064E2">
        <w:trPr>
          <w:trHeight w:val="134"/>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476" w:name="_Toc336338096"/>
            <w:bookmarkStart w:id="477" w:name="_Toc354054788"/>
            <w:r w:rsidRPr="00BB5519">
              <w:rPr>
                <w:rFonts w:ascii="Tahoma" w:hAnsi="Tahoma" w:cs="Tahoma"/>
                <w:position w:val="0"/>
                <w:sz w:val="14"/>
                <w:lang w:val="de-DE"/>
              </w:rPr>
              <w:t>Client-Management-Lizenz für System Center 2012 Configuration Manager pro Betriebssystemumgebung</w:t>
            </w:r>
            <w:bookmarkEnd w:id="476"/>
            <w:bookmarkEnd w:id="477"/>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rPr>
                <w:b/>
                <w:color w:val="000000"/>
                <w:sz w:val="13"/>
                <w:szCs w:val="13"/>
                <w:u w:val="single"/>
              </w:rPr>
            </w:pPr>
            <w:hyperlink w:anchor="_91_89_System" w:history="1">
              <w:r w:rsidR="004F7501" w:rsidRPr="004F7501">
                <w:rPr>
                  <w:rStyle w:val="Hyperlink"/>
                  <w:rFonts w:cs="Tahoma"/>
                  <w:b/>
                  <w:sz w:val="13"/>
                  <w:szCs w:val="13"/>
                </w:rPr>
                <w:t>90</w:t>
              </w:r>
            </w:hyperlink>
            <w:hyperlink w:anchor="_91_89_System"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24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3</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1</w:t>
            </w: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1</w:t>
            </w: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24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6864A1" w:rsidRPr="00BB5519" w:rsidTr="004064E2">
        <w:trPr>
          <w:trHeight w:val="134"/>
        </w:trPr>
        <w:tc>
          <w:tcPr>
            <w:tcW w:w="2556" w:type="dxa"/>
            <w:tcBorders>
              <w:bottom w:val="single" w:sz="4" w:space="0" w:color="auto"/>
            </w:tcBorders>
            <w:shd w:val="clear" w:color="auto" w:fill="FABF8F"/>
            <w:vAlign w:val="center"/>
          </w:tcPr>
          <w:p w:rsidR="001A63C6" w:rsidRPr="00BB5519" w:rsidRDefault="001A63C6" w:rsidP="002E6EC0">
            <w:pPr>
              <w:pStyle w:val="ProductNames"/>
              <w:spacing w:beforeLines="20" w:before="48" w:afterLines="20" w:after="48"/>
              <w:rPr>
                <w:rFonts w:ascii="Tahoma" w:hAnsi="Tahoma" w:cs="Tahoma"/>
                <w:position w:val="0"/>
                <w:sz w:val="14"/>
                <w:lang w:val="de-DE"/>
              </w:rPr>
            </w:pPr>
            <w:bookmarkStart w:id="478" w:name="_Toc336338097"/>
            <w:bookmarkStart w:id="479" w:name="_Toc354054789"/>
            <w:r w:rsidRPr="00BB5519">
              <w:rPr>
                <w:rFonts w:ascii="Tahoma" w:hAnsi="Tahoma" w:cs="Tahoma"/>
                <w:position w:val="0"/>
                <w:sz w:val="14"/>
                <w:lang w:val="de-DE"/>
              </w:rPr>
              <w:t>Client-Management-Lizenz für System Center 2012 Configuration Manager pro</w:t>
            </w:r>
            <w:r w:rsidR="002E6EC0">
              <w:rPr>
                <w:rFonts w:ascii="Tahoma" w:hAnsi="Tahoma" w:cs="Tahoma"/>
                <w:position w:val="0"/>
                <w:sz w:val="14"/>
                <w:lang w:val="de-DE"/>
              </w:rPr>
              <w:t> </w:t>
            </w:r>
            <w:r w:rsidRPr="00BB5519">
              <w:rPr>
                <w:rFonts w:ascii="Tahoma" w:hAnsi="Tahoma" w:cs="Tahoma"/>
                <w:position w:val="0"/>
                <w:sz w:val="14"/>
                <w:lang w:val="de-DE"/>
              </w:rPr>
              <w:t>Nutzer</w:t>
            </w:r>
            <w:bookmarkEnd w:id="478"/>
            <w:bookmarkEnd w:id="479"/>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rPr>
                <w:b/>
                <w:color w:val="000000"/>
                <w:sz w:val="13"/>
                <w:szCs w:val="13"/>
                <w:u w:val="single"/>
              </w:rPr>
            </w:pPr>
            <w:hyperlink w:anchor="_91_89_System" w:history="1">
              <w:r w:rsidR="004F7501" w:rsidRPr="004F750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24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360" w:type="dxa"/>
            <w:tcBorders>
              <w:left w:val="single" w:sz="18" w:space="0" w:color="auto"/>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24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6864A1" w:rsidRPr="00BB5519" w:rsidTr="004064E2">
        <w:trPr>
          <w:trHeight w:val="134"/>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480" w:name="_Toc336338098"/>
            <w:bookmarkStart w:id="481" w:name="_Toc354054790"/>
            <w:r w:rsidRPr="00BB5519">
              <w:rPr>
                <w:rFonts w:ascii="Tahoma" w:hAnsi="Tahoma" w:cs="Tahoma"/>
                <w:position w:val="0"/>
                <w:sz w:val="14"/>
                <w:lang w:val="de-DE"/>
              </w:rPr>
              <w:t>Server-Management-Lizenz für System Center 2012 Datacenter (2 Prozessoren)</w:t>
            </w:r>
            <w:bookmarkEnd w:id="480"/>
            <w:bookmarkEnd w:id="481"/>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rPr>
                <w:b/>
                <w:color w:val="000000"/>
                <w:sz w:val="13"/>
                <w:szCs w:val="13"/>
                <w:u w:val="single"/>
              </w:rPr>
            </w:pPr>
            <w:hyperlink w:anchor="_91_89_System" w:history="1">
              <w:r w:rsidR="004F7501" w:rsidRPr="004F7501">
                <w:rPr>
                  <w:rStyle w:val="Hyperlink"/>
                  <w:rFonts w:cs="Tahoma"/>
                  <w:b/>
                  <w:sz w:val="13"/>
                  <w:szCs w:val="13"/>
                </w:rPr>
                <w:t>90</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63</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50</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13</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1136F4" w:rsidRPr="00BB5519" w:rsidTr="004064E2">
        <w:trPr>
          <w:trHeight w:val="134"/>
        </w:trPr>
        <w:tc>
          <w:tcPr>
            <w:tcW w:w="2556" w:type="dxa"/>
            <w:tcBorders>
              <w:bottom w:val="single" w:sz="4" w:space="0" w:color="auto"/>
            </w:tcBorders>
            <w:shd w:val="clear" w:color="auto" w:fill="FABF8F"/>
            <w:vAlign w:val="center"/>
          </w:tcPr>
          <w:p w:rsidR="001136F4" w:rsidRPr="00BB5519" w:rsidRDefault="001136F4" w:rsidP="006468EC">
            <w:pPr>
              <w:pStyle w:val="ProductNames"/>
              <w:keepNext/>
              <w:spacing w:before="60" w:after="60"/>
              <w:rPr>
                <w:rFonts w:ascii="Tahoma" w:hAnsi="Tahoma" w:cs="Tahoma"/>
                <w:position w:val="0"/>
                <w:sz w:val="14"/>
              </w:rPr>
            </w:pPr>
            <w:bookmarkStart w:id="482" w:name="_Toc354054791"/>
            <w:r w:rsidRPr="00BB5519">
              <w:rPr>
                <w:rFonts w:ascii="Tahoma" w:hAnsi="Tahoma" w:cs="Tahoma"/>
                <w:position w:val="0"/>
                <w:sz w:val="14"/>
              </w:rPr>
              <w:t>System Center 2012 Endpoint Protection</w:t>
            </w:r>
            <w:bookmarkEnd w:id="482"/>
          </w:p>
        </w:tc>
        <w:tc>
          <w:tcPr>
            <w:tcW w:w="630" w:type="dxa"/>
            <w:tcBorders>
              <w:bottom w:val="single" w:sz="4" w:space="0" w:color="auto"/>
            </w:tcBorders>
            <w:shd w:val="clear" w:color="auto" w:fill="FABF8F"/>
            <w:vAlign w:val="center"/>
          </w:tcPr>
          <w:p w:rsidR="001136F4" w:rsidRPr="00BB5519" w:rsidRDefault="005F5403" w:rsidP="006468EC">
            <w:pPr>
              <w:pStyle w:val="TableText"/>
              <w:keepNext/>
              <w:keepLines/>
              <w:widowControl w:val="0"/>
              <w:rPr>
                <w:b/>
                <w:color w:val="000000"/>
                <w:sz w:val="13"/>
                <w:szCs w:val="13"/>
                <w:u w:val="single"/>
              </w:rPr>
            </w:pPr>
            <w:hyperlink w:anchor="_103_System_Center" w:history="1">
              <w:r w:rsidR="00955428" w:rsidRPr="008D45D0">
                <w:rPr>
                  <w:rStyle w:val="Hyperlink"/>
                  <w:b/>
                  <w:sz w:val="13"/>
                  <w:szCs w:val="13"/>
                </w:rPr>
                <w:t>91</w:t>
              </w:r>
            </w:hyperlink>
            <w:hyperlink w:anchor="Srv_102SysCtr2012EndpointProt" w:history="1"/>
          </w:p>
        </w:tc>
        <w:tc>
          <w:tcPr>
            <w:tcW w:w="450" w:type="dxa"/>
            <w:tcBorders>
              <w:bottom w:val="single" w:sz="4"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color w:val="000000"/>
                <w:sz w:val="13"/>
              </w:rPr>
            </w:pPr>
            <w:r w:rsidRPr="00BB5519">
              <w:rPr>
                <w:rFonts w:ascii="Tahoma" w:hAnsi="Tahoma" w:cs="Tahoma"/>
                <w:color w:val="000000"/>
                <w:sz w:val="13"/>
              </w:rPr>
              <w:t>SRV</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szCs w:val="13"/>
              </w:rPr>
            </w:pPr>
            <w:r w:rsidRPr="00BB5519">
              <w:rPr>
                <w:rFonts w:ascii="Tahoma" w:hAnsi="Tahoma" w:cs="Tahoma"/>
                <w:sz w:val="13"/>
                <w:szCs w:val="13"/>
              </w:rPr>
              <w:t>1 Punkt</w:t>
            </w:r>
          </w:p>
        </w:tc>
        <w:tc>
          <w:tcPr>
            <w:tcW w:w="360" w:type="dxa"/>
            <w:tcBorders>
              <w:left w:val="single" w:sz="18" w:space="0" w:color="auto"/>
              <w:bottom w:val="single" w:sz="4"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rPr>
            </w:pPr>
            <w:r w:rsidRPr="00BB5519">
              <w:rPr>
                <w:rFonts w:ascii="Tahoma" w:hAnsi="Tahoma" w:cs="Tahoma"/>
                <w:sz w:val="13"/>
              </w:rPr>
              <w:t>AO, ST</w:t>
            </w:r>
          </w:p>
        </w:tc>
        <w:tc>
          <w:tcPr>
            <w:tcW w:w="450" w:type="dxa"/>
            <w:tcBorders>
              <w:bottom w:val="single" w:sz="4" w:space="0" w:color="auto"/>
            </w:tcBorders>
            <w:shd w:val="clear" w:color="auto" w:fill="FABF8F"/>
            <w:vAlign w:val="center"/>
          </w:tcPr>
          <w:p w:rsidR="001136F4" w:rsidRPr="00BB5519" w:rsidRDefault="001136F4" w:rsidP="006468EC">
            <w:pPr>
              <w:pStyle w:val="TableText"/>
              <w:keepNext/>
              <w:keepLines/>
              <w:widowControl w:val="0"/>
              <w:rPr>
                <w:rFonts w:ascii="Tahoma" w:hAnsi="Tahoma" w:cs="Tahoma"/>
                <w:sz w:val="13"/>
              </w:rPr>
            </w:pPr>
          </w:p>
        </w:tc>
      </w:tr>
      <w:tr w:rsidR="00EF228F" w:rsidRPr="00BB5519" w:rsidTr="004064E2">
        <w:trPr>
          <w:trHeight w:val="134"/>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cs="Tahoma"/>
                <w:position w:val="0"/>
                <w:sz w:val="14"/>
                <w:lang w:val="de-DE"/>
              </w:rPr>
            </w:pPr>
            <w:bookmarkStart w:id="483" w:name="_Toc336338100"/>
            <w:bookmarkStart w:id="484" w:name="_Toc354054792"/>
            <w:r w:rsidRPr="00BB5519">
              <w:rPr>
                <w:rFonts w:ascii="Tahoma" w:hAnsi="Tahoma" w:cs="Tahoma"/>
                <w:position w:val="0"/>
                <w:sz w:val="14"/>
                <w:lang w:val="de-DE"/>
              </w:rPr>
              <w:t>Standard-Server-Management-Lizenz für System Center 2012 (2 Prozessoren)</w:t>
            </w:r>
            <w:bookmarkEnd w:id="483"/>
            <w:bookmarkEnd w:id="484"/>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spacing w:before="240"/>
              <w:rPr>
                <w:b/>
                <w:color w:val="000000"/>
                <w:sz w:val="13"/>
                <w:szCs w:val="13"/>
                <w:u w:val="single"/>
                <w:lang w:val="de-DE"/>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30</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8</w:t>
            </w:r>
          </w:p>
        </w:tc>
        <w:tc>
          <w:tcPr>
            <w:tcW w:w="36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OL/OV</w:t>
            </w:r>
          </w:p>
        </w:tc>
      </w:tr>
      <w:tr w:rsidR="009E5BF9" w:rsidRPr="00BB5519" w:rsidTr="004064E2">
        <w:trPr>
          <w:trHeight w:val="134"/>
        </w:trPr>
        <w:tc>
          <w:tcPr>
            <w:tcW w:w="2556" w:type="dxa"/>
            <w:tcBorders>
              <w:bottom w:val="single" w:sz="4" w:space="0" w:color="auto"/>
            </w:tcBorders>
            <w:shd w:val="clear" w:color="auto" w:fill="FABF8F"/>
            <w:vAlign w:val="center"/>
          </w:tcPr>
          <w:p w:rsidR="001A63C6" w:rsidRPr="00BB5519" w:rsidRDefault="001A63C6" w:rsidP="005B6712">
            <w:pPr>
              <w:pStyle w:val="ProductNames"/>
              <w:spacing w:beforeLines="20" w:before="48" w:afterLines="20" w:after="48"/>
              <w:rPr>
                <w:rFonts w:ascii="Tahoma" w:hAnsi="Tahoma" w:cs="Tahoma"/>
                <w:position w:val="0"/>
                <w:sz w:val="14"/>
              </w:rPr>
            </w:pPr>
            <w:bookmarkStart w:id="485" w:name="_Toc336338101"/>
            <w:bookmarkStart w:id="486" w:name="_Toc354054793"/>
            <w:r w:rsidRPr="00BB5519">
              <w:rPr>
                <w:rFonts w:ascii="Tahoma" w:hAnsi="Tahoma" w:cs="Tahoma"/>
                <w:position w:val="0"/>
                <w:sz w:val="14"/>
              </w:rPr>
              <w:t>TechNet Plus Einzelnutzer</w:t>
            </w:r>
            <w:bookmarkEnd w:id="485"/>
            <w:bookmarkEnd w:id="486"/>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rPr>
                <w:rStyle w:val="EndnoteReference"/>
                <w:rFonts w:cs="Tahoma"/>
                <w:b w:val="0"/>
                <w:color w:val="000000"/>
                <w:sz w:val="13"/>
                <w:szCs w:val="13"/>
                <w:u w:val="single"/>
              </w:rPr>
            </w:pPr>
            <w:hyperlink w:anchor="_92_TechNet_Plus" w:history="1">
              <w:r w:rsidR="00955428" w:rsidRPr="008D45D0">
                <w:rPr>
                  <w:rStyle w:val="Hyperlink"/>
                  <w:b/>
                  <w:sz w:val="13"/>
                  <w:szCs w:val="13"/>
                </w:rPr>
                <w:t>92</w:t>
              </w:r>
            </w:hyperlink>
            <w:hyperlink w:anchor="Srv_103TechNetPlusSingleUser" w:history="1"/>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spacing w:before="12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w:t>
            </w:r>
          </w:p>
        </w:tc>
      </w:tr>
      <w:tr w:rsidR="00EF228F"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487" w:name="_Toc336338102"/>
            <w:bookmarkStart w:id="488" w:name="_Toc354054794"/>
            <w:r w:rsidRPr="00BB5519">
              <w:rPr>
                <w:rFonts w:ascii="Tahoma" w:hAnsi="Tahoma" w:cs="Tahoma"/>
                <w:b w:val="0"/>
                <w:sz w:val="14"/>
                <w:szCs w:val="14"/>
              </w:rPr>
              <w:t>VDI Suite</w:t>
            </w:r>
            <w:bookmarkEnd w:id="487"/>
            <w:bookmarkEnd w:id="488"/>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1 Punkt</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P</w:t>
            </w:r>
          </w:p>
        </w:tc>
        <w:tc>
          <w:tcPr>
            <w:tcW w:w="540" w:type="dxa"/>
            <w:tcBorders>
              <w:bottom w:val="single" w:sz="4" w:space="0" w:color="auto"/>
            </w:tcBorders>
            <w:shd w:val="clear" w:color="auto" w:fill="auto"/>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A, ST</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15"/>
        </w:trPr>
        <w:tc>
          <w:tcPr>
            <w:tcW w:w="2556" w:type="dxa"/>
            <w:tcBorders>
              <w:bottom w:val="single" w:sz="4" w:space="0" w:color="auto"/>
            </w:tcBorders>
            <w:shd w:val="clear" w:color="auto" w:fill="FABF8F"/>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489" w:name="_Toc336338103"/>
            <w:bookmarkStart w:id="490" w:name="_Toc354054795"/>
            <w:r w:rsidRPr="00BB5519">
              <w:rPr>
                <w:rFonts w:ascii="Tahoma" w:hAnsi="Tahoma" w:cs="Tahoma"/>
                <w:b w:val="0"/>
                <w:sz w:val="14"/>
                <w:szCs w:val="14"/>
              </w:rPr>
              <w:t>VDI Suite mit MDOP</w:t>
            </w:r>
            <w:bookmarkEnd w:id="489"/>
            <w:bookmarkEnd w:id="490"/>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1 Punkt</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E, P</w:t>
            </w:r>
          </w:p>
        </w:tc>
        <w:tc>
          <w:tcPr>
            <w:tcW w:w="540" w:type="dxa"/>
            <w:tcBorders>
              <w:bottom w:val="single" w:sz="4" w:space="0" w:color="auto"/>
            </w:tcBorders>
            <w:shd w:val="clear" w:color="auto" w:fill="FABF8F"/>
          </w:tcPr>
          <w:p w:rsidR="001A63C6" w:rsidRPr="00BB5519" w:rsidRDefault="001A63C6" w:rsidP="001A63C6">
            <w:pPr>
              <w:pStyle w:val="TableText"/>
              <w:rPr>
                <w:rFonts w:ascii="Tahoma" w:hAnsi="Tahoma" w:cs="Tahoma"/>
                <w:sz w:val="13"/>
                <w:szCs w:val="13"/>
              </w:rPr>
            </w:pPr>
            <w:r w:rsidRPr="00BB5519">
              <w:rPr>
                <w:rFonts w:ascii="Tahoma" w:hAnsi="Tahoma" w:cs="Tahoma"/>
                <w:sz w:val="13"/>
                <w:szCs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260"/>
        </w:trPr>
        <w:tc>
          <w:tcPr>
            <w:tcW w:w="2556" w:type="dxa"/>
            <w:tcBorders>
              <w:bottom w:val="single" w:sz="4" w:space="0" w:color="auto"/>
            </w:tcBorders>
            <w:shd w:val="clear" w:color="auto" w:fill="auto"/>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491" w:name="_Toc336338104"/>
            <w:bookmarkStart w:id="492" w:name="_Toc354054796"/>
            <w:r w:rsidRPr="00BB5519">
              <w:rPr>
                <w:rFonts w:ascii="Tahoma" w:hAnsi="Tahoma" w:cs="Tahoma"/>
                <w:b w:val="0"/>
                <w:sz w:val="14"/>
                <w:szCs w:val="14"/>
              </w:rPr>
              <w:t>VDI Standard Suite</w:t>
            </w:r>
            <w:bookmarkEnd w:id="491"/>
            <w:bookmarkEnd w:id="492"/>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rPr>
                <w:rStyle w:val="EndnoteReference"/>
                <w:b w:val="0"/>
                <w:sz w:val="13"/>
                <w:szCs w:val="13"/>
              </w:rPr>
            </w:pPr>
            <w:hyperlink w:anchor="_93_VDI_Standard" w:history="1">
              <w:r w:rsidR="00955428" w:rsidRPr="008D45D0">
                <w:rPr>
                  <w:rStyle w:val="Hyperlink"/>
                  <w:b/>
                  <w:sz w:val="13"/>
                  <w:szCs w:val="13"/>
                </w:rPr>
                <w:t>93</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60"/>
        </w:trPr>
        <w:tc>
          <w:tcPr>
            <w:tcW w:w="2556" w:type="dxa"/>
            <w:tcBorders>
              <w:bottom w:val="single" w:sz="4" w:space="0" w:color="auto"/>
            </w:tcBorders>
            <w:shd w:val="clear" w:color="auto" w:fill="FABF8F"/>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493" w:name="_Toc336338105"/>
            <w:bookmarkStart w:id="494" w:name="_Toc354054797"/>
            <w:r w:rsidRPr="00BB5519">
              <w:rPr>
                <w:rFonts w:ascii="Tahoma" w:hAnsi="Tahoma" w:cs="Tahoma"/>
                <w:b w:val="0"/>
                <w:sz w:val="14"/>
                <w:szCs w:val="14"/>
              </w:rPr>
              <w:t>VDI Standard Suite mit MDOP</w:t>
            </w:r>
            <w:bookmarkEnd w:id="493"/>
            <w:bookmarkEnd w:id="494"/>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rPr>
                <w:rStyle w:val="EndnoteReference"/>
                <w:b w:val="0"/>
                <w:sz w:val="13"/>
                <w:szCs w:val="13"/>
                <w:u w:val="single"/>
              </w:rPr>
            </w:pPr>
            <w:hyperlink w:anchor="_93_VDI_Standard" w:history="1">
              <w:r w:rsidR="008D45D0" w:rsidRPr="008D45D0">
                <w:rPr>
                  <w:rStyle w:val="Hyperlink"/>
                  <w:b/>
                  <w:sz w:val="13"/>
                  <w:szCs w:val="13"/>
                </w:rPr>
                <w:t>93</w:t>
              </w:r>
            </w:hyperlink>
            <w:hyperlink w:anchor="Srv_105VDIStandardandPremiumSuites" w:history="1"/>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EF228F" w:rsidRPr="00BB5519" w:rsidTr="004064E2">
        <w:trPr>
          <w:trHeight w:val="260"/>
        </w:trPr>
        <w:tc>
          <w:tcPr>
            <w:tcW w:w="2556" w:type="dxa"/>
            <w:tcBorders>
              <w:bottom w:val="single" w:sz="4" w:space="0" w:color="auto"/>
            </w:tcBorders>
            <w:shd w:val="clear" w:color="auto" w:fill="auto"/>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495" w:name="_Toc336338106"/>
            <w:bookmarkStart w:id="496" w:name="_Toc354054798"/>
            <w:r w:rsidRPr="00BB5519">
              <w:rPr>
                <w:rFonts w:ascii="Tahoma" w:hAnsi="Tahoma" w:cs="Tahoma"/>
                <w:b w:val="0"/>
                <w:sz w:val="14"/>
                <w:szCs w:val="14"/>
              </w:rPr>
              <w:t>VDI Premium Suite</w:t>
            </w:r>
            <w:bookmarkEnd w:id="495"/>
            <w:bookmarkEnd w:id="496"/>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rPr>
                <w:rStyle w:val="EndnoteReference"/>
                <w:b w:val="0"/>
                <w:sz w:val="13"/>
                <w:szCs w:val="13"/>
                <w:u w:val="single"/>
              </w:rPr>
            </w:pPr>
            <w:hyperlink w:anchor="_93_VDI_Standard" w:history="1">
              <w:r w:rsidR="008D45D0" w:rsidRPr="008D45D0">
                <w:rPr>
                  <w:rStyle w:val="Hyperlink"/>
                  <w:b/>
                  <w:sz w:val="13"/>
                  <w:szCs w:val="13"/>
                </w:rPr>
                <w:t>93</w:t>
              </w:r>
            </w:hyperlink>
            <w:hyperlink w:anchor="Srv_105VDIStandardandPremiumSuites" w:history="1"/>
          </w:p>
        </w:tc>
        <w:tc>
          <w:tcPr>
            <w:tcW w:w="45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60"/>
        </w:trPr>
        <w:tc>
          <w:tcPr>
            <w:tcW w:w="2556" w:type="dxa"/>
            <w:tcBorders>
              <w:bottom w:val="single" w:sz="4" w:space="0" w:color="auto"/>
            </w:tcBorders>
            <w:shd w:val="clear" w:color="auto" w:fill="FABF8F"/>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497" w:name="_Toc336338107"/>
            <w:bookmarkStart w:id="498" w:name="_Toc354054799"/>
            <w:r w:rsidRPr="00BB5519">
              <w:rPr>
                <w:rFonts w:ascii="Tahoma" w:hAnsi="Tahoma" w:cs="Tahoma"/>
                <w:b w:val="0"/>
                <w:sz w:val="14"/>
                <w:szCs w:val="14"/>
              </w:rPr>
              <w:t>VDI Premium Suite mit MDOP</w:t>
            </w:r>
            <w:bookmarkEnd w:id="497"/>
            <w:bookmarkEnd w:id="498"/>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rPr>
                <w:rStyle w:val="EndnoteReference"/>
                <w:b w:val="0"/>
                <w:sz w:val="13"/>
                <w:szCs w:val="13"/>
                <w:u w:val="single"/>
              </w:rPr>
            </w:pPr>
            <w:hyperlink w:anchor="_93_VDI_Standard" w:history="1">
              <w:r w:rsidR="008D45D0" w:rsidRPr="008D45D0">
                <w:rPr>
                  <w:rStyle w:val="Hyperlink"/>
                  <w:b/>
                  <w:sz w:val="13"/>
                  <w:szCs w:val="13"/>
                </w:rPr>
                <w:t>93</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ProductNames"/>
              <w:spacing w:beforeLines="20" w:before="48" w:afterLines="20" w:after="48"/>
              <w:rPr>
                <w:rFonts w:ascii="Tahoma" w:hAnsi="Tahoma"/>
                <w:position w:val="0"/>
                <w:sz w:val="14"/>
              </w:rPr>
            </w:pPr>
            <w:bookmarkStart w:id="499" w:name="_Toc354054800"/>
            <w:r w:rsidRPr="00BB5519">
              <w:rPr>
                <w:rFonts w:ascii="Tahoma" w:hAnsi="Tahoma" w:cs="Tahoma"/>
                <w:position w:val="0"/>
                <w:sz w:val="14"/>
              </w:rPr>
              <w:t>Vexcel Server</w:t>
            </w:r>
            <w:bookmarkEnd w:id="499"/>
          </w:p>
        </w:tc>
        <w:tc>
          <w:tcPr>
            <w:tcW w:w="630" w:type="dxa"/>
            <w:tcBorders>
              <w:bottom w:val="single" w:sz="4" w:space="0" w:color="auto"/>
            </w:tcBorders>
            <w:shd w:val="clear" w:color="auto" w:fill="auto"/>
            <w:vAlign w:val="center"/>
          </w:tcPr>
          <w:p w:rsidR="001A63C6" w:rsidRPr="00BB5519" w:rsidRDefault="005F5403" w:rsidP="00B107DD">
            <w:pPr>
              <w:pStyle w:val="TableText"/>
              <w:widowControl w:val="0"/>
              <w:rPr>
                <w:rStyle w:val="EndnoteReference"/>
                <w:b w:val="0"/>
                <w:sz w:val="13"/>
                <w:szCs w:val="13"/>
                <w:u w:val="single"/>
              </w:rPr>
            </w:pPr>
            <w:hyperlink w:anchor="_91_Vexcel_Server," w:history="1">
              <w:r w:rsidR="00B107DD" w:rsidRPr="00B107DD">
                <w:rPr>
                  <w:rStyle w:val="Hyperlink"/>
                  <w:b/>
                  <w:sz w:val="13"/>
                  <w:szCs w:val="13"/>
                </w:rPr>
                <w:t>94</w:t>
              </w:r>
            </w:hyperlink>
            <w:hyperlink w:anchor="Srv_27BingMapsSvrandContentPack" w:history="1"/>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 Punkte</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145"/>
        </w:trPr>
        <w:tc>
          <w:tcPr>
            <w:tcW w:w="2556" w:type="dxa"/>
            <w:tcBorders>
              <w:bottom w:val="single" w:sz="4" w:space="0" w:color="auto"/>
            </w:tcBorders>
            <w:shd w:val="clear" w:color="auto" w:fill="FABF8F"/>
          </w:tcPr>
          <w:p w:rsidR="001A63C6" w:rsidRPr="00BB5519" w:rsidRDefault="001A63C6" w:rsidP="005B6712">
            <w:pPr>
              <w:pStyle w:val="ProductNames"/>
              <w:spacing w:beforeLines="20" w:before="48" w:afterLines="20" w:after="48"/>
              <w:rPr>
                <w:rFonts w:ascii="Tahoma" w:hAnsi="Tahoma"/>
                <w:position w:val="0"/>
                <w:sz w:val="14"/>
                <w:lang w:val="de-DE"/>
              </w:rPr>
            </w:pPr>
            <w:bookmarkStart w:id="500" w:name="_Toc354054801"/>
            <w:r w:rsidRPr="00BB5519">
              <w:rPr>
                <w:rFonts w:ascii="Tahoma" w:hAnsi="Tahoma" w:cs="Tahoma"/>
                <w:position w:val="0"/>
                <w:sz w:val="14"/>
                <w:lang w:val="de-DE"/>
              </w:rPr>
              <w:t>Vexcel Server mit Erweitertem Inhaltspaket</w:t>
            </w:r>
            <w:bookmarkEnd w:id="500"/>
            <w:r w:rsidRPr="00BB5519">
              <w:rPr>
                <w:rFonts w:ascii="Tahoma" w:hAnsi="Tahoma" w:cs="Tahoma"/>
                <w:position w:val="0"/>
                <w:sz w:val="14"/>
                <w:lang w:val="de-DE"/>
              </w:rPr>
              <w:t xml:space="preserve"> </w:t>
            </w:r>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rPr>
                <w:rStyle w:val="EndnoteReference"/>
                <w:b w:val="0"/>
                <w:sz w:val="13"/>
                <w:szCs w:val="13"/>
                <w:u w:val="single"/>
              </w:rPr>
            </w:pPr>
            <w:hyperlink w:anchor="_91_Vexcel_Server," w:history="1">
              <w:r w:rsidR="008D45D0" w:rsidRPr="00B107DD">
                <w:rPr>
                  <w:rStyle w:val="Hyperlink"/>
                  <w:b/>
                  <w:sz w:val="13"/>
                  <w:szCs w:val="13"/>
                </w:rPr>
                <w:t>94</w:t>
              </w:r>
            </w:hyperlink>
          </w:p>
        </w:tc>
        <w:tc>
          <w:tcPr>
            <w:tcW w:w="450" w:type="dxa"/>
            <w:tcBorders>
              <w:bottom w:val="single" w:sz="4" w:space="0" w:color="auto"/>
            </w:tcBorders>
            <w:shd w:val="clear" w:color="auto" w:fill="FABF8F"/>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 Punkte</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tcPr>
          <w:p w:rsidR="001A63C6" w:rsidRPr="00BB5519" w:rsidRDefault="001A63C6" w:rsidP="005B6712">
            <w:pPr>
              <w:pStyle w:val="Heading2"/>
              <w:spacing w:beforeLines="20" w:before="48" w:afterLines="20" w:after="48"/>
              <w:ind w:left="0"/>
              <w:rPr>
                <w:rFonts w:ascii="Tahoma" w:hAnsi="Tahoma" w:cs="Tahoma"/>
                <w:b w:val="0"/>
                <w:sz w:val="14"/>
                <w:szCs w:val="14"/>
                <w:lang w:val="pt-BR"/>
              </w:rPr>
            </w:pPr>
            <w:bookmarkStart w:id="501" w:name="_Toc336338108"/>
            <w:bookmarkStart w:id="502" w:name="_Toc354054802"/>
            <w:r w:rsidRPr="00BB5519">
              <w:rPr>
                <w:rFonts w:ascii="Tahoma" w:hAnsi="Tahoma" w:cs="Tahoma"/>
                <w:b w:val="0"/>
                <w:sz w:val="14"/>
                <w:szCs w:val="14"/>
                <w:lang w:val="pt-BR"/>
              </w:rPr>
              <w:t>Virtual Server 2005 R2 Enterprise Edition</w:t>
            </w:r>
            <w:bookmarkEnd w:id="501"/>
            <w:bookmarkEnd w:id="502"/>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6B1F3F"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503" w:name="_Toc336338109"/>
            <w:bookmarkStart w:id="504" w:name="_Toc354054803"/>
            <w:r w:rsidRPr="00BB5519">
              <w:rPr>
                <w:rFonts w:ascii="Tahoma" w:hAnsi="Tahoma" w:cs="Tahoma"/>
                <w:b w:val="0"/>
                <w:sz w:val="14"/>
                <w:szCs w:val="14"/>
              </w:rPr>
              <w:t>Visual Studio</w:t>
            </w:r>
            <w:r w:rsidRPr="00BB5519">
              <w:rPr>
                <w:rFonts w:ascii="Tahoma" w:eastAsia="Times New Roman" w:hAnsi="Tahoma" w:cs="Tahoma"/>
                <w:b w:val="0"/>
                <w:color w:val="000000"/>
                <w:sz w:val="14"/>
                <w:szCs w:val="14"/>
                <w:vertAlign w:val="superscript"/>
              </w:rPr>
              <w:t>®</w:t>
            </w:r>
            <w:r w:rsidRPr="00BB5519">
              <w:rPr>
                <w:rFonts w:ascii="Tahoma" w:hAnsi="Tahoma" w:cs="Tahoma"/>
                <w:b w:val="0"/>
                <w:sz w:val="14"/>
                <w:szCs w:val="14"/>
              </w:rPr>
              <w:t xml:space="preserve"> Team Foundation Server 2012 mit SQL Server 2012-Technologie</w:t>
            </w:r>
            <w:bookmarkEnd w:id="503"/>
            <w:bookmarkEnd w:id="504"/>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505" w:name="_Toc254805933"/>
            <w:bookmarkStart w:id="506" w:name="_Toc336338110"/>
            <w:bookmarkStart w:id="507" w:name="_Toc354054804"/>
            <w:r w:rsidRPr="00BB5519">
              <w:rPr>
                <w:rFonts w:ascii="Tahoma" w:hAnsi="Tahoma" w:cs="Tahoma"/>
                <w:b w:val="0"/>
                <w:sz w:val="14"/>
                <w:szCs w:val="14"/>
              </w:rPr>
              <w:t>Geräte-CAL für Visual Studio</w:t>
            </w:r>
            <w:r w:rsidRPr="00621662">
              <w:rPr>
                <w:rFonts w:ascii="Tahoma" w:hAnsi="Tahoma" w:cs="Tahoma"/>
                <w:b w:val="0"/>
                <w:sz w:val="14"/>
                <w:szCs w:val="14"/>
                <w:vertAlign w:val="superscript"/>
              </w:rPr>
              <w:t>®</w:t>
            </w:r>
            <w:r w:rsidRPr="00BB5519">
              <w:rPr>
                <w:rFonts w:ascii="Tahoma" w:hAnsi="Tahoma" w:cs="Tahoma"/>
                <w:b w:val="0"/>
                <w:sz w:val="14"/>
                <w:szCs w:val="14"/>
              </w:rPr>
              <w:t xml:space="preserve"> Team Foundation Server 2012</w:t>
            </w:r>
            <w:bookmarkEnd w:id="505"/>
            <w:bookmarkEnd w:id="506"/>
            <w:bookmarkEnd w:id="507"/>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6B1F3F"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508" w:name="_Toc254805934"/>
            <w:bookmarkStart w:id="509" w:name="_Toc336338111"/>
            <w:bookmarkStart w:id="510" w:name="_Toc354054805"/>
            <w:r w:rsidRPr="00BB5519">
              <w:rPr>
                <w:rFonts w:ascii="Tahoma" w:hAnsi="Tahoma" w:cs="Tahoma"/>
                <w:b w:val="0"/>
                <w:sz w:val="14"/>
                <w:szCs w:val="14"/>
              </w:rPr>
              <w:t>Nutzer-CAL für Visual Studio</w:t>
            </w:r>
            <w:r w:rsidRPr="00621662">
              <w:rPr>
                <w:rFonts w:ascii="Tahoma" w:hAnsi="Tahoma" w:cs="Tahoma"/>
                <w:b w:val="0"/>
                <w:sz w:val="14"/>
                <w:szCs w:val="14"/>
                <w:vertAlign w:val="superscript"/>
              </w:rPr>
              <w:t>®</w:t>
            </w:r>
            <w:r w:rsidRPr="00BB5519">
              <w:rPr>
                <w:rFonts w:ascii="Tahoma" w:hAnsi="Tahoma" w:cs="Tahoma"/>
                <w:b w:val="0"/>
                <w:sz w:val="14"/>
                <w:szCs w:val="14"/>
              </w:rPr>
              <w:t xml:space="preserve"> Team Foundation Server 2012</w:t>
            </w:r>
            <w:bookmarkEnd w:id="508"/>
            <w:bookmarkEnd w:id="509"/>
            <w:bookmarkEnd w:id="510"/>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3</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spacing w:after="120"/>
              <w:rPr>
                <w:rFonts w:ascii="Tahoma" w:hAnsi="Tahoma" w:cs="Tahoma"/>
                <w:sz w:val="13"/>
                <w:szCs w:val="13"/>
              </w:rPr>
            </w:pPr>
            <w:r w:rsidRPr="00BB5519">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494"/>
        </w:trPr>
        <w:tc>
          <w:tcPr>
            <w:tcW w:w="2556" w:type="dxa"/>
            <w:tcBorders>
              <w:bottom w:val="single" w:sz="4" w:space="0" w:color="auto"/>
            </w:tcBorders>
            <w:shd w:val="clear" w:color="auto" w:fill="auto"/>
          </w:tcPr>
          <w:p w:rsidR="001A63C6" w:rsidRPr="00BB5519" w:rsidRDefault="001A63C6" w:rsidP="005B6712">
            <w:pPr>
              <w:pStyle w:val="Heading2"/>
              <w:spacing w:beforeLines="20" w:before="48" w:afterLines="20" w:after="48"/>
              <w:ind w:left="0"/>
              <w:rPr>
                <w:rFonts w:ascii="Tahoma" w:hAnsi="Tahoma" w:cs="Tahoma"/>
                <w:b w:val="0"/>
                <w:sz w:val="14"/>
                <w:szCs w:val="14"/>
              </w:rPr>
            </w:pPr>
            <w:bookmarkStart w:id="511" w:name="_Toc336338113"/>
            <w:bookmarkStart w:id="512" w:name="_Toc354054806"/>
            <w:r w:rsidRPr="00BB5519">
              <w:rPr>
                <w:rFonts w:ascii="Tahoma" w:hAnsi="Tahoma" w:cs="Tahoma"/>
                <w:b w:val="0"/>
                <w:sz w:val="14"/>
                <w:szCs w:val="14"/>
              </w:rPr>
              <w:t>Web-Antimalware-Abonnement für Forefront Threat Management Gateway Medium Business Edition (Gerät &amp; Nutzer)</w:t>
            </w:r>
            <w:bookmarkEnd w:id="511"/>
            <w:bookmarkEnd w:id="512"/>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rFonts w:ascii="Tahoma" w:hAnsi="Tahoma" w:cs="Tahoma"/>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6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87"/>
        </w:trPr>
        <w:tc>
          <w:tcPr>
            <w:tcW w:w="2556" w:type="dxa"/>
            <w:tcBorders>
              <w:bottom w:val="single" w:sz="4" w:space="0" w:color="auto"/>
            </w:tcBorders>
            <w:shd w:val="clear" w:color="auto" w:fill="FABF8F"/>
            <w:vAlign w:val="center"/>
          </w:tcPr>
          <w:p w:rsidR="001A63C6" w:rsidRPr="00BB5519" w:rsidRDefault="001A63C6" w:rsidP="005B6712">
            <w:pPr>
              <w:pStyle w:val="Heading2"/>
              <w:spacing w:beforeLines="20" w:before="48" w:afterLines="20" w:after="48"/>
              <w:ind w:left="0"/>
              <w:rPr>
                <w:rFonts w:ascii="Tahoma" w:hAnsi="Tahoma" w:cs="Tahoma"/>
                <w:b w:val="0"/>
                <w:sz w:val="14"/>
              </w:rPr>
            </w:pPr>
            <w:bookmarkStart w:id="513" w:name="_Toc336338114"/>
            <w:bookmarkStart w:id="514" w:name="_Toc354054807"/>
            <w:r w:rsidRPr="00BB5519">
              <w:rPr>
                <w:rFonts w:ascii="Tahoma" w:hAnsi="Tahoma" w:cs="Tahoma"/>
                <w:b w:val="0"/>
                <w:sz w:val="14"/>
              </w:rPr>
              <w:t>Windows Azure-Dienste</w:t>
            </w:r>
            <w:bookmarkEnd w:id="513"/>
            <w:bookmarkEnd w:id="514"/>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spacing w:before="100" w:beforeAutospacing="1"/>
              <w:rPr>
                <w:rFonts w:cs="Tahoma"/>
                <w:b/>
                <w:color w:val="0000FF"/>
                <w:sz w:val="13"/>
                <w:szCs w:val="13"/>
                <w:u w:val="single"/>
              </w:rPr>
            </w:pPr>
            <w:hyperlink w:anchor="_95_Windows_Azure-Dienste" w:history="1">
              <w:r w:rsidR="00955428" w:rsidRPr="008D45D0">
                <w:rPr>
                  <w:rStyle w:val="Hyperlink"/>
                  <w:rFonts w:cs="Tahoma"/>
                  <w:b/>
                  <w:sz w:val="13"/>
                  <w:szCs w:val="13"/>
                </w:rPr>
                <w:t>95</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152"/>
        </w:trPr>
        <w:tc>
          <w:tcPr>
            <w:tcW w:w="2556" w:type="dxa"/>
            <w:tcBorders>
              <w:bottom w:val="single" w:sz="4" w:space="0" w:color="auto"/>
            </w:tcBorders>
            <w:shd w:val="clear" w:color="auto" w:fill="auto"/>
            <w:vAlign w:val="center"/>
          </w:tcPr>
          <w:p w:rsidR="001A63C6" w:rsidRPr="00BB5519" w:rsidRDefault="001A63C6" w:rsidP="00D15040">
            <w:pPr>
              <w:pStyle w:val="Heading2"/>
              <w:spacing w:before="20" w:after="20"/>
              <w:ind w:left="0"/>
              <w:rPr>
                <w:rFonts w:ascii="Tahoma" w:hAnsi="Tahoma" w:cs="Tahoma"/>
                <w:b w:val="0"/>
                <w:sz w:val="14"/>
                <w:szCs w:val="14"/>
              </w:rPr>
            </w:pPr>
            <w:bookmarkStart w:id="515" w:name="_Toc336338115"/>
            <w:bookmarkStart w:id="516" w:name="_Toc354054808"/>
            <w:r w:rsidRPr="00BB5519">
              <w:rPr>
                <w:rFonts w:ascii="Tahoma" w:hAnsi="Tahoma" w:cs="Tahoma"/>
                <w:b w:val="0"/>
                <w:sz w:val="14"/>
              </w:rPr>
              <w:t>Windows</w:t>
            </w:r>
            <w:r w:rsidRPr="00621662">
              <w:rPr>
                <w:rFonts w:ascii="Tahoma" w:hAnsi="Tahoma" w:cs="Tahoma"/>
                <w:b w:val="0"/>
                <w:sz w:val="14"/>
                <w:vertAlign w:val="superscript"/>
              </w:rPr>
              <w:t>®</w:t>
            </w:r>
            <w:r w:rsidRPr="00BB5519">
              <w:rPr>
                <w:rFonts w:ascii="Tahoma" w:hAnsi="Tahoma" w:cs="Tahoma"/>
                <w:b w:val="0"/>
                <w:sz w:val="14"/>
              </w:rPr>
              <w:t xml:space="preserve"> Embedded Device Manager</w:t>
            </w:r>
            <w:r w:rsidR="00D15040">
              <w:rPr>
                <w:rFonts w:ascii="Tahoma" w:hAnsi="Tahoma" w:cs="Tahoma"/>
                <w:b w:val="0"/>
                <w:sz w:val="14"/>
              </w:rPr>
              <w:t> </w:t>
            </w:r>
            <w:r w:rsidRPr="00BB5519">
              <w:rPr>
                <w:rFonts w:ascii="Tahoma" w:hAnsi="Tahoma" w:cs="Tahoma"/>
                <w:b w:val="0"/>
                <w:sz w:val="14"/>
              </w:rPr>
              <w:t>2011</w:t>
            </w:r>
            <w:bookmarkEnd w:id="515"/>
            <w:bookmarkEnd w:id="516"/>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spacing w:before="100" w:beforeAutospacing="1"/>
              <w:rPr>
                <w:rFonts w:cs="Tahoma"/>
                <w:b/>
                <w:color w:val="0000FF"/>
                <w:sz w:val="13"/>
                <w:szCs w:val="13"/>
                <w:u w:val="single"/>
              </w:rPr>
            </w:pPr>
            <w:hyperlink w:anchor="_96_Windows_Embedded_1" w:history="1">
              <w:r w:rsidR="00955428" w:rsidRPr="008D45D0">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6F21F8" w:rsidTr="004064E2">
        <w:trPr>
          <w:trHeight w:val="287"/>
        </w:trPr>
        <w:tc>
          <w:tcPr>
            <w:tcW w:w="2556" w:type="dxa"/>
            <w:tcBorders>
              <w:bottom w:val="single" w:sz="4" w:space="0" w:color="auto"/>
            </w:tcBorders>
            <w:shd w:val="clear" w:color="auto" w:fill="FABF8F"/>
            <w:vAlign w:val="center"/>
          </w:tcPr>
          <w:p w:rsidR="001A63C6" w:rsidRPr="00BB5519" w:rsidRDefault="001A63C6" w:rsidP="001A63C6">
            <w:pPr>
              <w:pStyle w:val="Heading2"/>
              <w:spacing w:before="20" w:after="20"/>
              <w:ind w:left="0"/>
              <w:rPr>
                <w:rFonts w:ascii="Tahoma" w:hAnsi="Tahoma" w:cs="Tahoma"/>
                <w:b w:val="0"/>
                <w:sz w:val="14"/>
                <w:szCs w:val="14"/>
                <w:lang w:val="de-DE"/>
              </w:rPr>
            </w:pPr>
            <w:bookmarkStart w:id="517" w:name="_Toc336338116"/>
            <w:bookmarkStart w:id="518" w:name="_Toc354054809"/>
            <w:r w:rsidRPr="00BB5519">
              <w:rPr>
                <w:rFonts w:ascii="Tahoma" w:hAnsi="Tahoma" w:cs="Tahoma"/>
                <w:b w:val="0"/>
                <w:sz w:val="14"/>
                <w:lang w:val="de-DE"/>
              </w:rPr>
              <w:t>Client-Management-Lizenz für Windows</w:t>
            </w:r>
            <w:r w:rsidRPr="00D15040">
              <w:rPr>
                <w:rFonts w:ascii="Tahoma" w:hAnsi="Tahoma" w:cs="Tahoma"/>
                <w:b w:val="0"/>
                <w:sz w:val="14"/>
                <w:vertAlign w:val="superscript"/>
                <w:lang w:val="de-DE"/>
              </w:rPr>
              <w:t>®</w:t>
            </w:r>
            <w:r w:rsidRPr="00BB5519">
              <w:rPr>
                <w:rFonts w:ascii="Tahoma" w:hAnsi="Tahoma" w:cs="Tahoma"/>
                <w:b w:val="0"/>
                <w:sz w:val="14"/>
                <w:lang w:val="de-DE"/>
              </w:rPr>
              <w:t xml:space="preserve"> Embedded Device Manager 2011 pro Betriebssystemumgebung</w:t>
            </w:r>
            <w:bookmarkEnd w:id="517"/>
            <w:bookmarkEnd w:id="518"/>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spacing w:before="100" w:beforeAutospacing="1"/>
              <w:rPr>
                <w:rFonts w:ascii="Tahoma" w:hAnsi="Tahoma" w:cs="Tahoma"/>
                <w:b/>
                <w:color w:val="0000FF"/>
                <w:sz w:val="13"/>
                <w:szCs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lang w:val="de-DE"/>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lang w:val="de-DE"/>
              </w:rPr>
            </w:pPr>
          </w:p>
        </w:tc>
      </w:tr>
      <w:tr w:rsidR="001A63C6" w:rsidRPr="00BB5519" w:rsidTr="004064E2">
        <w:trPr>
          <w:trHeight w:val="287"/>
        </w:trPr>
        <w:tc>
          <w:tcPr>
            <w:tcW w:w="2556" w:type="dxa"/>
            <w:tcBorders>
              <w:bottom w:val="single" w:sz="4" w:space="0" w:color="auto"/>
            </w:tcBorders>
            <w:shd w:val="clear" w:color="auto" w:fill="auto"/>
            <w:vAlign w:val="center"/>
          </w:tcPr>
          <w:p w:rsidR="001A63C6" w:rsidRPr="00BB5519" w:rsidRDefault="001A63C6" w:rsidP="00D15040">
            <w:pPr>
              <w:pStyle w:val="Heading2"/>
              <w:spacing w:before="20" w:after="20"/>
              <w:ind w:left="0"/>
              <w:rPr>
                <w:rFonts w:ascii="Tahoma" w:hAnsi="Tahoma" w:cs="Tahoma"/>
                <w:b w:val="0"/>
                <w:sz w:val="14"/>
                <w:szCs w:val="14"/>
                <w:lang w:val="de-DE"/>
              </w:rPr>
            </w:pPr>
            <w:bookmarkStart w:id="519" w:name="_Toc336338117"/>
            <w:bookmarkStart w:id="520" w:name="_Toc354054810"/>
            <w:r w:rsidRPr="00BB5519">
              <w:rPr>
                <w:rFonts w:ascii="Tahoma" w:hAnsi="Tahoma" w:cs="Tahoma"/>
                <w:b w:val="0"/>
                <w:sz w:val="14"/>
                <w:lang w:val="de-DE"/>
              </w:rPr>
              <w:t>Client-Management-Lizenz pro Nutzer für</w:t>
            </w:r>
            <w:r w:rsidR="00D15040">
              <w:rPr>
                <w:rFonts w:ascii="Tahoma" w:hAnsi="Tahoma" w:cs="Tahoma"/>
                <w:b w:val="0"/>
                <w:sz w:val="14"/>
                <w:lang w:val="de-DE"/>
              </w:rPr>
              <w:t> </w:t>
            </w:r>
            <w:r w:rsidRPr="00BB5519">
              <w:rPr>
                <w:rFonts w:ascii="Tahoma" w:hAnsi="Tahoma" w:cs="Tahoma"/>
                <w:b w:val="0"/>
                <w:sz w:val="14"/>
                <w:lang w:val="de-DE"/>
              </w:rPr>
              <w:t>Windows</w:t>
            </w:r>
            <w:r w:rsidRPr="00621662">
              <w:rPr>
                <w:rFonts w:ascii="Tahoma" w:hAnsi="Tahoma" w:cs="Tahoma"/>
                <w:b w:val="0"/>
                <w:sz w:val="14"/>
                <w:vertAlign w:val="superscript"/>
                <w:lang w:val="de-DE"/>
              </w:rPr>
              <w:t>®</w:t>
            </w:r>
            <w:r w:rsidRPr="00BB5519">
              <w:rPr>
                <w:rFonts w:ascii="Tahoma" w:hAnsi="Tahoma" w:cs="Tahoma"/>
                <w:b w:val="0"/>
                <w:sz w:val="14"/>
                <w:lang w:val="de-DE"/>
              </w:rPr>
              <w:t xml:space="preserve"> Embedded Device Manager</w:t>
            </w:r>
            <w:r w:rsidR="00D15040">
              <w:rPr>
                <w:rFonts w:ascii="Tahoma" w:hAnsi="Tahoma" w:cs="Tahoma"/>
                <w:b w:val="0"/>
                <w:sz w:val="14"/>
                <w:lang w:val="de-DE"/>
              </w:rPr>
              <w:t> </w:t>
            </w:r>
            <w:r w:rsidRPr="00BB5519">
              <w:rPr>
                <w:rFonts w:ascii="Tahoma" w:hAnsi="Tahoma" w:cs="Tahoma"/>
                <w:b w:val="0"/>
                <w:sz w:val="14"/>
                <w:lang w:val="de-DE"/>
              </w:rPr>
              <w:t>2011</w:t>
            </w:r>
            <w:bookmarkEnd w:id="519"/>
            <w:bookmarkEnd w:id="520"/>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spacing w:before="100" w:beforeAutospacing="1"/>
              <w:rPr>
                <w:rFonts w:cs="Tahoma"/>
                <w:b/>
                <w:color w:val="0000FF"/>
                <w:sz w:val="13"/>
                <w:szCs w:val="13"/>
              </w:rPr>
            </w:pPr>
            <w:hyperlink w:anchor="_97_Windows_Embedded" w:history="1">
              <w:r w:rsidR="00955428" w:rsidRPr="008D45D0">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87"/>
        </w:trPr>
        <w:tc>
          <w:tcPr>
            <w:tcW w:w="2556" w:type="dxa"/>
            <w:tcBorders>
              <w:bottom w:val="single" w:sz="4" w:space="0" w:color="auto"/>
            </w:tcBorders>
            <w:shd w:val="clear" w:color="auto" w:fill="FABF8F"/>
            <w:vAlign w:val="center"/>
          </w:tcPr>
          <w:p w:rsidR="001A63C6" w:rsidRPr="00BB5519" w:rsidRDefault="001A63C6" w:rsidP="001A63C6">
            <w:pPr>
              <w:pStyle w:val="Heading2"/>
              <w:spacing w:before="20" w:after="20"/>
              <w:ind w:left="0"/>
              <w:rPr>
                <w:rFonts w:ascii="Tahoma" w:hAnsi="Tahoma" w:cs="Tahoma"/>
                <w:b w:val="0"/>
                <w:sz w:val="14"/>
                <w:szCs w:val="14"/>
              </w:rPr>
            </w:pPr>
            <w:bookmarkStart w:id="521" w:name="_Toc336338118"/>
            <w:bookmarkStart w:id="522" w:name="_Toc354054811"/>
            <w:r w:rsidRPr="00BB5519">
              <w:rPr>
                <w:rFonts w:ascii="Tahoma" w:hAnsi="Tahoma" w:cs="Tahoma"/>
                <w:b w:val="0"/>
                <w:sz w:val="14"/>
              </w:rPr>
              <w:t>Windows</w:t>
            </w:r>
            <w:r w:rsidRPr="00621662">
              <w:rPr>
                <w:rFonts w:ascii="Tahoma" w:hAnsi="Tahoma" w:cs="Tahoma"/>
                <w:b w:val="0"/>
                <w:sz w:val="14"/>
                <w:vertAlign w:val="superscript"/>
              </w:rPr>
              <w:t>®</w:t>
            </w:r>
            <w:r w:rsidRPr="00BB5519">
              <w:rPr>
                <w:rFonts w:ascii="Tahoma" w:hAnsi="Tahoma" w:cs="Tahoma"/>
                <w:b w:val="0"/>
                <w:sz w:val="14"/>
              </w:rPr>
              <w:t xml:space="preserve"> Embedded Device Manager 2011 mit SQL Server</w:t>
            </w:r>
            <w:r w:rsidRPr="00621662">
              <w:rPr>
                <w:rFonts w:ascii="Tahoma" w:hAnsi="Tahoma" w:cs="Tahoma"/>
                <w:b w:val="0"/>
                <w:sz w:val="14"/>
                <w:vertAlign w:val="superscript"/>
              </w:rPr>
              <w:t>®</w:t>
            </w:r>
            <w:r w:rsidRPr="00BB5519">
              <w:rPr>
                <w:rFonts w:ascii="Tahoma" w:hAnsi="Tahoma" w:cs="Tahoma"/>
                <w:b w:val="0"/>
                <w:sz w:val="14"/>
              </w:rPr>
              <w:t xml:space="preserve"> 2008-Technologie</w:t>
            </w:r>
            <w:bookmarkEnd w:id="521"/>
            <w:bookmarkEnd w:id="522"/>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spacing w:before="100" w:beforeAutospacing="1"/>
              <w:rPr>
                <w:rFonts w:cs="Tahoma"/>
                <w:b/>
                <w:color w:val="0000FF"/>
                <w:sz w:val="13"/>
                <w:szCs w:val="13"/>
                <w:u w:val="single"/>
              </w:rPr>
            </w:pPr>
            <w:hyperlink w:anchor="_97_Windows_Embedded" w:history="1">
              <w:r w:rsidR="008D45D0" w:rsidRPr="008D45D0">
                <w:rPr>
                  <w:rStyle w:val="Hyperlink"/>
                  <w:rFonts w:cs="Tahoma"/>
                  <w:b/>
                  <w:sz w:val="13"/>
                  <w:szCs w:val="13"/>
                </w:rPr>
                <w:t>97</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287"/>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23" w:name="_Toc336338119"/>
            <w:bookmarkStart w:id="524" w:name="_Toc354054812"/>
            <w:r w:rsidRPr="00BB5519">
              <w:rPr>
                <w:rFonts w:ascii="Tahoma" w:hAnsi="Tahoma" w:cs="Tahoma"/>
                <w:b w:val="0"/>
                <w:sz w:val="14"/>
                <w:szCs w:val="14"/>
              </w:rPr>
              <w:lastRenderedPageBreak/>
              <w:t>Windows Essential Business Server 2008 Standard</w:t>
            </w:r>
            <w:bookmarkEnd w:id="523"/>
            <w:bookmarkEnd w:id="524"/>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spacing w:before="100" w:beforeAutospacing="1"/>
              <w:rPr>
                <w:rStyle w:val="EndnoteReference"/>
                <w:rFonts w:cs="Tahoma"/>
                <w:b w:val="0"/>
                <w:color w:val="0000FF"/>
                <w:sz w:val="13"/>
                <w:szCs w:val="13"/>
                <w:u w:val="single"/>
              </w:rPr>
            </w:pPr>
            <w:hyperlink w:anchor="_98_Windows_EBS" w:history="1">
              <w:r w:rsidR="00955428" w:rsidRPr="008D45D0">
                <w:rPr>
                  <w:rStyle w:val="Hyperlink"/>
                  <w:rFonts w:cs="Tahoma"/>
                  <w:b/>
                  <w:sz w:val="13"/>
                  <w:szCs w:val="13"/>
                </w:rPr>
                <w:t>98</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87"/>
        </w:trPr>
        <w:tc>
          <w:tcPr>
            <w:tcW w:w="2556" w:type="dxa"/>
            <w:tcBorders>
              <w:bottom w:val="single" w:sz="4" w:space="0" w:color="auto"/>
            </w:tcBorders>
            <w:shd w:val="clear" w:color="auto" w:fill="FABF8F"/>
            <w:vAlign w:val="center"/>
          </w:tcPr>
          <w:p w:rsidR="001A63C6" w:rsidRPr="00BB5519" w:rsidRDefault="001A63C6" w:rsidP="001A63C6">
            <w:pPr>
              <w:pStyle w:val="Heading2"/>
              <w:spacing w:before="20" w:after="20"/>
              <w:ind w:left="0"/>
              <w:rPr>
                <w:rFonts w:ascii="Tahoma" w:hAnsi="Tahoma" w:cs="Tahoma"/>
                <w:b w:val="0"/>
                <w:sz w:val="14"/>
                <w:szCs w:val="14"/>
              </w:rPr>
            </w:pPr>
            <w:bookmarkStart w:id="525" w:name="_Toc336338120"/>
            <w:bookmarkStart w:id="526" w:name="_Toc354054813"/>
            <w:r w:rsidRPr="00BB5519">
              <w:rPr>
                <w:rFonts w:ascii="Tahoma" w:hAnsi="Tahoma" w:cs="Tahoma"/>
                <w:b w:val="0"/>
                <w:sz w:val="14"/>
                <w:szCs w:val="14"/>
              </w:rPr>
              <w:t>CAL-Suite für Windows Essential Business Server 2008</w:t>
            </w:r>
            <w:bookmarkEnd w:id="525"/>
            <w:bookmarkEnd w:id="526"/>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1A63C6" w:rsidRPr="00BB5519" w:rsidTr="004064E2">
        <w:trPr>
          <w:trHeight w:val="287"/>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27" w:name="_Toc336338121"/>
            <w:bookmarkStart w:id="528" w:name="_Toc354054814"/>
            <w:r w:rsidRPr="00BB5519">
              <w:rPr>
                <w:rFonts w:ascii="Tahoma" w:hAnsi="Tahoma" w:cs="Tahoma"/>
                <w:b w:val="0"/>
                <w:sz w:val="14"/>
                <w:szCs w:val="14"/>
              </w:rPr>
              <w:t>CAL-Suite für Windows Essential Business Server 2008 (5 Clients)</w:t>
            </w:r>
            <w:bookmarkEnd w:id="527"/>
            <w:bookmarkEnd w:id="528"/>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w:t>
            </w:r>
          </w:p>
        </w:tc>
      </w:tr>
      <w:tr w:rsidR="00B33D0E" w:rsidRPr="00BB5519" w:rsidTr="004064E2">
        <w:trPr>
          <w:trHeight w:val="287"/>
        </w:trPr>
        <w:tc>
          <w:tcPr>
            <w:tcW w:w="2556" w:type="dxa"/>
            <w:tcBorders>
              <w:bottom w:val="single" w:sz="4" w:space="0" w:color="auto"/>
            </w:tcBorders>
            <w:shd w:val="clear" w:color="auto" w:fill="FABF8F"/>
            <w:vAlign w:val="center"/>
          </w:tcPr>
          <w:p w:rsidR="001A63C6" w:rsidRPr="00BB5519" w:rsidRDefault="001A63C6" w:rsidP="001A63C6">
            <w:pPr>
              <w:pStyle w:val="Heading2"/>
              <w:spacing w:before="20" w:after="20"/>
              <w:ind w:left="0"/>
              <w:rPr>
                <w:rFonts w:ascii="Tahoma" w:hAnsi="Tahoma" w:cs="Tahoma"/>
                <w:b w:val="0"/>
                <w:sz w:val="14"/>
                <w:szCs w:val="14"/>
              </w:rPr>
            </w:pPr>
            <w:bookmarkStart w:id="529" w:name="_Toc336338122"/>
            <w:bookmarkStart w:id="530" w:name="_Toc354054815"/>
            <w:r w:rsidRPr="00BB5519">
              <w:rPr>
                <w:rFonts w:ascii="Tahoma" w:hAnsi="Tahoma" w:cs="Tahoma"/>
                <w:b w:val="0"/>
                <w:color w:val="000000"/>
                <w:sz w:val="14"/>
                <w:szCs w:val="14"/>
              </w:rPr>
              <w:t>CAL-Suite für Windows Essential Business Server 2008 (20 Clients)</w:t>
            </w:r>
            <w:bookmarkEnd w:id="529"/>
            <w:bookmarkEnd w:id="530"/>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w:t>
            </w:r>
          </w:p>
        </w:tc>
      </w:tr>
      <w:tr w:rsidR="001A63C6" w:rsidRPr="00BB5519" w:rsidTr="004064E2">
        <w:trPr>
          <w:trHeight w:val="287"/>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31" w:name="_Toc336338123"/>
            <w:bookmarkStart w:id="532" w:name="_Toc354054816"/>
            <w:r w:rsidRPr="00BB5519">
              <w:rPr>
                <w:rFonts w:ascii="Tahoma" w:hAnsi="Tahoma" w:cs="Tahoma"/>
                <w:b w:val="0"/>
                <w:sz w:val="14"/>
                <w:szCs w:val="14"/>
              </w:rPr>
              <w:t>CAL-Suite für Windows Essential Business Server 2008 (50 Clients)</w:t>
            </w:r>
            <w:bookmarkEnd w:id="531"/>
            <w:bookmarkEnd w:id="532"/>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w:t>
            </w:r>
          </w:p>
        </w:tc>
      </w:tr>
      <w:tr w:rsidR="00B33D0E" w:rsidRPr="00BB5519" w:rsidTr="004064E2">
        <w:trPr>
          <w:trHeight w:val="287"/>
        </w:trPr>
        <w:tc>
          <w:tcPr>
            <w:tcW w:w="2556" w:type="dxa"/>
            <w:tcBorders>
              <w:bottom w:val="single" w:sz="4" w:space="0" w:color="auto"/>
            </w:tcBorders>
            <w:shd w:val="clear" w:color="auto" w:fill="FABF8F"/>
            <w:vAlign w:val="center"/>
          </w:tcPr>
          <w:p w:rsidR="001A63C6" w:rsidRPr="00BB5519" w:rsidRDefault="001A63C6" w:rsidP="001A63C6">
            <w:pPr>
              <w:pStyle w:val="Heading2"/>
              <w:spacing w:before="20" w:after="20"/>
              <w:ind w:left="0"/>
              <w:rPr>
                <w:rFonts w:ascii="Tahoma" w:hAnsi="Tahoma" w:cs="Tahoma"/>
                <w:b w:val="0"/>
                <w:sz w:val="14"/>
                <w:szCs w:val="14"/>
              </w:rPr>
            </w:pPr>
            <w:bookmarkStart w:id="533" w:name="_Toc336338124"/>
            <w:bookmarkStart w:id="534" w:name="_Toc354054817"/>
            <w:r w:rsidRPr="00BB5519">
              <w:rPr>
                <w:rFonts w:ascii="Tahoma" w:hAnsi="Tahoma" w:cs="Tahoma"/>
                <w:b w:val="0"/>
                <w:sz w:val="14"/>
                <w:szCs w:val="14"/>
              </w:rPr>
              <w:t>Windows Essential Business Server 2008 Premium</w:t>
            </w:r>
            <w:bookmarkEnd w:id="533"/>
            <w:bookmarkEnd w:id="534"/>
            <w:r w:rsidRPr="00BB5519">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rsidR="001A63C6" w:rsidRPr="00BB5519" w:rsidRDefault="005F5403" w:rsidP="006E7054">
            <w:pPr>
              <w:pStyle w:val="TableText"/>
              <w:widowControl w:val="0"/>
              <w:spacing w:before="100" w:beforeAutospacing="1"/>
              <w:rPr>
                <w:rStyle w:val="EndnoteReference"/>
                <w:rFonts w:cs="Tahoma"/>
                <w:b w:val="0"/>
                <w:color w:val="0000FF"/>
                <w:sz w:val="13"/>
                <w:szCs w:val="13"/>
                <w:u w:val="single"/>
              </w:rPr>
            </w:pPr>
            <w:hyperlink w:anchor="_98_Windows_EBS" w:history="1">
              <w:r w:rsidR="008D45D0" w:rsidRPr="008D45D0">
                <w:rPr>
                  <w:rStyle w:val="Hyperlink"/>
                  <w:rFonts w:cs="Tahoma"/>
                  <w:b/>
                  <w:sz w:val="13"/>
                  <w:szCs w:val="13"/>
                </w:rPr>
                <w:t>98</w:t>
              </w:r>
            </w:hyperlink>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87"/>
        </w:trPr>
        <w:tc>
          <w:tcPr>
            <w:tcW w:w="2556" w:type="dxa"/>
            <w:tcBorders>
              <w:bottom w:val="single" w:sz="4" w:space="0" w:color="auto"/>
            </w:tcBorders>
            <w:shd w:val="clear" w:color="auto" w:fill="FFFFFF"/>
            <w:vAlign w:val="center"/>
          </w:tcPr>
          <w:p w:rsidR="001A63C6" w:rsidRPr="00D15040" w:rsidRDefault="001A63C6" w:rsidP="001A63C6">
            <w:pPr>
              <w:pStyle w:val="Heading2"/>
              <w:spacing w:before="20" w:after="20"/>
              <w:ind w:left="0"/>
              <w:rPr>
                <w:rFonts w:ascii="Tahoma" w:hAnsi="Tahoma" w:cs="Tahoma"/>
                <w:b w:val="0"/>
                <w:sz w:val="14"/>
                <w:szCs w:val="14"/>
                <w:lang w:val="de-DE"/>
              </w:rPr>
            </w:pPr>
            <w:bookmarkStart w:id="535" w:name="_Toc336338125"/>
            <w:bookmarkStart w:id="536" w:name="_Toc354054818"/>
            <w:r w:rsidRPr="00D15040">
              <w:rPr>
                <w:rFonts w:ascii="Tahoma" w:hAnsi="Tahoma" w:cs="Tahoma"/>
                <w:b w:val="0"/>
                <w:sz w:val="14"/>
                <w:szCs w:val="14"/>
                <w:lang w:val="de-DE"/>
              </w:rPr>
              <w:t xml:space="preserve">CAL-Suite für Windows Essential Business Server 2008 für Premium-Nutzer </w:t>
            </w:r>
            <w:r w:rsidR="00D15040" w:rsidRPr="00D15040">
              <w:rPr>
                <w:rFonts w:ascii="Tahoma" w:hAnsi="Tahoma" w:cs="Tahoma"/>
                <w:b w:val="0"/>
                <w:sz w:val="14"/>
                <w:szCs w:val="14"/>
                <w:lang w:val="de-DE"/>
              </w:rPr>
              <w:br/>
            </w:r>
            <w:r w:rsidRPr="00D15040">
              <w:rPr>
                <w:rFonts w:ascii="Tahoma" w:hAnsi="Tahoma" w:cs="Tahoma"/>
                <w:b w:val="0"/>
                <w:sz w:val="14"/>
                <w:szCs w:val="14"/>
                <w:lang w:val="de-DE"/>
              </w:rPr>
              <w:t>oder -Geräte</w:t>
            </w:r>
            <w:bookmarkEnd w:id="535"/>
            <w:bookmarkEnd w:id="536"/>
            <w:r w:rsidRPr="00D15040">
              <w:rPr>
                <w:rFonts w:ascii="Tahoma" w:hAnsi="Tahoma" w:cs="Tahoma"/>
                <w:b w:val="0"/>
                <w:sz w:val="14"/>
                <w:szCs w:val="14"/>
                <w:lang w:val="de-DE"/>
              </w:rPr>
              <w:t xml:space="preserve"> </w:t>
            </w:r>
          </w:p>
        </w:tc>
        <w:tc>
          <w:tcPr>
            <w:tcW w:w="630" w:type="dxa"/>
            <w:tcBorders>
              <w:bottom w:val="single" w:sz="4" w:space="0" w:color="auto"/>
            </w:tcBorders>
            <w:shd w:val="clear" w:color="auto" w:fill="FFFFFF"/>
            <w:vAlign w:val="center"/>
          </w:tcPr>
          <w:p w:rsidR="001A63C6" w:rsidRPr="00D15040" w:rsidRDefault="001A63C6" w:rsidP="001A63C6">
            <w:pPr>
              <w:pStyle w:val="TableText"/>
              <w:widowControl w:val="0"/>
              <w:spacing w:before="100" w:beforeAutospacing="1"/>
              <w:rPr>
                <w:rStyle w:val="EndnoteReference"/>
                <w:rFonts w:ascii="Tahoma" w:hAnsi="Tahoma" w:cs="Tahoma"/>
                <w:sz w:val="13"/>
                <w:lang w:val="de-DE"/>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spacing w:before="8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r>
      <w:tr w:rsidR="00B33D0E" w:rsidRPr="00BB5519" w:rsidTr="004064E2">
        <w:trPr>
          <w:trHeight w:val="287"/>
        </w:trPr>
        <w:tc>
          <w:tcPr>
            <w:tcW w:w="2556" w:type="dxa"/>
            <w:tcBorders>
              <w:bottom w:val="single" w:sz="4" w:space="0" w:color="auto"/>
            </w:tcBorders>
            <w:shd w:val="clear" w:color="auto" w:fill="FABF8F"/>
            <w:vAlign w:val="center"/>
          </w:tcPr>
          <w:p w:rsidR="001A63C6" w:rsidRPr="00D15040" w:rsidRDefault="001A63C6" w:rsidP="001A63C6">
            <w:pPr>
              <w:pStyle w:val="Heading2"/>
              <w:spacing w:before="20" w:after="20"/>
              <w:ind w:left="0"/>
              <w:rPr>
                <w:rFonts w:ascii="Tahoma" w:hAnsi="Tahoma" w:cs="Tahoma"/>
                <w:b w:val="0"/>
                <w:sz w:val="14"/>
                <w:szCs w:val="14"/>
                <w:lang w:val="de-DE"/>
              </w:rPr>
            </w:pPr>
            <w:bookmarkStart w:id="537" w:name="_Toc336338126"/>
            <w:bookmarkStart w:id="538" w:name="_Toc354054819"/>
            <w:r w:rsidRPr="00D15040">
              <w:rPr>
                <w:rFonts w:ascii="Tahoma" w:hAnsi="Tahoma" w:cs="Tahoma"/>
                <w:b w:val="0"/>
                <w:sz w:val="14"/>
                <w:szCs w:val="14"/>
                <w:lang w:val="de-DE"/>
              </w:rPr>
              <w:t>Windows Essential Business Server 2008 CAL Suite für Premium-Nutzer oder -Geräte (5 Clients)</w:t>
            </w:r>
            <w:bookmarkEnd w:id="537"/>
            <w:bookmarkEnd w:id="538"/>
          </w:p>
        </w:tc>
        <w:tc>
          <w:tcPr>
            <w:tcW w:w="630" w:type="dxa"/>
            <w:tcBorders>
              <w:bottom w:val="single" w:sz="4" w:space="0" w:color="auto"/>
            </w:tcBorders>
            <w:shd w:val="clear" w:color="auto" w:fill="FABF8F"/>
            <w:vAlign w:val="center"/>
          </w:tcPr>
          <w:p w:rsidR="001A63C6" w:rsidRPr="00D15040" w:rsidRDefault="001A63C6" w:rsidP="001A63C6">
            <w:pPr>
              <w:pStyle w:val="TableText"/>
              <w:widowControl w:val="0"/>
              <w:spacing w:before="100" w:beforeAutospacing="1"/>
              <w:rPr>
                <w:rStyle w:val="EndnoteReference"/>
                <w:rFonts w:ascii="Tahoma" w:hAnsi="Tahoma" w:cs="Tahoma"/>
                <w:sz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20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w:t>
            </w:r>
          </w:p>
        </w:tc>
      </w:tr>
      <w:tr w:rsidR="00B33D0E" w:rsidRPr="00BB5519" w:rsidTr="004064E2">
        <w:trPr>
          <w:trHeight w:val="287"/>
        </w:trPr>
        <w:tc>
          <w:tcPr>
            <w:tcW w:w="2556" w:type="dxa"/>
            <w:tcBorders>
              <w:bottom w:val="single" w:sz="4" w:space="0" w:color="auto"/>
            </w:tcBorders>
            <w:shd w:val="clear" w:color="auto" w:fill="FFFFFF"/>
            <w:vAlign w:val="center"/>
          </w:tcPr>
          <w:p w:rsidR="001A63C6" w:rsidRPr="00BB5519" w:rsidRDefault="001A63C6" w:rsidP="001A63C6">
            <w:pPr>
              <w:pStyle w:val="Heading2"/>
              <w:spacing w:before="20" w:after="20"/>
              <w:ind w:left="0"/>
              <w:rPr>
                <w:rFonts w:ascii="Tahoma" w:hAnsi="Tahoma" w:cs="Tahoma"/>
                <w:b w:val="0"/>
                <w:sz w:val="14"/>
                <w:szCs w:val="14"/>
                <w:lang w:val="de-DE"/>
              </w:rPr>
            </w:pPr>
            <w:bookmarkStart w:id="539" w:name="_Toc336338127"/>
            <w:bookmarkStart w:id="540" w:name="_Toc354054820"/>
            <w:r w:rsidRPr="00BB5519">
              <w:rPr>
                <w:rFonts w:ascii="Tahoma" w:hAnsi="Tahoma" w:cs="Tahoma"/>
                <w:b w:val="0"/>
                <w:sz w:val="14"/>
                <w:szCs w:val="14"/>
                <w:lang w:val="de-DE"/>
              </w:rPr>
              <w:t>CAL-Suite für Windows Essential Business Server 2008 für Premium-Nutzer oder -Geräte (20 Clients)</w:t>
            </w:r>
            <w:bookmarkEnd w:id="539"/>
            <w:bookmarkEnd w:id="540"/>
          </w:p>
        </w:tc>
        <w:tc>
          <w:tcPr>
            <w:tcW w:w="630" w:type="dxa"/>
            <w:tcBorders>
              <w:bottom w:val="single" w:sz="4" w:space="0" w:color="auto"/>
            </w:tcBorders>
            <w:shd w:val="clear" w:color="auto" w:fill="FFFFFF"/>
            <w:vAlign w:val="center"/>
          </w:tcPr>
          <w:p w:rsidR="001A63C6" w:rsidRPr="00BB5519" w:rsidRDefault="001A63C6" w:rsidP="001A63C6">
            <w:pPr>
              <w:pStyle w:val="TableText"/>
              <w:widowControl w:val="0"/>
              <w:spacing w:before="100" w:beforeAutospacing="1"/>
              <w:rPr>
                <w:rStyle w:val="EndnoteReference"/>
                <w:rFonts w:ascii="Tahoma" w:hAnsi="Tahoma" w:cs="Tahoma"/>
                <w:sz w:val="13"/>
                <w:lang w:val="de-DE"/>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spacing w:before="16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gridSpan w:val="2"/>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FFFF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w:t>
            </w:r>
          </w:p>
        </w:tc>
      </w:tr>
      <w:tr w:rsidR="00B33D0E" w:rsidRPr="00BB5519" w:rsidTr="004064E2">
        <w:trPr>
          <w:trHeight w:val="287"/>
        </w:trPr>
        <w:tc>
          <w:tcPr>
            <w:tcW w:w="2556" w:type="dxa"/>
            <w:tcBorders>
              <w:bottom w:val="single" w:sz="4" w:space="0" w:color="auto"/>
            </w:tcBorders>
            <w:shd w:val="clear" w:color="auto" w:fill="FABF8F"/>
            <w:vAlign w:val="center"/>
          </w:tcPr>
          <w:p w:rsidR="001A63C6" w:rsidRPr="00BB5519" w:rsidRDefault="001A63C6" w:rsidP="001A63C6">
            <w:pPr>
              <w:pStyle w:val="Heading2"/>
              <w:spacing w:before="20" w:after="20"/>
              <w:ind w:left="0"/>
              <w:rPr>
                <w:rFonts w:ascii="Tahoma" w:hAnsi="Tahoma" w:cs="Tahoma"/>
                <w:b w:val="0"/>
                <w:sz w:val="14"/>
                <w:szCs w:val="14"/>
                <w:lang w:val="de-DE"/>
              </w:rPr>
            </w:pPr>
            <w:bookmarkStart w:id="541" w:name="_Toc336338128"/>
            <w:bookmarkStart w:id="542" w:name="_Toc354054821"/>
            <w:r w:rsidRPr="00BB5519">
              <w:rPr>
                <w:rFonts w:ascii="Tahoma" w:hAnsi="Tahoma" w:cs="Tahoma"/>
                <w:b w:val="0"/>
                <w:sz w:val="14"/>
                <w:szCs w:val="14"/>
                <w:lang w:val="de-DE"/>
              </w:rPr>
              <w:t>CAL-Suite für Windows Essential Business Server 2008 für Premium-Nutzer oder -Geräte (50 Clients)</w:t>
            </w:r>
            <w:bookmarkEnd w:id="541"/>
            <w:bookmarkEnd w:id="542"/>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spacing w:before="100" w:beforeAutospacing="1"/>
              <w:rPr>
                <w:rStyle w:val="EndnoteReference"/>
                <w:rFonts w:cs="Tahoma"/>
                <w:color w:val="0000FF"/>
                <w:sz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180"/>
              <w:rPr>
                <w:rFonts w:ascii="Tahoma" w:hAnsi="Tahoma" w:cs="Tahoma"/>
                <w:sz w:val="13"/>
              </w:rPr>
            </w:pPr>
            <w:r w:rsidRPr="00BB551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OL</w:t>
            </w:r>
          </w:p>
        </w:tc>
      </w:tr>
      <w:tr w:rsidR="00B33D0E" w:rsidRPr="00BB5519" w:rsidTr="004064E2">
        <w:trPr>
          <w:trHeight w:val="145"/>
        </w:trPr>
        <w:tc>
          <w:tcPr>
            <w:tcW w:w="2556" w:type="dxa"/>
            <w:tcBorders>
              <w:bottom w:val="single" w:sz="4" w:space="0" w:color="auto"/>
            </w:tcBorders>
            <w:shd w:val="clear" w:color="auto" w:fill="FFFFFF"/>
            <w:vAlign w:val="center"/>
          </w:tcPr>
          <w:p w:rsidR="001A63C6" w:rsidRPr="00BB5519" w:rsidRDefault="001A63C6" w:rsidP="001A63C6">
            <w:pPr>
              <w:pStyle w:val="Heading2"/>
              <w:spacing w:before="20" w:after="20"/>
              <w:ind w:left="0"/>
              <w:rPr>
                <w:rFonts w:ascii="Tahoma" w:hAnsi="Tahoma" w:cs="Tahoma"/>
                <w:b w:val="0"/>
                <w:sz w:val="14"/>
                <w:szCs w:val="14"/>
              </w:rPr>
            </w:pPr>
            <w:bookmarkStart w:id="543" w:name="_Toc336338129"/>
            <w:bookmarkStart w:id="544" w:name="_Toc354054822"/>
            <w:r w:rsidRPr="00BB5519">
              <w:rPr>
                <w:rFonts w:ascii="Tahoma" w:hAnsi="Tahoma" w:cs="Tahoma"/>
                <w:b w:val="0"/>
                <w:sz w:val="14"/>
                <w:szCs w:val="14"/>
              </w:rPr>
              <w:t>Windows HPC Server 2008 R2 Suite</w:t>
            </w:r>
            <w:bookmarkEnd w:id="543"/>
            <w:bookmarkEnd w:id="544"/>
            <w:r w:rsidRPr="00BB5519">
              <w:rPr>
                <w:rFonts w:ascii="Tahoma" w:hAnsi="Tahoma" w:cs="Tahoma"/>
                <w:b w:val="0"/>
                <w:sz w:val="14"/>
                <w:szCs w:val="14"/>
              </w:rPr>
              <w:t xml:space="preserve"> </w:t>
            </w:r>
          </w:p>
        </w:tc>
        <w:tc>
          <w:tcPr>
            <w:tcW w:w="630" w:type="dxa"/>
            <w:tcBorders>
              <w:bottom w:val="single" w:sz="4" w:space="0" w:color="auto"/>
            </w:tcBorders>
            <w:shd w:val="clear" w:color="auto" w:fill="FFFFFF"/>
            <w:vAlign w:val="center"/>
          </w:tcPr>
          <w:p w:rsidR="001A63C6" w:rsidRPr="00BB5519" w:rsidRDefault="005F5403" w:rsidP="006E7054">
            <w:pPr>
              <w:pStyle w:val="TableText"/>
              <w:widowControl w:val="0"/>
              <w:rPr>
                <w:b/>
                <w:sz w:val="13"/>
                <w:szCs w:val="13"/>
                <w:u w:val="single"/>
              </w:rPr>
            </w:pPr>
            <w:hyperlink w:anchor="_99_Windows_HPC" w:history="1">
              <w:r w:rsidR="00955428" w:rsidRPr="008D45D0">
                <w:rPr>
                  <w:rStyle w:val="Hyperlink"/>
                  <w:b/>
                  <w:sz w:val="13"/>
                  <w:szCs w:val="13"/>
                </w:rPr>
                <w:t>99</w:t>
              </w:r>
            </w:hyperlink>
          </w:p>
        </w:tc>
        <w:tc>
          <w:tcPr>
            <w:tcW w:w="450" w:type="dxa"/>
            <w:tcBorders>
              <w:bottom w:val="single" w:sz="4" w:space="0" w:color="auto"/>
            </w:tcBorders>
            <w:shd w:val="clear" w:color="auto" w:fill="FFFFFF"/>
            <w:vAlign w:val="center"/>
          </w:tcPr>
          <w:p w:rsidR="001A63C6" w:rsidRPr="00BB5519" w:rsidRDefault="001A63C6" w:rsidP="007E466C">
            <w:pPr>
              <w:pStyle w:val="TableText"/>
              <w:widowControl w:val="0"/>
              <w:rPr>
                <w:rFonts w:ascii="Tahoma" w:hAnsi="Tahoma" w:cs="Tahoma"/>
                <w:color w:val="000000"/>
                <w:sz w:val="13"/>
              </w:rPr>
            </w:pPr>
            <w:r w:rsidRPr="00BB5519">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C0225C">
            <w:pPr>
              <w:pStyle w:val="Heading2"/>
              <w:spacing w:before="20" w:after="20"/>
              <w:ind w:left="0"/>
              <w:rPr>
                <w:rFonts w:ascii="Tahoma" w:hAnsi="Tahoma" w:cs="Tahoma"/>
                <w:b w:val="0"/>
                <w:sz w:val="14"/>
                <w:szCs w:val="14"/>
              </w:rPr>
            </w:pPr>
            <w:bookmarkStart w:id="545" w:name="_Toc354054823"/>
            <w:r w:rsidRPr="00BB5519">
              <w:rPr>
                <w:rFonts w:ascii="Tahoma" w:hAnsi="Tahoma" w:cs="Tahoma"/>
                <w:b w:val="0"/>
                <w:sz w:val="14"/>
              </w:rPr>
              <w:t>Windows Intune Add-on für System Center Configuration Manager und System Center Endpoint Protection (pro</w:t>
            </w:r>
            <w:r w:rsidR="00C0225C">
              <w:rPr>
                <w:rFonts w:ascii="Tahoma" w:hAnsi="Tahoma" w:cs="Tahoma"/>
                <w:b w:val="0"/>
                <w:sz w:val="14"/>
              </w:rPr>
              <w:t> </w:t>
            </w:r>
            <w:r w:rsidRPr="00BB5519">
              <w:rPr>
                <w:rFonts w:ascii="Tahoma" w:hAnsi="Tahoma" w:cs="Tahoma"/>
                <w:b w:val="0"/>
                <w:sz w:val="14"/>
              </w:rPr>
              <w:t>Nutzer)</w:t>
            </w:r>
            <w:bookmarkEnd w:id="545"/>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b/>
                <w:sz w:val="13"/>
                <w:szCs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46" w:name="_Toc354054824"/>
            <w:r w:rsidRPr="00BB5519">
              <w:rPr>
                <w:rFonts w:ascii="Tahoma" w:hAnsi="Tahoma" w:cs="Tahoma"/>
                <w:b w:val="0"/>
                <w:sz w:val="14"/>
                <w:szCs w:val="14"/>
              </w:rPr>
              <w:t>Windows Intune (pro Nutzer)</w:t>
            </w:r>
            <w:bookmarkEnd w:id="546"/>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BB5519" w:rsidRDefault="001A63C6" w:rsidP="007E466C">
            <w:pPr>
              <w:pStyle w:val="TableText"/>
              <w:widowControl w:val="0"/>
              <w:rPr>
                <w:rFonts w:ascii="Tahoma" w:hAnsi="Tahoma" w:cs="Tahoma"/>
                <w:color w:val="000000"/>
                <w:sz w:val="13"/>
              </w:rPr>
            </w:pPr>
            <w:r w:rsidRPr="00BB551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ABF8F"/>
            <w:vAlign w:val="center"/>
          </w:tcPr>
          <w:p w:rsidR="001A63C6" w:rsidRPr="00BB5519" w:rsidRDefault="001A63C6" w:rsidP="001A63C6">
            <w:pPr>
              <w:pStyle w:val="Heading2"/>
              <w:spacing w:before="20" w:after="20"/>
              <w:ind w:left="0"/>
              <w:rPr>
                <w:rFonts w:ascii="Tahoma" w:hAnsi="Tahoma" w:cs="Tahoma"/>
                <w:b w:val="0"/>
                <w:sz w:val="14"/>
                <w:szCs w:val="14"/>
                <w:lang w:val="de-DE"/>
              </w:rPr>
            </w:pPr>
            <w:bookmarkStart w:id="547" w:name="_Toc336338132"/>
            <w:bookmarkStart w:id="548" w:name="_Toc341193035"/>
            <w:bookmarkStart w:id="549" w:name="_Toc354054825"/>
            <w:r w:rsidRPr="00BB5519">
              <w:rPr>
                <w:rFonts w:ascii="Tahoma" w:hAnsi="Tahoma" w:cs="Tahoma"/>
                <w:b w:val="0"/>
                <w:sz w:val="14"/>
                <w:szCs w:val="14"/>
                <w:lang w:val="de-DE"/>
              </w:rPr>
              <w:t>Nutzer-AL für Add-On für Windows Intune Extra Storage 1 GB</w:t>
            </w:r>
            <w:bookmarkEnd w:id="547"/>
            <w:bookmarkEnd w:id="548"/>
            <w:bookmarkEnd w:id="549"/>
          </w:p>
        </w:tc>
        <w:tc>
          <w:tcPr>
            <w:tcW w:w="630" w:type="dxa"/>
            <w:tcBorders>
              <w:bottom w:val="single" w:sz="4" w:space="0" w:color="auto"/>
            </w:tcBorders>
            <w:shd w:val="clear" w:color="auto" w:fill="FABF8F"/>
            <w:vAlign w:val="center"/>
          </w:tcPr>
          <w:p w:rsidR="001A63C6" w:rsidRPr="00BB5519" w:rsidRDefault="001A63C6" w:rsidP="001A63C6">
            <w:pPr>
              <w:pStyle w:val="TableText"/>
              <w:widowControl w:val="0"/>
              <w:rPr>
                <w:b/>
                <w:sz w:val="13"/>
                <w:szCs w:val="13"/>
                <w:lang w:val="de-DE"/>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ABF8F"/>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50" w:name="_Toc336338133"/>
            <w:bookmarkStart w:id="551" w:name="_Toc354054826"/>
            <w:r w:rsidRPr="00BB5519">
              <w:rPr>
                <w:rFonts w:ascii="Tahoma" w:hAnsi="Tahoma" w:cs="Tahoma"/>
                <w:b w:val="0"/>
                <w:sz w:val="14"/>
                <w:szCs w:val="14"/>
              </w:rPr>
              <w:t>Windows MultiPoint Server 2012 Standard</w:t>
            </w:r>
            <w:bookmarkEnd w:id="550"/>
            <w:bookmarkEnd w:id="551"/>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rPr>
                <w:b/>
                <w:sz w:val="13"/>
                <w:szCs w:val="13"/>
                <w:u w:val="single"/>
              </w:rPr>
            </w:pPr>
            <w:hyperlink w:anchor="_100_Windows_Multipoint" w:history="1">
              <w:r w:rsidR="006E7054" w:rsidRPr="00B107DD">
                <w:rPr>
                  <w:rStyle w:val="Hyperlink"/>
                  <w:b/>
                  <w:sz w:val="13"/>
                  <w:szCs w:val="13"/>
                </w:rPr>
                <w:t>100</w:t>
              </w:r>
            </w:hyperlink>
            <w:hyperlink w:anchor="_98_Windows_Multipoint" w:history="1"/>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4B083" w:themeFill="accent2" w:themeFillTint="99"/>
            <w:vAlign w:val="center"/>
          </w:tcPr>
          <w:p w:rsidR="001A63C6" w:rsidRPr="00BB5519" w:rsidRDefault="001A63C6" w:rsidP="001A63C6">
            <w:pPr>
              <w:pStyle w:val="Heading2"/>
              <w:spacing w:before="20" w:after="20"/>
              <w:ind w:left="0"/>
              <w:rPr>
                <w:rFonts w:ascii="Tahoma" w:hAnsi="Tahoma" w:cs="Tahoma"/>
                <w:b w:val="0"/>
                <w:sz w:val="14"/>
                <w:szCs w:val="14"/>
              </w:rPr>
            </w:pPr>
            <w:bookmarkStart w:id="552" w:name="_Toc336338134"/>
            <w:bookmarkStart w:id="553" w:name="_Toc354054827"/>
            <w:r w:rsidRPr="00BB5519">
              <w:rPr>
                <w:rFonts w:ascii="Tahoma" w:hAnsi="Tahoma" w:cs="Tahoma"/>
                <w:b w:val="0"/>
                <w:sz w:val="14"/>
                <w:szCs w:val="14"/>
              </w:rPr>
              <w:t>Windows MultiPoint Server 2012 Premium</w:t>
            </w:r>
            <w:bookmarkEnd w:id="552"/>
            <w:bookmarkEnd w:id="553"/>
          </w:p>
        </w:tc>
        <w:tc>
          <w:tcPr>
            <w:tcW w:w="630" w:type="dxa"/>
            <w:tcBorders>
              <w:bottom w:val="single" w:sz="4" w:space="0" w:color="auto"/>
            </w:tcBorders>
            <w:shd w:val="clear" w:color="auto" w:fill="F4B083" w:themeFill="accent2" w:themeFillTint="99"/>
            <w:vAlign w:val="center"/>
          </w:tcPr>
          <w:p w:rsidR="001A63C6" w:rsidRPr="00BB5519" w:rsidRDefault="005F5403" w:rsidP="006E7054">
            <w:pPr>
              <w:pStyle w:val="TableText"/>
              <w:widowControl w:val="0"/>
              <w:rPr>
                <w:b/>
                <w:sz w:val="13"/>
                <w:szCs w:val="13"/>
                <w:u w:val="single"/>
              </w:rPr>
            </w:pPr>
            <w:hyperlink w:anchor="Srv_107WinMultipointSvr2011Premium" w:history="1">
              <w:r w:rsidR="00955428" w:rsidRPr="00BB5519">
                <w:rPr>
                  <w:rStyle w:val="Hyperlink"/>
                  <w:b/>
                  <w:sz w:val="13"/>
                  <w:szCs w:val="13"/>
                </w:rPr>
                <w:t>10</w:t>
              </w:r>
            </w:hyperlink>
            <w:r w:rsidR="00955428" w:rsidRPr="00BB5519">
              <w:rPr>
                <w:rStyle w:val="Hyperlink"/>
                <w:b/>
                <w:sz w:val="13"/>
                <w:szCs w:val="13"/>
              </w:rPr>
              <w:t>1</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gridSpan w:val="2"/>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4B083" w:themeFill="accent2" w:themeFillTint="99"/>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54" w:name="_Toc336338135"/>
            <w:bookmarkStart w:id="555" w:name="_Toc354054828"/>
            <w:r w:rsidRPr="00BB5519">
              <w:rPr>
                <w:rFonts w:ascii="Tahoma" w:hAnsi="Tahoma" w:cs="Tahoma"/>
                <w:b w:val="0"/>
                <w:sz w:val="14"/>
                <w:szCs w:val="14"/>
              </w:rPr>
              <w:t>CAL für Windows MultiPoint Server 2012</w:t>
            </w:r>
            <w:bookmarkEnd w:id="554"/>
            <w:bookmarkEnd w:id="555"/>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rPr>
                <w:b/>
                <w:sz w:val="13"/>
                <w:szCs w:val="13"/>
                <w:u w:val="single"/>
              </w:rPr>
            </w:pPr>
            <w:hyperlink w:anchor="_102_CAL_für" w:history="1">
              <w:r w:rsidR="00955428" w:rsidRPr="008D45D0">
                <w:rPr>
                  <w:rStyle w:val="Hyperlink"/>
                  <w:b/>
                  <w:sz w:val="13"/>
                  <w:szCs w:val="13"/>
                </w:rPr>
                <w:t>102</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4B083" w:themeFill="accent2" w:themeFillTint="99"/>
            <w:vAlign w:val="center"/>
          </w:tcPr>
          <w:p w:rsidR="001A63C6" w:rsidRPr="00BB5519" w:rsidRDefault="001A63C6" w:rsidP="001A63C6">
            <w:pPr>
              <w:pStyle w:val="Heading2"/>
              <w:spacing w:before="20" w:after="20"/>
              <w:ind w:left="0"/>
              <w:rPr>
                <w:rFonts w:ascii="Tahoma" w:hAnsi="Tahoma" w:cs="Tahoma"/>
                <w:b w:val="0"/>
                <w:sz w:val="14"/>
                <w:szCs w:val="14"/>
                <w:lang w:val="de-DE"/>
              </w:rPr>
            </w:pPr>
            <w:bookmarkStart w:id="556" w:name="_Toc336338136"/>
            <w:bookmarkStart w:id="557" w:name="_Toc354054829"/>
            <w:r w:rsidRPr="00BB5519">
              <w:rPr>
                <w:rFonts w:ascii="Tahoma" w:hAnsi="Tahoma" w:cs="Tahoma"/>
                <w:b w:val="0"/>
                <w:sz w:val="14"/>
                <w:szCs w:val="14"/>
                <w:lang w:val="de-DE"/>
              </w:rPr>
              <w:t>CAL für Windows MultiPoint Server 2012 mit CAL für Windows Server 2012</w:t>
            </w:r>
            <w:bookmarkEnd w:id="556"/>
            <w:bookmarkEnd w:id="557"/>
          </w:p>
        </w:tc>
        <w:tc>
          <w:tcPr>
            <w:tcW w:w="63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b/>
                <w:sz w:val="13"/>
                <w:szCs w:val="13"/>
                <w:lang w:val="de-DE"/>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4B083" w:themeFill="accent2" w:themeFillTint="99"/>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58" w:name="_Toc336338137"/>
            <w:bookmarkStart w:id="559" w:name="_Toc354054830"/>
            <w:r w:rsidRPr="00BB5519">
              <w:rPr>
                <w:rFonts w:ascii="Tahoma" w:hAnsi="Tahoma" w:cs="Tahoma"/>
                <w:b w:val="0"/>
                <w:sz w:val="14"/>
                <w:szCs w:val="14"/>
              </w:rPr>
              <w:t>Windows MultiPoint Server 2012 Premium mit Windows MultiPoint Server 2012 (CAL) (5 Clients)</w:t>
            </w:r>
            <w:bookmarkEnd w:id="558"/>
            <w:bookmarkEnd w:id="559"/>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b/>
                <w:sz w:val="13"/>
                <w:szCs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63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13</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OL/OV</w:t>
            </w:r>
          </w:p>
        </w:tc>
      </w:tr>
      <w:tr w:rsidR="00B33D0E" w:rsidRPr="00BB5519" w:rsidTr="004064E2">
        <w:trPr>
          <w:trHeight w:val="145"/>
        </w:trPr>
        <w:tc>
          <w:tcPr>
            <w:tcW w:w="2556" w:type="dxa"/>
            <w:tcBorders>
              <w:bottom w:val="single" w:sz="4" w:space="0" w:color="auto"/>
            </w:tcBorders>
            <w:shd w:val="clear" w:color="auto" w:fill="F4B083" w:themeFill="accent2" w:themeFillTint="99"/>
            <w:vAlign w:val="center"/>
          </w:tcPr>
          <w:p w:rsidR="001A63C6" w:rsidRPr="00BB5519" w:rsidRDefault="001A63C6" w:rsidP="001A63C6">
            <w:pPr>
              <w:pStyle w:val="Heading2"/>
              <w:spacing w:before="20" w:after="20"/>
              <w:ind w:left="0"/>
              <w:rPr>
                <w:rFonts w:ascii="Tahoma" w:hAnsi="Tahoma" w:cs="Tahoma"/>
                <w:b w:val="0"/>
                <w:sz w:val="14"/>
                <w:szCs w:val="14"/>
              </w:rPr>
            </w:pPr>
            <w:bookmarkStart w:id="560" w:name="_Toc336338138"/>
            <w:bookmarkStart w:id="561" w:name="_Toc354054831"/>
            <w:r w:rsidRPr="00BB5519">
              <w:rPr>
                <w:rFonts w:ascii="Tahoma" w:hAnsi="Tahoma" w:cs="Tahoma"/>
                <w:b w:val="0"/>
                <w:sz w:val="14"/>
                <w:szCs w:val="14"/>
              </w:rPr>
              <w:t>Windows MultiPoint Server 2012 Premium mit Windows MultiPoint Server 2012 (CAL) (5 Clients) mit CAL für Windows Server 2012 (5 Clients)</w:t>
            </w:r>
            <w:bookmarkEnd w:id="560"/>
            <w:bookmarkEnd w:id="561"/>
          </w:p>
        </w:tc>
        <w:tc>
          <w:tcPr>
            <w:tcW w:w="63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b/>
                <w:sz w:val="13"/>
                <w:szCs w:val="13"/>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13</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4B083" w:themeFill="accent2" w:themeFillTint="99"/>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sz w:val="13"/>
              </w:rPr>
              <w:t>A</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OL/OV</w:t>
            </w: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62" w:name="_Toc336338139"/>
            <w:bookmarkStart w:id="563" w:name="_Toc354054832"/>
            <w:r w:rsidRPr="00BB5519">
              <w:rPr>
                <w:rFonts w:ascii="Tahoma" w:hAnsi="Tahoma" w:cs="Tahoma"/>
                <w:b w:val="0"/>
                <w:sz w:val="14"/>
                <w:szCs w:val="14"/>
              </w:rPr>
              <w:t>Windows Server™ 2008 R2 HPC Edition</w:t>
            </w:r>
            <w:bookmarkEnd w:id="562"/>
            <w:bookmarkEnd w:id="563"/>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spacing w:before="240"/>
              <w:rPr>
                <w:rStyle w:val="EndnoteReference"/>
                <w:rFonts w:cs="Tahoma"/>
                <w:b w:val="0"/>
                <w:color w:val="0000FF"/>
                <w:sz w:val="13"/>
                <w:szCs w:val="13"/>
                <w:u w:val="single"/>
              </w:rPr>
            </w:pPr>
            <w:hyperlink w:anchor="_103_Windows_Server" w:history="1">
              <w:r w:rsidR="00955428" w:rsidRPr="008D45D0">
                <w:rPr>
                  <w:rStyle w:val="Hyperlink"/>
                  <w:b/>
                  <w:sz w:val="13"/>
                  <w:szCs w:val="13"/>
                </w:rPr>
                <w:t>103</w:t>
              </w:r>
            </w:hyperlink>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rPr>
                <w:sz w:val="13"/>
              </w:rPr>
              <w:t>09/10</w:t>
            </w:r>
          </w:p>
        </w:tc>
        <w:tc>
          <w:tcPr>
            <w:tcW w:w="360" w:type="dxa"/>
            <w:tcBorders>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color w:val="000000"/>
                <w:sz w:val="13"/>
              </w:rPr>
            </w:pPr>
            <w:r w:rsidRPr="00BB5519">
              <w:t>SRV</w:t>
            </w:r>
          </w:p>
        </w:tc>
        <w:tc>
          <w:tcPr>
            <w:tcW w:w="360" w:type="dxa"/>
            <w:tcBorders>
              <w:left w:val="single" w:sz="18" w:space="0" w:color="auto"/>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BB551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4B083" w:themeFill="accent2" w:themeFillTint="99"/>
            <w:vAlign w:val="center"/>
          </w:tcPr>
          <w:p w:rsidR="001A63C6" w:rsidRPr="00BB5519" w:rsidRDefault="001A63C6" w:rsidP="001A63C6">
            <w:pPr>
              <w:pStyle w:val="Heading2"/>
              <w:spacing w:before="20" w:after="20"/>
              <w:ind w:left="0"/>
              <w:rPr>
                <w:rFonts w:ascii="Tahoma" w:hAnsi="Tahoma" w:cs="Tahoma"/>
                <w:b w:val="0"/>
                <w:sz w:val="14"/>
                <w:szCs w:val="14"/>
              </w:rPr>
            </w:pPr>
            <w:bookmarkStart w:id="564" w:name="_Toc336338140"/>
            <w:bookmarkStart w:id="565" w:name="_Toc354054833"/>
            <w:r w:rsidRPr="00BB5519">
              <w:rPr>
                <w:rFonts w:ascii="Tahoma" w:hAnsi="Tahoma" w:cs="Tahoma"/>
                <w:b w:val="0"/>
                <w:sz w:val="14"/>
                <w:szCs w:val="14"/>
              </w:rPr>
              <w:t>Windows Server™ 2008 R2 Enterprise</w:t>
            </w:r>
            <w:bookmarkEnd w:id="564"/>
            <w:bookmarkEnd w:id="565"/>
          </w:p>
        </w:tc>
        <w:tc>
          <w:tcPr>
            <w:tcW w:w="630" w:type="dxa"/>
            <w:tcBorders>
              <w:bottom w:val="single" w:sz="4" w:space="0" w:color="auto"/>
            </w:tcBorders>
            <w:shd w:val="clear" w:color="auto" w:fill="F4B083" w:themeFill="accent2" w:themeFillTint="99"/>
            <w:vAlign w:val="center"/>
          </w:tcPr>
          <w:p w:rsidR="001A63C6" w:rsidRPr="00BB5519" w:rsidRDefault="005F5403" w:rsidP="006E7054">
            <w:pPr>
              <w:pStyle w:val="TableText"/>
              <w:widowControl w:val="0"/>
              <w:rPr>
                <w:rStyle w:val="EndnoteReference"/>
                <w:rFonts w:cs="Tahoma"/>
                <w:b w:val="0"/>
                <w:color w:val="0000FF"/>
                <w:sz w:val="13"/>
                <w:szCs w:val="13"/>
                <w:u w:val="single"/>
              </w:rPr>
            </w:pPr>
            <w:hyperlink w:anchor="_104_Windows_Server" w:history="1">
              <w:r w:rsidR="00955428" w:rsidRPr="008D45D0">
                <w:rPr>
                  <w:rStyle w:val="Hyperlink"/>
                  <w:b/>
                  <w:sz w:val="13"/>
                  <w:szCs w:val="13"/>
                </w:rPr>
                <w:t>104</w:t>
              </w:r>
            </w:hyperlink>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spacing w:before="80"/>
              <w:rPr>
                <w:rFonts w:ascii="Tahoma" w:hAnsi="Tahoma" w:cs="Tahoma"/>
                <w:color w:val="000000"/>
                <w:sz w:val="13"/>
              </w:rPr>
            </w:pPr>
            <w:r w:rsidRPr="00BB5519">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4B083" w:themeFill="accent2" w:themeFillTint="99"/>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lang w:val="de-DE"/>
              </w:rPr>
            </w:pPr>
            <w:bookmarkStart w:id="566" w:name="_Toc336338141"/>
            <w:bookmarkStart w:id="567" w:name="_Toc354054834"/>
            <w:r w:rsidRPr="00BB5519">
              <w:rPr>
                <w:rFonts w:ascii="Tahoma" w:hAnsi="Tahoma" w:cs="Tahoma"/>
                <w:b w:val="0"/>
                <w:sz w:val="14"/>
                <w:szCs w:val="14"/>
                <w:lang w:val="de-DE"/>
              </w:rPr>
              <w:t>Windows Server™ 2008 R2 für Itanium-basierte Systeme</w:t>
            </w:r>
            <w:bookmarkEnd w:id="566"/>
            <w:bookmarkEnd w:id="567"/>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rPr>
                <w:rStyle w:val="EndnoteReference"/>
                <w:b w:val="0"/>
                <w:sz w:val="13"/>
                <w:szCs w:val="13"/>
                <w:u w:val="single"/>
              </w:rPr>
            </w:pPr>
            <w:hyperlink w:anchor="Srv_1132WinSvr08R2Itanium" w:history="1">
              <w:r w:rsidR="00955428" w:rsidRPr="00B44A2A">
                <w:rPr>
                  <w:rStyle w:val="Hyperlink"/>
                  <w:b/>
                  <w:sz w:val="13"/>
                  <w:szCs w:val="13"/>
                </w:rPr>
                <w:t>105</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p>
        </w:tc>
      </w:tr>
      <w:tr w:rsidR="00B33D0E" w:rsidRPr="00BB5519" w:rsidTr="004064E2">
        <w:trPr>
          <w:trHeight w:val="145"/>
        </w:trPr>
        <w:tc>
          <w:tcPr>
            <w:tcW w:w="2556" w:type="dxa"/>
            <w:tcBorders>
              <w:bottom w:val="single" w:sz="4" w:space="0" w:color="auto"/>
            </w:tcBorders>
            <w:shd w:val="clear" w:color="auto" w:fill="F4B083" w:themeFill="accent2" w:themeFillTint="99"/>
            <w:vAlign w:val="center"/>
          </w:tcPr>
          <w:p w:rsidR="001A63C6" w:rsidRPr="00BB5519" w:rsidRDefault="001A63C6" w:rsidP="002E6EC0">
            <w:pPr>
              <w:pStyle w:val="Heading2"/>
              <w:spacing w:before="20" w:after="20"/>
              <w:ind w:left="0"/>
              <w:rPr>
                <w:rFonts w:ascii="Tahoma" w:hAnsi="Tahoma" w:cs="Tahoma"/>
                <w:b w:val="0"/>
                <w:sz w:val="14"/>
                <w:szCs w:val="14"/>
                <w:lang w:val="de-DE"/>
              </w:rPr>
            </w:pPr>
            <w:bookmarkStart w:id="568" w:name="_Toc336338142"/>
            <w:bookmarkStart w:id="569" w:name="_Toc354054835"/>
            <w:r w:rsidRPr="00BB5519">
              <w:rPr>
                <w:rFonts w:ascii="Tahoma" w:hAnsi="Tahoma" w:cs="Tahoma"/>
                <w:b w:val="0"/>
                <w:sz w:val="14"/>
                <w:szCs w:val="14"/>
                <w:lang w:val="de-DE"/>
              </w:rPr>
              <w:t>CAL für Windows Server™ 2012 (Gerät</w:t>
            </w:r>
            <w:r w:rsidR="002E6EC0">
              <w:rPr>
                <w:rFonts w:ascii="Tahoma" w:hAnsi="Tahoma" w:cs="Tahoma"/>
                <w:b w:val="0"/>
                <w:sz w:val="14"/>
                <w:szCs w:val="14"/>
                <w:lang w:val="de-DE"/>
              </w:rPr>
              <w:t> </w:t>
            </w:r>
            <w:r w:rsidRPr="00BB5519">
              <w:rPr>
                <w:rFonts w:ascii="Tahoma" w:hAnsi="Tahoma" w:cs="Tahoma"/>
                <w:b w:val="0"/>
                <w:sz w:val="14"/>
                <w:szCs w:val="14"/>
                <w:lang w:val="de-DE"/>
              </w:rPr>
              <w:t>&amp;</w:t>
            </w:r>
            <w:r w:rsidR="002E6EC0">
              <w:rPr>
                <w:rFonts w:ascii="Tahoma" w:hAnsi="Tahoma" w:cs="Tahoma"/>
                <w:b w:val="0"/>
                <w:sz w:val="14"/>
                <w:szCs w:val="14"/>
                <w:lang w:val="de-DE"/>
              </w:rPr>
              <w:t> </w:t>
            </w:r>
            <w:r w:rsidRPr="00BB5519">
              <w:rPr>
                <w:rFonts w:ascii="Tahoma" w:hAnsi="Tahoma" w:cs="Tahoma"/>
                <w:b w:val="0"/>
                <w:sz w:val="14"/>
                <w:szCs w:val="14"/>
                <w:lang w:val="de-DE"/>
              </w:rPr>
              <w:t>Nutzer)</w:t>
            </w:r>
            <w:bookmarkEnd w:id="568"/>
            <w:bookmarkEnd w:id="569"/>
          </w:p>
        </w:tc>
        <w:tc>
          <w:tcPr>
            <w:tcW w:w="630" w:type="dxa"/>
            <w:tcBorders>
              <w:bottom w:val="single" w:sz="4" w:space="0" w:color="auto"/>
            </w:tcBorders>
            <w:shd w:val="clear" w:color="auto" w:fill="F4B083" w:themeFill="accent2" w:themeFillTint="99"/>
            <w:vAlign w:val="center"/>
          </w:tcPr>
          <w:p w:rsidR="001A63C6" w:rsidRPr="00BB5519" w:rsidRDefault="005F5403" w:rsidP="00B107DD">
            <w:pPr>
              <w:pStyle w:val="TableText"/>
              <w:widowControl w:val="0"/>
              <w:rPr>
                <w:b/>
                <w:sz w:val="13"/>
                <w:szCs w:val="13"/>
                <w:u w:val="single"/>
              </w:rPr>
            </w:pPr>
            <w:hyperlink w:anchor="_116_Windows_Server" w:history="1">
              <w:r w:rsidR="00B107DD" w:rsidRPr="00B44A2A">
                <w:rPr>
                  <w:rStyle w:val="Hyperlink"/>
                  <w:b/>
                  <w:sz w:val="13"/>
                  <w:szCs w:val="13"/>
                </w:rPr>
                <w:t>10</w:t>
              </w:r>
              <w:r w:rsidR="00B107DD">
                <w:rPr>
                  <w:rStyle w:val="Hyperlink"/>
                  <w:b/>
                  <w:sz w:val="13"/>
                  <w:szCs w:val="13"/>
                </w:rPr>
                <w:t>6</w:t>
              </w:r>
            </w:hyperlink>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4B083" w:themeFill="accent2" w:themeFillTint="99"/>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70" w:name="_Toc336338143"/>
            <w:bookmarkStart w:id="571" w:name="_Toc354054836"/>
            <w:r w:rsidRPr="00BB5519">
              <w:rPr>
                <w:rFonts w:ascii="Tahoma" w:hAnsi="Tahoma" w:cs="Tahoma"/>
                <w:b w:val="0"/>
                <w:sz w:val="14"/>
                <w:szCs w:val="14"/>
              </w:rPr>
              <w:t>Windows Server™ 2012 Datacenter</w:t>
            </w:r>
            <w:bookmarkEnd w:id="570"/>
            <w:bookmarkEnd w:id="571"/>
          </w:p>
        </w:tc>
        <w:tc>
          <w:tcPr>
            <w:tcW w:w="630" w:type="dxa"/>
            <w:tcBorders>
              <w:bottom w:val="single" w:sz="4" w:space="0" w:color="auto"/>
            </w:tcBorders>
            <w:shd w:val="clear" w:color="auto" w:fill="auto"/>
            <w:vAlign w:val="center"/>
          </w:tcPr>
          <w:p w:rsidR="001A63C6" w:rsidRPr="00BB5519" w:rsidRDefault="005F5403" w:rsidP="006E7054">
            <w:pPr>
              <w:pStyle w:val="TableText"/>
              <w:widowControl w:val="0"/>
              <w:rPr>
                <w:rStyle w:val="EndnoteReference"/>
                <w:b w:val="0"/>
                <w:color w:val="0070C0"/>
                <w:sz w:val="13"/>
                <w:szCs w:val="13"/>
                <w:u w:val="single"/>
              </w:rPr>
            </w:pPr>
            <w:hyperlink w:anchor="_107_Windows_Server" w:history="1">
              <w:r w:rsidR="00955428" w:rsidRPr="008D45D0">
                <w:rPr>
                  <w:rStyle w:val="Hyperlink"/>
                  <w:b/>
                  <w:sz w:val="13"/>
                  <w:szCs w:val="13"/>
                </w:rPr>
                <w:t>107</w:t>
              </w:r>
            </w:hyperlink>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OL/OV</w:t>
            </w:r>
          </w:p>
        </w:tc>
      </w:tr>
      <w:tr w:rsidR="00B33D0E" w:rsidRPr="00BB5519" w:rsidTr="004064E2">
        <w:trPr>
          <w:trHeight w:val="145"/>
        </w:trPr>
        <w:tc>
          <w:tcPr>
            <w:tcW w:w="2556" w:type="dxa"/>
            <w:tcBorders>
              <w:bottom w:val="single" w:sz="4" w:space="0" w:color="auto"/>
            </w:tcBorders>
            <w:shd w:val="clear" w:color="auto" w:fill="F4B083" w:themeFill="accent2" w:themeFillTint="99"/>
            <w:vAlign w:val="center"/>
          </w:tcPr>
          <w:p w:rsidR="001A63C6" w:rsidRPr="00BB5519" w:rsidRDefault="001A63C6" w:rsidP="001A63C6">
            <w:pPr>
              <w:pStyle w:val="Heading2"/>
              <w:spacing w:before="20" w:after="20"/>
              <w:ind w:left="0"/>
              <w:rPr>
                <w:rFonts w:ascii="Tahoma" w:hAnsi="Tahoma" w:cs="Tahoma"/>
                <w:b w:val="0"/>
                <w:sz w:val="14"/>
                <w:szCs w:val="14"/>
              </w:rPr>
            </w:pPr>
            <w:bookmarkStart w:id="572" w:name="_Toc336338144"/>
            <w:bookmarkStart w:id="573" w:name="_Toc354054837"/>
            <w:r w:rsidRPr="00BB5519">
              <w:rPr>
                <w:rFonts w:ascii="Tahoma" w:hAnsi="Tahoma" w:cs="Tahoma"/>
                <w:b w:val="0"/>
                <w:sz w:val="14"/>
                <w:szCs w:val="14"/>
              </w:rPr>
              <w:t>Windows Server™ 2012 Standard</w:t>
            </w:r>
            <w:bookmarkEnd w:id="572"/>
            <w:bookmarkEnd w:id="573"/>
          </w:p>
        </w:tc>
        <w:tc>
          <w:tcPr>
            <w:tcW w:w="630" w:type="dxa"/>
            <w:tcBorders>
              <w:bottom w:val="single" w:sz="4" w:space="0" w:color="auto"/>
            </w:tcBorders>
            <w:shd w:val="clear" w:color="auto" w:fill="F4B083" w:themeFill="accent2" w:themeFillTint="99"/>
            <w:vAlign w:val="center"/>
          </w:tcPr>
          <w:p w:rsidR="001A63C6" w:rsidRPr="00BB5519" w:rsidRDefault="005F5403" w:rsidP="006E7054">
            <w:pPr>
              <w:pStyle w:val="TableText"/>
              <w:widowControl w:val="0"/>
              <w:rPr>
                <w:rStyle w:val="EndnoteReference"/>
                <w:b w:val="0"/>
                <w:color w:val="0070C0"/>
                <w:sz w:val="13"/>
                <w:szCs w:val="13"/>
                <w:u w:val="single"/>
                <w:vertAlign w:val="baseline"/>
              </w:rPr>
            </w:pPr>
            <w:hyperlink w:anchor="_108_Windows_Server" w:history="1">
              <w:r w:rsidR="00955428" w:rsidRPr="008D45D0">
                <w:rPr>
                  <w:rStyle w:val="Hyperlink"/>
                  <w:b/>
                  <w:sz w:val="13"/>
                  <w:szCs w:val="13"/>
                </w:rPr>
                <w:t>108</w:t>
              </w:r>
            </w:hyperlink>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spacing w:before="120"/>
              <w:rPr>
                <w:rFonts w:ascii="Tahoma" w:hAnsi="Tahoma" w:cs="Tahoma"/>
                <w:color w:val="000000"/>
                <w:sz w:val="13"/>
              </w:rPr>
            </w:pPr>
            <w:r w:rsidRPr="00BB5519">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8</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gridSpan w:val="2"/>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4B083" w:themeFill="accent2" w:themeFillTint="99"/>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145"/>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74" w:name="_Toc336338145"/>
            <w:bookmarkStart w:id="575" w:name="_Toc354054838"/>
            <w:r w:rsidRPr="00BB5519">
              <w:rPr>
                <w:rFonts w:ascii="Tahoma" w:hAnsi="Tahoma" w:cs="Tahoma"/>
                <w:b w:val="0"/>
                <w:sz w:val="14"/>
                <w:szCs w:val="14"/>
              </w:rPr>
              <w:lastRenderedPageBreak/>
              <w:t>Externer Connector für Windows Server™</w:t>
            </w:r>
            <w:bookmarkEnd w:id="574"/>
            <w:bookmarkEnd w:id="575"/>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60"/>
              <w:rPr>
                <w:rFonts w:ascii="Tahoma" w:hAnsi="Tahoma" w:cs="Tahoma"/>
                <w:color w:val="000000"/>
                <w:sz w:val="13"/>
              </w:rPr>
            </w:pPr>
            <w:r w:rsidRPr="00BB551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63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13</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OL/OV</w:t>
            </w:r>
          </w:p>
        </w:tc>
      </w:tr>
      <w:tr w:rsidR="00B33D0E" w:rsidRPr="00BB5519" w:rsidTr="004064E2">
        <w:trPr>
          <w:trHeight w:val="145"/>
        </w:trPr>
        <w:tc>
          <w:tcPr>
            <w:tcW w:w="2556" w:type="dxa"/>
            <w:tcBorders>
              <w:bottom w:val="single" w:sz="4" w:space="0" w:color="auto"/>
            </w:tcBorders>
            <w:shd w:val="clear" w:color="auto" w:fill="F4B083" w:themeFill="accent2" w:themeFillTint="99"/>
            <w:vAlign w:val="center"/>
          </w:tcPr>
          <w:p w:rsidR="001A63C6" w:rsidRPr="00BB5519" w:rsidRDefault="001A63C6" w:rsidP="001A63C6">
            <w:pPr>
              <w:pStyle w:val="Heading2"/>
              <w:spacing w:before="20" w:after="20"/>
              <w:ind w:left="0"/>
              <w:rPr>
                <w:rFonts w:ascii="Tahoma" w:hAnsi="Tahoma" w:cs="Tahoma"/>
                <w:b w:val="0"/>
                <w:sz w:val="14"/>
                <w:szCs w:val="14"/>
                <w:lang w:val="de-DE"/>
              </w:rPr>
            </w:pPr>
            <w:bookmarkStart w:id="576" w:name="_Toc336338146"/>
            <w:bookmarkStart w:id="577" w:name="_Toc354054839"/>
            <w:r w:rsidRPr="00BB5519">
              <w:rPr>
                <w:rFonts w:ascii="Tahoma" w:hAnsi="Tahoma" w:cs="Tahoma"/>
                <w:b w:val="0"/>
                <w:sz w:val="14"/>
                <w:szCs w:val="14"/>
                <w:lang w:val="de-DE"/>
              </w:rPr>
              <w:t>CAL für Windows Server™ 2012-Remotedesktopdienste</w:t>
            </w:r>
            <w:bookmarkEnd w:id="576"/>
            <w:bookmarkEnd w:id="577"/>
          </w:p>
        </w:tc>
        <w:tc>
          <w:tcPr>
            <w:tcW w:w="63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Style w:val="EndnoteReference"/>
                <w:sz w:val="13"/>
                <w:szCs w:val="13"/>
                <w:u w:val="single"/>
                <w:lang w:val="de-DE"/>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spacing w:before="160"/>
              <w:rPr>
                <w:rFonts w:ascii="Tahoma" w:hAnsi="Tahoma" w:cs="Tahoma"/>
                <w:color w:val="000000"/>
                <w:sz w:val="13"/>
              </w:rPr>
            </w:pPr>
            <w:r w:rsidRPr="00BB5519">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Z,B</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4B083" w:themeFill="accent2" w:themeFillTint="99"/>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431"/>
        </w:trPr>
        <w:tc>
          <w:tcPr>
            <w:tcW w:w="2556" w:type="dxa"/>
            <w:tcBorders>
              <w:bottom w:val="single" w:sz="4" w:space="0" w:color="auto"/>
            </w:tcBorders>
            <w:shd w:val="clear" w:color="auto" w:fill="auto"/>
            <w:vAlign w:val="center"/>
          </w:tcPr>
          <w:p w:rsidR="001A63C6" w:rsidRPr="00BB5519" w:rsidRDefault="001A63C6" w:rsidP="001A63C6">
            <w:pPr>
              <w:pStyle w:val="Heading2"/>
              <w:spacing w:before="20" w:after="20"/>
              <w:ind w:left="0"/>
              <w:rPr>
                <w:rFonts w:ascii="Tahoma" w:hAnsi="Tahoma" w:cs="Tahoma"/>
                <w:b w:val="0"/>
                <w:sz w:val="14"/>
                <w:szCs w:val="14"/>
              </w:rPr>
            </w:pPr>
            <w:bookmarkStart w:id="578" w:name="_Toc336338147"/>
            <w:bookmarkStart w:id="579" w:name="_Toc354054840"/>
            <w:r w:rsidRPr="00BB5519">
              <w:rPr>
                <w:rFonts w:ascii="Tahoma" w:hAnsi="Tahoma" w:cs="Tahoma"/>
                <w:b w:val="0"/>
                <w:sz w:val="14"/>
                <w:szCs w:val="14"/>
              </w:rPr>
              <w:t>Externer Connector für Windows Server™ 2012-Remotedesktopdienste</w:t>
            </w:r>
            <w:bookmarkEnd w:id="578"/>
            <w:bookmarkEnd w:id="579"/>
          </w:p>
        </w:tc>
        <w:tc>
          <w:tcPr>
            <w:tcW w:w="630" w:type="dxa"/>
            <w:tcBorders>
              <w:bottom w:val="single" w:sz="4" w:space="0" w:color="auto"/>
            </w:tcBorders>
            <w:shd w:val="clear" w:color="auto" w:fill="auto"/>
            <w:vAlign w:val="center"/>
          </w:tcPr>
          <w:p w:rsidR="001A63C6" w:rsidRPr="00BB5519"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spacing w:before="160"/>
              <w:rPr>
                <w:rFonts w:ascii="Tahoma" w:hAnsi="Tahoma" w:cs="Tahoma"/>
                <w:color w:val="000000"/>
                <w:sz w:val="13"/>
              </w:rPr>
            </w:pPr>
            <w:r w:rsidRPr="00BB551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188</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150</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113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113</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38</w:t>
            </w:r>
          </w:p>
        </w:tc>
        <w:tc>
          <w:tcPr>
            <w:tcW w:w="36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OL/OV</w:t>
            </w:r>
          </w:p>
        </w:tc>
      </w:tr>
      <w:tr w:rsidR="00B33D0E" w:rsidRPr="00BB5519" w:rsidTr="004064E2">
        <w:trPr>
          <w:trHeight w:val="145"/>
        </w:trPr>
        <w:tc>
          <w:tcPr>
            <w:tcW w:w="2556" w:type="dxa"/>
            <w:tcBorders>
              <w:bottom w:val="single" w:sz="4" w:space="0" w:color="auto"/>
            </w:tcBorders>
            <w:shd w:val="clear" w:color="auto" w:fill="F4B083" w:themeFill="accent2" w:themeFillTint="99"/>
            <w:vAlign w:val="center"/>
          </w:tcPr>
          <w:p w:rsidR="001A63C6" w:rsidRPr="00BB5519" w:rsidRDefault="001A63C6" w:rsidP="001A63C6">
            <w:pPr>
              <w:pStyle w:val="Heading2"/>
              <w:spacing w:before="20" w:after="20"/>
              <w:ind w:left="0"/>
              <w:rPr>
                <w:rFonts w:ascii="Tahoma" w:hAnsi="Tahoma" w:cs="Tahoma"/>
                <w:b w:val="0"/>
                <w:sz w:val="14"/>
                <w:szCs w:val="14"/>
                <w:lang w:val="de-DE"/>
              </w:rPr>
            </w:pPr>
            <w:bookmarkStart w:id="580" w:name="_Toc336338148"/>
            <w:bookmarkStart w:id="581" w:name="_Toc354054841"/>
            <w:r w:rsidRPr="00BB5519">
              <w:rPr>
                <w:rFonts w:ascii="Tahoma" w:hAnsi="Tahoma" w:cs="Tahoma"/>
                <w:b w:val="0"/>
                <w:sz w:val="14"/>
                <w:szCs w:val="14"/>
                <w:lang w:val="de-DE"/>
              </w:rPr>
              <w:t>CAL für Windows Server™ 2012 Active Directory-Rechteverwaltungsdienste</w:t>
            </w:r>
            <w:bookmarkEnd w:id="580"/>
            <w:bookmarkEnd w:id="581"/>
          </w:p>
        </w:tc>
        <w:tc>
          <w:tcPr>
            <w:tcW w:w="63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Style w:val="EndnoteReference"/>
                <w:sz w:val="13"/>
                <w:szCs w:val="13"/>
                <w:u w:val="single"/>
                <w:lang w:val="de-DE"/>
              </w:rPr>
            </w:pP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spacing w:before="160"/>
              <w:rPr>
                <w:rFonts w:ascii="Tahoma" w:hAnsi="Tahoma" w:cs="Tahoma"/>
                <w:color w:val="000000"/>
                <w:sz w:val="13"/>
              </w:rPr>
            </w:pPr>
            <w:r w:rsidRPr="00BB5519">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36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4B083" w:themeFill="accent2" w:themeFillTint="99"/>
          </w:tcPr>
          <w:p w:rsidR="001A63C6" w:rsidRPr="00BB5519" w:rsidRDefault="001A63C6" w:rsidP="001A63C6">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F4B083" w:themeFill="accent2" w:themeFillTint="99"/>
            <w:vAlign w:val="center"/>
          </w:tcPr>
          <w:p w:rsidR="001A63C6" w:rsidRPr="00BB5519" w:rsidRDefault="001A63C6" w:rsidP="001A63C6">
            <w:pPr>
              <w:pStyle w:val="TableText"/>
              <w:widowControl w:val="0"/>
              <w:rPr>
                <w:rFonts w:ascii="Tahoma" w:hAnsi="Tahoma" w:cs="Tahoma"/>
                <w:color w:val="000000"/>
                <w:sz w:val="13"/>
              </w:rPr>
            </w:pPr>
          </w:p>
        </w:tc>
      </w:tr>
      <w:tr w:rsidR="001A63C6" w:rsidRPr="00BB5519" w:rsidTr="004064E2">
        <w:trPr>
          <w:trHeight w:val="467"/>
        </w:trPr>
        <w:tc>
          <w:tcPr>
            <w:tcW w:w="2556" w:type="dxa"/>
            <w:tcBorders>
              <w:bottom w:val="single" w:sz="4" w:space="0" w:color="auto"/>
            </w:tcBorders>
            <w:shd w:val="clear" w:color="auto" w:fill="auto"/>
            <w:vAlign w:val="center"/>
          </w:tcPr>
          <w:p w:rsidR="001A63C6" w:rsidRPr="00BB5519" w:rsidRDefault="001A63C6" w:rsidP="007E466C">
            <w:pPr>
              <w:pStyle w:val="Heading2"/>
              <w:keepNext/>
              <w:keepLines/>
              <w:spacing w:before="20" w:after="20"/>
              <w:ind w:left="0"/>
              <w:rPr>
                <w:rFonts w:ascii="Tahoma" w:hAnsi="Tahoma" w:cs="Tahoma"/>
                <w:b w:val="0"/>
                <w:sz w:val="14"/>
                <w:szCs w:val="14"/>
              </w:rPr>
            </w:pPr>
            <w:bookmarkStart w:id="582" w:name="_Toc336338149"/>
            <w:bookmarkStart w:id="583" w:name="_Toc354054842"/>
            <w:r w:rsidRPr="00BB5519">
              <w:rPr>
                <w:rFonts w:ascii="Tahoma" w:hAnsi="Tahoma" w:cs="Tahoma"/>
                <w:b w:val="0"/>
                <w:sz w:val="14"/>
                <w:szCs w:val="14"/>
              </w:rPr>
              <w:t>Externer Connector für Windows Server™ Active Directory- Rechteverwaltungsdienste</w:t>
            </w:r>
            <w:bookmarkEnd w:id="582"/>
            <w:bookmarkEnd w:id="583"/>
          </w:p>
        </w:tc>
        <w:tc>
          <w:tcPr>
            <w:tcW w:w="630" w:type="dxa"/>
            <w:tcBorders>
              <w:bottom w:val="single" w:sz="4" w:space="0" w:color="auto"/>
            </w:tcBorders>
            <w:shd w:val="clear" w:color="auto" w:fill="auto"/>
            <w:vAlign w:val="center"/>
          </w:tcPr>
          <w:p w:rsidR="001A63C6" w:rsidRPr="00BB5519" w:rsidRDefault="001A63C6"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BB5519" w:rsidRDefault="001A63C6" w:rsidP="007E466C">
            <w:pPr>
              <w:pStyle w:val="TableText"/>
              <w:keepNext/>
              <w:keepLines/>
              <w:widowControl w:val="0"/>
              <w:spacing w:before="160"/>
              <w:rPr>
                <w:rFonts w:ascii="Tahoma" w:hAnsi="Tahoma" w:cs="Tahoma"/>
                <w:color w:val="000000"/>
                <w:sz w:val="13"/>
              </w:rPr>
            </w:pPr>
            <w:r w:rsidRPr="00BB551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125</w:t>
            </w:r>
          </w:p>
        </w:tc>
        <w:tc>
          <w:tcPr>
            <w:tcW w:w="450" w:type="dxa"/>
            <w:tcBorders>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313</w:t>
            </w:r>
          </w:p>
        </w:tc>
        <w:tc>
          <w:tcPr>
            <w:tcW w:w="450" w:type="dxa"/>
            <w:tcBorders>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250</w:t>
            </w:r>
          </w:p>
        </w:tc>
        <w:tc>
          <w:tcPr>
            <w:tcW w:w="450" w:type="dxa"/>
            <w:tcBorders>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188</w:t>
            </w:r>
          </w:p>
        </w:tc>
        <w:tc>
          <w:tcPr>
            <w:tcW w:w="450" w:type="dxa"/>
            <w:tcBorders>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188</w:t>
            </w:r>
          </w:p>
        </w:tc>
        <w:tc>
          <w:tcPr>
            <w:tcW w:w="450" w:type="dxa"/>
            <w:tcBorders>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63</w:t>
            </w:r>
          </w:p>
        </w:tc>
        <w:tc>
          <w:tcPr>
            <w:tcW w:w="360" w:type="dxa"/>
            <w:tcBorders>
              <w:left w:val="single" w:sz="18" w:space="0" w:color="auto"/>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125</w:t>
            </w:r>
          </w:p>
        </w:tc>
        <w:tc>
          <w:tcPr>
            <w:tcW w:w="450" w:type="dxa"/>
            <w:gridSpan w:val="2"/>
            <w:tcBorders>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1A63C6" w:rsidRPr="00BB5519" w:rsidRDefault="001A63C6" w:rsidP="007E466C">
            <w:pPr>
              <w:pStyle w:val="TableText"/>
              <w:keepNext/>
              <w:keepLines/>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1A63C6" w:rsidRPr="00BB5519" w:rsidRDefault="001A63C6" w:rsidP="007E466C">
            <w:pPr>
              <w:pStyle w:val="TableText"/>
              <w:keepNext/>
              <w:keepLines/>
              <w:widowControl w:val="0"/>
              <w:rPr>
                <w:rFonts w:ascii="Tahoma" w:hAnsi="Tahoma" w:cs="Tahoma"/>
                <w:color w:val="000000"/>
                <w:sz w:val="13"/>
              </w:rPr>
            </w:pPr>
            <w:r w:rsidRPr="00BB5519">
              <w:rPr>
                <w:rFonts w:ascii="Tahoma" w:hAnsi="Tahoma" w:cs="Tahoma"/>
                <w:color w:val="000000"/>
                <w:sz w:val="13"/>
              </w:rPr>
              <w:t>OL/OV</w:t>
            </w:r>
          </w:p>
        </w:tc>
      </w:tr>
      <w:tr w:rsidR="00A5643F" w:rsidRPr="00BB5519" w:rsidTr="004064E2">
        <w:trPr>
          <w:trHeight w:val="145"/>
        </w:trPr>
        <w:tc>
          <w:tcPr>
            <w:tcW w:w="2556" w:type="dxa"/>
            <w:tcBorders>
              <w:bottom w:val="single" w:sz="4" w:space="0" w:color="auto"/>
            </w:tcBorders>
            <w:shd w:val="clear" w:color="auto" w:fill="FABF8F"/>
            <w:vAlign w:val="center"/>
          </w:tcPr>
          <w:p w:rsidR="00A5643F" w:rsidRPr="00BB5519" w:rsidRDefault="00A5643F" w:rsidP="007E466C">
            <w:pPr>
              <w:pStyle w:val="Heading2"/>
              <w:keepNext/>
              <w:keepLines/>
              <w:spacing w:before="20" w:after="20"/>
              <w:ind w:left="0"/>
              <w:rPr>
                <w:rFonts w:ascii="Tahoma" w:hAnsi="Tahoma" w:cs="Tahoma"/>
                <w:b w:val="0"/>
                <w:sz w:val="14"/>
                <w:szCs w:val="14"/>
              </w:rPr>
            </w:pPr>
            <w:bookmarkStart w:id="584" w:name="_Toc354054843"/>
            <w:r w:rsidRPr="00BB5519">
              <w:rPr>
                <w:rFonts w:ascii="Tahoma" w:hAnsi="Tahoma" w:cs="Tahoma"/>
                <w:b w:val="0"/>
                <w:sz w:val="14"/>
                <w:szCs w:val="14"/>
              </w:rPr>
              <w:t>Windows Small Business Server 2008 Premium</w:t>
            </w:r>
            <w:bookmarkEnd w:id="584"/>
            <w:r w:rsidRPr="00BB5519">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rsidR="00A5643F" w:rsidRPr="00BB5519" w:rsidRDefault="005F5403" w:rsidP="006E7054">
            <w:pPr>
              <w:pStyle w:val="TableText"/>
              <w:keepNext/>
              <w:keepLines/>
              <w:widowControl w:val="0"/>
              <w:rPr>
                <w:b/>
                <w:sz w:val="13"/>
                <w:szCs w:val="13"/>
                <w:u w:val="single"/>
              </w:rPr>
            </w:pPr>
            <w:hyperlink w:anchor="_109_Windows_Web" w:history="1">
              <w:r w:rsidR="00955428" w:rsidRPr="008D45D0">
                <w:rPr>
                  <w:rStyle w:val="Hyperlink"/>
                  <w:b/>
                  <w:sz w:val="13"/>
                  <w:szCs w:val="13"/>
                </w:rPr>
                <w:t>109</w:t>
              </w:r>
            </w:hyperlink>
          </w:p>
        </w:tc>
        <w:tc>
          <w:tcPr>
            <w:tcW w:w="450" w:type="dxa"/>
            <w:tcBorders>
              <w:bottom w:val="single" w:sz="4" w:space="0" w:color="auto"/>
            </w:tcBorders>
            <w:shd w:val="clear" w:color="auto" w:fill="FABF8F"/>
          </w:tcPr>
          <w:p w:rsidR="00A5643F" w:rsidRPr="00BB5519" w:rsidRDefault="00A5643F" w:rsidP="007E466C">
            <w:pPr>
              <w:pStyle w:val="TableText"/>
              <w:keepNext/>
              <w:keepLines/>
              <w:widowControl w:val="0"/>
              <w:spacing w:before="120"/>
              <w:rPr>
                <w:rFonts w:ascii="Tahoma" w:hAnsi="Tahoma" w:cs="Tahoma"/>
                <w:sz w:val="13"/>
              </w:rPr>
            </w:pPr>
            <w:r w:rsidRPr="00BB5519">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643F" w:rsidRPr="00BB5519"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7E466C">
            <w:pPr>
              <w:pStyle w:val="TableText"/>
              <w:keepNext/>
              <w:keepLines/>
              <w:widowControl w:val="0"/>
              <w:rPr>
                <w:rFonts w:ascii="Tahoma" w:hAnsi="Tahoma" w:cs="Tahoma"/>
                <w:sz w:val="13"/>
              </w:rPr>
            </w:pPr>
          </w:p>
        </w:tc>
      </w:tr>
      <w:tr w:rsidR="00A5643F" w:rsidRPr="00BB5519" w:rsidTr="004064E2">
        <w:trPr>
          <w:trHeight w:val="145"/>
        </w:trPr>
        <w:tc>
          <w:tcPr>
            <w:tcW w:w="2556" w:type="dxa"/>
            <w:tcBorders>
              <w:bottom w:val="single" w:sz="4" w:space="0" w:color="auto"/>
            </w:tcBorders>
            <w:shd w:val="clear" w:color="auto" w:fill="auto"/>
            <w:vAlign w:val="center"/>
          </w:tcPr>
          <w:p w:rsidR="00A5643F" w:rsidRPr="00C0225C" w:rsidRDefault="00A5643F" w:rsidP="00C0225C">
            <w:pPr>
              <w:pStyle w:val="Heading2"/>
              <w:spacing w:before="20" w:after="20"/>
              <w:ind w:left="0"/>
              <w:rPr>
                <w:rFonts w:ascii="Tahoma" w:hAnsi="Tahoma" w:cs="Tahoma"/>
                <w:b w:val="0"/>
                <w:lang w:val="de-DE"/>
              </w:rPr>
            </w:pPr>
            <w:bookmarkStart w:id="585" w:name="_Toc336338154"/>
            <w:bookmarkStart w:id="586" w:name="_Toc354054844"/>
            <w:r w:rsidRPr="00C0225C">
              <w:rPr>
                <w:rFonts w:ascii="Tahoma" w:hAnsi="Tahoma" w:cs="Tahoma"/>
                <w:b w:val="0"/>
                <w:sz w:val="14"/>
                <w:lang w:val="de-DE"/>
              </w:rPr>
              <w:t>CAL-Suite für Windows Small Business</w:t>
            </w:r>
            <w:r w:rsidR="00C0225C" w:rsidRPr="00C0225C">
              <w:rPr>
                <w:rFonts w:ascii="Tahoma" w:hAnsi="Tahoma" w:cs="Tahoma"/>
                <w:b w:val="0"/>
                <w:sz w:val="14"/>
                <w:lang w:val="de-DE"/>
              </w:rPr>
              <w:t> </w:t>
            </w:r>
            <w:r w:rsidRPr="00C0225C">
              <w:rPr>
                <w:rFonts w:ascii="Tahoma" w:hAnsi="Tahoma" w:cs="Tahoma"/>
                <w:b w:val="0"/>
                <w:sz w:val="14"/>
                <w:lang w:val="de-DE"/>
              </w:rPr>
              <w:t xml:space="preserve">Server 2008 für </w:t>
            </w:r>
            <w:r w:rsidR="00C0225C" w:rsidRPr="00C0225C">
              <w:rPr>
                <w:rFonts w:ascii="Tahoma" w:hAnsi="Tahoma" w:cs="Tahoma"/>
                <w:b w:val="0"/>
                <w:sz w:val="14"/>
                <w:lang w:val="de-DE"/>
              </w:rPr>
              <w:br/>
            </w:r>
            <w:r w:rsidRPr="00C0225C">
              <w:rPr>
                <w:rFonts w:ascii="Tahoma" w:hAnsi="Tahoma" w:cs="Tahoma"/>
                <w:b w:val="0"/>
                <w:sz w:val="14"/>
                <w:lang w:val="de-DE"/>
              </w:rPr>
              <w:t>Premium-Nutzer oder -Geräte</w:t>
            </w:r>
            <w:bookmarkEnd w:id="585"/>
            <w:bookmarkEnd w:id="586"/>
          </w:p>
        </w:tc>
        <w:tc>
          <w:tcPr>
            <w:tcW w:w="630" w:type="dxa"/>
            <w:tcBorders>
              <w:bottom w:val="single" w:sz="4" w:space="0" w:color="auto"/>
            </w:tcBorders>
            <w:shd w:val="clear" w:color="auto" w:fill="auto"/>
            <w:vAlign w:val="center"/>
          </w:tcPr>
          <w:p w:rsidR="00A5643F" w:rsidRPr="00C0225C" w:rsidRDefault="00A5643F" w:rsidP="00D63C1B">
            <w:pPr>
              <w:pStyle w:val="TableText"/>
              <w:widowControl w:val="0"/>
              <w:rPr>
                <w:b/>
                <w:sz w:val="13"/>
                <w:szCs w:val="13"/>
                <w:lang w:val="de-DE"/>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auto"/>
            <w:vAlign w:val="center"/>
          </w:tcPr>
          <w:p w:rsidR="00A5643F" w:rsidRPr="00BB5519"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E, P</w:t>
            </w:r>
          </w:p>
        </w:tc>
        <w:tc>
          <w:tcPr>
            <w:tcW w:w="540" w:type="dxa"/>
            <w:tcBorders>
              <w:bottom w:val="single" w:sz="4" w:space="0" w:color="auto"/>
            </w:tcBorders>
            <w:shd w:val="clear" w:color="auto" w:fill="auto"/>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r>
      <w:tr w:rsidR="00A5643F" w:rsidRPr="00BB5519" w:rsidTr="004064E2">
        <w:trPr>
          <w:trHeight w:val="145"/>
        </w:trPr>
        <w:tc>
          <w:tcPr>
            <w:tcW w:w="2556" w:type="dxa"/>
            <w:tcBorders>
              <w:bottom w:val="single" w:sz="4" w:space="0" w:color="auto"/>
            </w:tcBorders>
            <w:shd w:val="clear" w:color="auto" w:fill="FABF8F"/>
            <w:vAlign w:val="center"/>
          </w:tcPr>
          <w:p w:rsidR="00A5643F" w:rsidRPr="00020E89" w:rsidRDefault="00A5643F" w:rsidP="002E5D03">
            <w:pPr>
              <w:pStyle w:val="Heading2"/>
              <w:spacing w:before="20" w:after="20"/>
              <w:ind w:left="0"/>
              <w:rPr>
                <w:rFonts w:ascii="Tahoma" w:hAnsi="Tahoma" w:cs="Tahoma"/>
                <w:b w:val="0"/>
                <w:sz w:val="14"/>
                <w:szCs w:val="14"/>
                <w:lang w:val="de-DE"/>
              </w:rPr>
            </w:pPr>
            <w:bookmarkStart w:id="587" w:name="_Toc336338155"/>
            <w:bookmarkStart w:id="588" w:name="_Toc354054845"/>
            <w:r w:rsidRPr="00020E89">
              <w:rPr>
                <w:rFonts w:ascii="Tahoma" w:hAnsi="Tahoma" w:cs="Tahoma"/>
                <w:b w:val="0"/>
                <w:sz w:val="14"/>
                <w:lang w:val="de-DE"/>
              </w:rPr>
              <w:t>CAL-Suite für Windows Small Business Server 2008 für Premium-Nutzer oder -Geräte (5 Clients)</w:t>
            </w:r>
            <w:bookmarkEnd w:id="587"/>
            <w:bookmarkEnd w:id="588"/>
          </w:p>
        </w:tc>
        <w:tc>
          <w:tcPr>
            <w:tcW w:w="630" w:type="dxa"/>
            <w:tcBorders>
              <w:bottom w:val="single" w:sz="4" w:space="0" w:color="auto"/>
            </w:tcBorders>
            <w:shd w:val="clear" w:color="auto" w:fill="FABF8F"/>
            <w:vAlign w:val="center"/>
          </w:tcPr>
          <w:p w:rsidR="00A5643F" w:rsidRPr="00020E89" w:rsidRDefault="00A5643F" w:rsidP="00D63C1B">
            <w:pPr>
              <w:pStyle w:val="TableText"/>
              <w:widowControl w:val="0"/>
              <w:rPr>
                <w:b/>
                <w:sz w:val="13"/>
                <w:szCs w:val="13"/>
                <w:lang w:val="de-DE"/>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5</w:t>
            </w:r>
          </w:p>
        </w:tc>
        <w:tc>
          <w:tcPr>
            <w:tcW w:w="450" w:type="dxa"/>
            <w:gridSpan w:val="2"/>
            <w:tcBorders>
              <w:bottom w:val="single" w:sz="4" w:space="0" w:color="auto"/>
            </w:tcBorders>
            <w:shd w:val="clear" w:color="auto" w:fill="FABF8F"/>
            <w:vAlign w:val="center"/>
          </w:tcPr>
          <w:p w:rsidR="00A5643F" w:rsidRPr="00BB5519"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OL/OV</w:t>
            </w:r>
          </w:p>
        </w:tc>
      </w:tr>
      <w:tr w:rsidR="00F76ED4" w:rsidRPr="00BB5519" w:rsidTr="004064E2">
        <w:trPr>
          <w:trHeight w:val="145"/>
        </w:trPr>
        <w:tc>
          <w:tcPr>
            <w:tcW w:w="2556" w:type="dxa"/>
            <w:tcBorders>
              <w:bottom w:val="single" w:sz="4" w:space="0" w:color="auto"/>
            </w:tcBorders>
            <w:shd w:val="clear" w:color="auto" w:fill="auto"/>
            <w:vAlign w:val="center"/>
          </w:tcPr>
          <w:p w:rsidR="00A5643F" w:rsidRPr="00BB5519" w:rsidRDefault="00A5643F" w:rsidP="002E5D03">
            <w:pPr>
              <w:pStyle w:val="Heading2"/>
              <w:spacing w:before="20" w:after="20"/>
              <w:ind w:left="0"/>
              <w:rPr>
                <w:rFonts w:ascii="Tahoma" w:hAnsi="Tahoma" w:cs="Tahoma"/>
                <w:b w:val="0"/>
                <w:sz w:val="14"/>
                <w:szCs w:val="14"/>
                <w:lang w:val="de-DE"/>
              </w:rPr>
            </w:pPr>
            <w:bookmarkStart w:id="589" w:name="_Toc336338156"/>
            <w:bookmarkStart w:id="590" w:name="_Toc354054846"/>
            <w:r w:rsidRPr="00BB5519">
              <w:rPr>
                <w:rFonts w:ascii="Tahoma" w:hAnsi="Tahoma" w:cs="Tahoma"/>
                <w:b w:val="0"/>
                <w:sz w:val="14"/>
                <w:lang w:val="de-DE"/>
              </w:rPr>
              <w:t>CAL-Suite für Windows Small Business Server 2008 für Premium-Nutzer oder -Geräte (20 Clients)</w:t>
            </w:r>
            <w:bookmarkEnd w:id="589"/>
            <w:bookmarkEnd w:id="590"/>
          </w:p>
        </w:tc>
        <w:tc>
          <w:tcPr>
            <w:tcW w:w="630" w:type="dxa"/>
            <w:tcBorders>
              <w:bottom w:val="single" w:sz="4" w:space="0" w:color="auto"/>
            </w:tcBorders>
            <w:shd w:val="clear" w:color="auto" w:fill="auto"/>
            <w:vAlign w:val="center"/>
          </w:tcPr>
          <w:p w:rsidR="00A5643F" w:rsidRPr="00BB5519" w:rsidRDefault="00A5643F" w:rsidP="00D63C1B">
            <w:pPr>
              <w:pStyle w:val="TableText"/>
              <w:widowControl w:val="0"/>
              <w:rPr>
                <w:b/>
                <w:sz w:val="13"/>
                <w:szCs w:val="13"/>
                <w:lang w:val="de-DE"/>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25</w:t>
            </w:r>
          </w:p>
        </w:tc>
        <w:tc>
          <w:tcPr>
            <w:tcW w:w="450" w:type="dxa"/>
            <w:gridSpan w:val="2"/>
            <w:tcBorders>
              <w:bottom w:val="single" w:sz="4" w:space="0" w:color="auto"/>
            </w:tcBorders>
            <w:shd w:val="clear" w:color="auto" w:fill="auto"/>
            <w:vAlign w:val="center"/>
          </w:tcPr>
          <w:p w:rsidR="00A5643F" w:rsidRPr="00BB5519"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OL/OV</w:t>
            </w:r>
          </w:p>
        </w:tc>
      </w:tr>
      <w:tr w:rsidR="00F76ED4" w:rsidRPr="00BB5519" w:rsidTr="004064E2">
        <w:trPr>
          <w:trHeight w:val="145"/>
        </w:trPr>
        <w:tc>
          <w:tcPr>
            <w:tcW w:w="2556" w:type="dxa"/>
            <w:tcBorders>
              <w:bottom w:val="single" w:sz="4" w:space="0" w:color="auto"/>
            </w:tcBorders>
            <w:shd w:val="clear" w:color="auto" w:fill="FABF8F"/>
            <w:vAlign w:val="center"/>
          </w:tcPr>
          <w:p w:rsidR="00A5643F" w:rsidRPr="00BB5519" w:rsidRDefault="00A5643F" w:rsidP="006468EC">
            <w:pPr>
              <w:pStyle w:val="Heading2"/>
              <w:keepNext/>
              <w:keepLines/>
              <w:spacing w:before="20" w:after="20"/>
              <w:ind w:left="0"/>
              <w:rPr>
                <w:rFonts w:ascii="Tahoma" w:hAnsi="Tahoma" w:cs="Tahoma"/>
                <w:b w:val="0"/>
                <w:sz w:val="14"/>
                <w:szCs w:val="14"/>
              </w:rPr>
            </w:pPr>
            <w:bookmarkStart w:id="591" w:name="_Toc336338157"/>
            <w:bookmarkStart w:id="592" w:name="_Toc354054847"/>
            <w:r w:rsidRPr="00BB5519">
              <w:rPr>
                <w:rFonts w:ascii="Tahoma" w:hAnsi="Tahoma" w:cs="Tahoma"/>
                <w:b w:val="0"/>
                <w:sz w:val="14"/>
                <w:szCs w:val="14"/>
              </w:rPr>
              <w:t>Windows Small Business Server 2011 Standard (5 Clients)</w:t>
            </w:r>
            <w:bookmarkEnd w:id="591"/>
            <w:bookmarkEnd w:id="592"/>
            <w:r w:rsidRPr="00BB5519">
              <w:rPr>
                <w:rFonts w:ascii="Tahoma" w:eastAsia="Times New Roman" w:hAnsi="Tahoma" w:cs="Tahoma"/>
                <w:b w:val="0"/>
                <w:sz w:val="14"/>
                <w:szCs w:val="14"/>
              </w:rPr>
              <w:t xml:space="preserve"> </w:t>
            </w:r>
          </w:p>
        </w:tc>
        <w:tc>
          <w:tcPr>
            <w:tcW w:w="630" w:type="dxa"/>
            <w:tcBorders>
              <w:bottom w:val="single" w:sz="4" w:space="0" w:color="auto"/>
            </w:tcBorders>
            <w:shd w:val="clear" w:color="auto" w:fill="FABF8F"/>
            <w:vAlign w:val="center"/>
          </w:tcPr>
          <w:p w:rsidR="00A5643F" w:rsidRPr="00BB5519" w:rsidRDefault="005F5403" w:rsidP="006468EC">
            <w:pPr>
              <w:pStyle w:val="TableText"/>
              <w:keepNext/>
              <w:keepLines/>
              <w:widowControl w:val="0"/>
              <w:rPr>
                <w:rStyle w:val="EndnoteReference"/>
                <w:b w:val="0"/>
                <w:color w:val="0000FF"/>
                <w:sz w:val="13"/>
                <w:szCs w:val="13"/>
                <w:u w:val="single"/>
              </w:rPr>
            </w:pPr>
            <w:hyperlink w:anchor="_110_Windows_Small_1" w:history="1">
              <w:r w:rsidR="00955428" w:rsidRPr="008D45D0">
                <w:rPr>
                  <w:rStyle w:val="Hyperlink"/>
                  <w:b/>
                  <w:sz w:val="13"/>
                  <w:szCs w:val="13"/>
                </w:rPr>
                <w:t>110</w:t>
              </w:r>
            </w:hyperlink>
          </w:p>
        </w:tc>
        <w:tc>
          <w:tcPr>
            <w:tcW w:w="450" w:type="dxa"/>
            <w:tcBorders>
              <w:bottom w:val="single" w:sz="4" w:space="0" w:color="auto"/>
            </w:tcBorders>
            <w:shd w:val="clear" w:color="auto" w:fill="FABF8F"/>
            <w:vAlign w:val="center"/>
          </w:tcPr>
          <w:p w:rsidR="00A5643F" w:rsidRPr="00BB5519" w:rsidRDefault="00A5643F" w:rsidP="006468EC">
            <w:pPr>
              <w:pStyle w:val="TableText"/>
              <w:keepNext/>
              <w:keepLines/>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r w:rsidRPr="00BB5519">
              <w:rPr>
                <w:rFonts w:ascii="Tahoma" w:hAnsi="Tahoma" w:cs="Tahoma"/>
                <w:sz w:val="13"/>
              </w:rPr>
              <w:t>15</w:t>
            </w:r>
          </w:p>
        </w:tc>
        <w:tc>
          <w:tcPr>
            <w:tcW w:w="450" w:type="dxa"/>
            <w:gridSpan w:val="2"/>
            <w:tcBorders>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r w:rsidRPr="00BB5519">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A5643F" w:rsidRPr="00BB5519" w:rsidRDefault="00A5643F" w:rsidP="006468EC">
            <w:pPr>
              <w:pStyle w:val="TableText"/>
              <w:keepNext/>
              <w:keepLines/>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A5643F" w:rsidRPr="00BB5519" w:rsidRDefault="00A5643F" w:rsidP="006468EC">
            <w:pPr>
              <w:pStyle w:val="TableText"/>
              <w:keepNext/>
              <w:keepLines/>
              <w:widowControl w:val="0"/>
              <w:rPr>
                <w:rFonts w:ascii="Tahoma" w:hAnsi="Tahoma" w:cs="Tahoma"/>
                <w:sz w:val="13"/>
              </w:rPr>
            </w:pPr>
            <w:r w:rsidRPr="00BB5519">
              <w:rPr>
                <w:rFonts w:ascii="Tahoma" w:hAnsi="Tahoma" w:cs="Tahoma"/>
                <w:color w:val="000000"/>
                <w:sz w:val="13"/>
              </w:rPr>
              <w:t>OL/OV</w:t>
            </w:r>
          </w:p>
        </w:tc>
      </w:tr>
      <w:tr w:rsidR="00F76ED4" w:rsidRPr="00BB5519" w:rsidTr="004064E2">
        <w:trPr>
          <w:trHeight w:val="145"/>
        </w:trPr>
        <w:tc>
          <w:tcPr>
            <w:tcW w:w="2556" w:type="dxa"/>
            <w:tcBorders>
              <w:bottom w:val="single" w:sz="4" w:space="0" w:color="auto"/>
            </w:tcBorders>
            <w:shd w:val="clear" w:color="auto" w:fill="auto"/>
            <w:vAlign w:val="center"/>
          </w:tcPr>
          <w:p w:rsidR="00A5643F" w:rsidRPr="00BB5519" w:rsidRDefault="00A5643F" w:rsidP="002E5D03">
            <w:pPr>
              <w:pStyle w:val="Heading2"/>
              <w:spacing w:before="20" w:after="20"/>
              <w:ind w:left="0"/>
              <w:rPr>
                <w:rFonts w:ascii="Tahoma" w:hAnsi="Tahoma" w:cs="Tahoma"/>
                <w:b w:val="0"/>
                <w:sz w:val="14"/>
                <w:szCs w:val="14"/>
              </w:rPr>
            </w:pPr>
            <w:bookmarkStart w:id="593" w:name="_Toc336338158"/>
            <w:bookmarkStart w:id="594" w:name="_Toc354054848"/>
            <w:r w:rsidRPr="00BB5519">
              <w:rPr>
                <w:rFonts w:ascii="Tahoma" w:hAnsi="Tahoma" w:cs="Tahoma"/>
                <w:b w:val="0"/>
                <w:sz w:val="14"/>
                <w:szCs w:val="14"/>
              </w:rPr>
              <w:t>CAL-Suite für Windows Small Business Server 2011 (1 Client)</w:t>
            </w:r>
            <w:bookmarkEnd w:id="593"/>
            <w:bookmarkEnd w:id="594"/>
          </w:p>
        </w:tc>
        <w:tc>
          <w:tcPr>
            <w:tcW w:w="630" w:type="dxa"/>
            <w:tcBorders>
              <w:bottom w:val="single" w:sz="4" w:space="0" w:color="auto"/>
            </w:tcBorders>
            <w:shd w:val="clear" w:color="auto" w:fill="auto"/>
            <w:vAlign w:val="center"/>
          </w:tcPr>
          <w:p w:rsidR="00A5643F" w:rsidRPr="00BB5519" w:rsidRDefault="005F5403" w:rsidP="006E7054">
            <w:pPr>
              <w:pStyle w:val="TableText"/>
              <w:widowControl w:val="0"/>
              <w:rPr>
                <w:rStyle w:val="EndnoteReference"/>
                <w:b w:val="0"/>
                <w:color w:val="0000FF"/>
                <w:sz w:val="13"/>
                <w:szCs w:val="13"/>
                <w:u w:val="single"/>
              </w:rPr>
            </w:pPr>
            <w:hyperlink w:anchor="_119_Windows_Small" w:history="1">
              <w:r w:rsidR="00955428" w:rsidRPr="00B107DD">
                <w:rPr>
                  <w:rStyle w:val="Hyperlink"/>
                  <w:b/>
                  <w:sz w:val="13"/>
                  <w:szCs w:val="13"/>
                </w:rPr>
                <w:t>111</w:t>
              </w:r>
            </w:hyperlink>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E, P</w:t>
            </w:r>
          </w:p>
        </w:tc>
        <w:tc>
          <w:tcPr>
            <w:tcW w:w="540" w:type="dxa"/>
            <w:tcBorders>
              <w:bottom w:val="single" w:sz="4" w:space="0" w:color="auto"/>
            </w:tcBorders>
            <w:shd w:val="clear" w:color="auto" w:fill="auto"/>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r>
      <w:tr w:rsidR="00F76ED4" w:rsidRPr="00BB5519" w:rsidTr="004064E2">
        <w:trPr>
          <w:trHeight w:val="145"/>
        </w:trPr>
        <w:tc>
          <w:tcPr>
            <w:tcW w:w="2556" w:type="dxa"/>
            <w:tcBorders>
              <w:bottom w:val="single" w:sz="4" w:space="0" w:color="auto"/>
            </w:tcBorders>
            <w:shd w:val="clear" w:color="auto" w:fill="FABF8F"/>
            <w:vAlign w:val="center"/>
          </w:tcPr>
          <w:p w:rsidR="00A5643F" w:rsidRPr="00BB5519" w:rsidRDefault="00A5643F" w:rsidP="002E5D03">
            <w:pPr>
              <w:pStyle w:val="Heading2"/>
              <w:spacing w:before="20" w:after="20"/>
              <w:ind w:left="0"/>
              <w:rPr>
                <w:rFonts w:ascii="Tahoma" w:hAnsi="Tahoma" w:cs="Tahoma"/>
                <w:b w:val="0"/>
                <w:color w:val="000000"/>
                <w:sz w:val="14"/>
                <w:szCs w:val="14"/>
              </w:rPr>
            </w:pPr>
            <w:bookmarkStart w:id="595" w:name="_Toc336338159"/>
            <w:bookmarkStart w:id="596" w:name="_Toc354054849"/>
            <w:r w:rsidRPr="00BB5519">
              <w:rPr>
                <w:rFonts w:ascii="Tahoma" w:hAnsi="Tahoma" w:cs="Tahoma"/>
                <w:b w:val="0"/>
                <w:sz w:val="14"/>
                <w:szCs w:val="14"/>
              </w:rPr>
              <w:t>CAL-Suite für Windows Small Business Server 2011 (5 Clients)</w:t>
            </w:r>
            <w:bookmarkEnd w:id="595"/>
            <w:bookmarkEnd w:id="596"/>
          </w:p>
        </w:tc>
        <w:tc>
          <w:tcPr>
            <w:tcW w:w="630" w:type="dxa"/>
            <w:tcBorders>
              <w:bottom w:val="single" w:sz="4" w:space="0" w:color="auto"/>
            </w:tcBorders>
            <w:shd w:val="clear" w:color="auto" w:fill="FABF8F"/>
            <w:vAlign w:val="center"/>
          </w:tcPr>
          <w:p w:rsidR="00A5643F" w:rsidRPr="00BB5519" w:rsidRDefault="005F5403" w:rsidP="006E7054">
            <w:pPr>
              <w:pStyle w:val="TableText"/>
              <w:widowControl w:val="0"/>
              <w:rPr>
                <w:rStyle w:val="EndnoteReference"/>
                <w:b w:val="0"/>
                <w:sz w:val="13"/>
                <w:szCs w:val="13"/>
                <w:u w:val="single"/>
              </w:rPr>
            </w:pPr>
            <w:hyperlink w:anchor="_119_Windows_Small" w:history="1">
              <w:r w:rsidR="008D45D0" w:rsidRPr="00B107DD">
                <w:rPr>
                  <w:rStyle w:val="Hyperlink"/>
                  <w:b/>
                  <w:sz w:val="13"/>
                  <w:szCs w:val="13"/>
                </w:rPr>
                <w:t>111</w:t>
              </w:r>
            </w:hyperlink>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b/>
                <w:color w:val="0000FF"/>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b/>
                <w:color w:val="0000FF"/>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5</w:t>
            </w:r>
          </w:p>
        </w:tc>
        <w:tc>
          <w:tcPr>
            <w:tcW w:w="450" w:type="dxa"/>
            <w:gridSpan w:val="2"/>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color w:val="000000"/>
                <w:sz w:val="13"/>
              </w:rPr>
              <w:t>OL/OV</w:t>
            </w:r>
          </w:p>
        </w:tc>
      </w:tr>
      <w:tr w:rsidR="00F76ED4" w:rsidRPr="00BB5519" w:rsidTr="004064E2">
        <w:trPr>
          <w:trHeight w:val="145"/>
        </w:trPr>
        <w:tc>
          <w:tcPr>
            <w:tcW w:w="2556" w:type="dxa"/>
            <w:tcBorders>
              <w:bottom w:val="single" w:sz="4" w:space="0" w:color="auto"/>
            </w:tcBorders>
            <w:shd w:val="clear" w:color="auto" w:fill="auto"/>
          </w:tcPr>
          <w:p w:rsidR="00A5643F" w:rsidRPr="00BB5519" w:rsidRDefault="00A5643F" w:rsidP="002E5D03">
            <w:pPr>
              <w:pStyle w:val="Heading2"/>
              <w:spacing w:before="20" w:after="20"/>
              <w:ind w:left="0"/>
              <w:rPr>
                <w:rFonts w:ascii="Tahoma" w:hAnsi="Tahoma" w:cs="Tahoma"/>
                <w:b w:val="0"/>
                <w:color w:val="000000"/>
                <w:sz w:val="14"/>
                <w:szCs w:val="14"/>
              </w:rPr>
            </w:pPr>
            <w:bookmarkStart w:id="597" w:name="_Toc336338160"/>
            <w:bookmarkStart w:id="598" w:name="_Toc354054850"/>
            <w:r w:rsidRPr="00BB5519">
              <w:rPr>
                <w:rFonts w:ascii="Tahoma" w:hAnsi="Tahoma" w:cs="Tahoma"/>
                <w:b w:val="0"/>
                <w:sz w:val="14"/>
                <w:szCs w:val="14"/>
              </w:rPr>
              <w:t>CAL-Suite für Windows Small Business Server 2011 (20 Clients)</w:t>
            </w:r>
            <w:bookmarkEnd w:id="597"/>
            <w:bookmarkEnd w:id="598"/>
            <w:r w:rsidRPr="00BB5519">
              <w:rPr>
                <w:rFonts w:ascii="Tahoma" w:eastAsia="Times New Roman" w:hAnsi="Tahoma" w:cs="Tahoma"/>
                <w:b w:val="0"/>
                <w:sz w:val="14"/>
                <w:szCs w:val="14"/>
              </w:rPr>
              <w:t xml:space="preserve"> </w:t>
            </w:r>
          </w:p>
        </w:tc>
        <w:tc>
          <w:tcPr>
            <w:tcW w:w="630" w:type="dxa"/>
            <w:tcBorders>
              <w:bottom w:val="single" w:sz="4" w:space="0" w:color="auto"/>
            </w:tcBorders>
            <w:shd w:val="clear" w:color="auto" w:fill="auto"/>
            <w:vAlign w:val="center"/>
          </w:tcPr>
          <w:p w:rsidR="00A5643F" w:rsidRPr="00BB5519" w:rsidRDefault="005F5403" w:rsidP="006E7054">
            <w:pPr>
              <w:pStyle w:val="TableText"/>
              <w:widowControl w:val="0"/>
              <w:rPr>
                <w:rStyle w:val="EndnoteReference"/>
                <w:b w:val="0"/>
                <w:sz w:val="13"/>
                <w:szCs w:val="13"/>
                <w:u w:val="single"/>
              </w:rPr>
            </w:pPr>
            <w:hyperlink w:anchor="_119_Windows_Small" w:history="1">
              <w:r w:rsidR="008D45D0" w:rsidRPr="00B107DD">
                <w:rPr>
                  <w:rStyle w:val="Hyperlink"/>
                  <w:b/>
                  <w:sz w:val="13"/>
                  <w:szCs w:val="13"/>
                </w:rPr>
                <w:t>111</w:t>
              </w:r>
            </w:hyperlink>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b/>
                <w:color w:val="0000FF"/>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b/>
                <w:color w:val="0000FF"/>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25</w:t>
            </w:r>
          </w:p>
        </w:tc>
        <w:tc>
          <w:tcPr>
            <w:tcW w:w="450" w:type="dxa"/>
            <w:gridSpan w:val="2"/>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A5643F" w:rsidRPr="00BB5519" w:rsidRDefault="00A5643F" w:rsidP="00886719">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A5643F" w:rsidRPr="00BB5519" w:rsidRDefault="00A5643F" w:rsidP="00886719">
            <w:pPr>
              <w:pStyle w:val="TableText"/>
              <w:widowControl w:val="0"/>
              <w:rPr>
                <w:rFonts w:ascii="Tahoma" w:hAnsi="Tahoma" w:cs="Tahoma"/>
                <w:sz w:val="13"/>
              </w:rPr>
            </w:pPr>
            <w:r w:rsidRPr="00BB5519">
              <w:rPr>
                <w:rFonts w:ascii="Tahoma" w:hAnsi="Tahoma" w:cs="Tahoma"/>
                <w:color w:val="000000"/>
                <w:sz w:val="13"/>
              </w:rPr>
              <w:t>OL/OV</w:t>
            </w:r>
          </w:p>
        </w:tc>
      </w:tr>
      <w:tr w:rsidR="00A5643F" w:rsidRPr="00BB5519" w:rsidTr="004064E2">
        <w:trPr>
          <w:trHeight w:val="145"/>
        </w:trPr>
        <w:tc>
          <w:tcPr>
            <w:tcW w:w="2556" w:type="dxa"/>
            <w:tcBorders>
              <w:bottom w:val="single" w:sz="4" w:space="0" w:color="auto"/>
            </w:tcBorders>
            <w:shd w:val="clear" w:color="auto" w:fill="FABF8F"/>
            <w:vAlign w:val="center"/>
          </w:tcPr>
          <w:p w:rsidR="00A5643F" w:rsidRPr="00BB5519" w:rsidRDefault="00A5643F" w:rsidP="002E5D03">
            <w:pPr>
              <w:pStyle w:val="Heading2"/>
              <w:spacing w:before="20" w:after="20"/>
              <w:ind w:left="0"/>
              <w:rPr>
                <w:rFonts w:ascii="Tahoma" w:hAnsi="Tahoma" w:cs="Tahoma"/>
                <w:b w:val="0"/>
                <w:sz w:val="14"/>
                <w:szCs w:val="14"/>
              </w:rPr>
            </w:pPr>
            <w:bookmarkStart w:id="599" w:name="_Toc336338161"/>
            <w:bookmarkStart w:id="600" w:name="_Toc354054851"/>
            <w:r w:rsidRPr="00BB5519">
              <w:rPr>
                <w:rFonts w:ascii="Tahoma" w:hAnsi="Tahoma" w:cs="Tahoma"/>
                <w:b w:val="0"/>
                <w:sz w:val="14"/>
                <w:szCs w:val="14"/>
              </w:rPr>
              <w:t>Add-On für Windows Small Business Server 2011 Premium (5 Clients)</w:t>
            </w:r>
            <w:bookmarkEnd w:id="599"/>
            <w:bookmarkEnd w:id="600"/>
          </w:p>
        </w:tc>
        <w:tc>
          <w:tcPr>
            <w:tcW w:w="630" w:type="dxa"/>
            <w:tcBorders>
              <w:bottom w:val="single" w:sz="4" w:space="0" w:color="auto"/>
            </w:tcBorders>
            <w:shd w:val="clear" w:color="auto" w:fill="FABF8F"/>
            <w:vAlign w:val="center"/>
          </w:tcPr>
          <w:p w:rsidR="00A5643F" w:rsidRPr="00BB5519" w:rsidRDefault="005F5403" w:rsidP="006E7054">
            <w:pPr>
              <w:pStyle w:val="TableText"/>
              <w:widowControl w:val="0"/>
              <w:rPr>
                <w:rStyle w:val="EndnoteReference"/>
                <w:rFonts w:cs="Tahoma"/>
                <w:b w:val="0"/>
                <w:color w:val="0000FF"/>
                <w:sz w:val="13"/>
                <w:szCs w:val="13"/>
                <w:u w:val="single"/>
              </w:rPr>
            </w:pPr>
            <w:hyperlink w:anchor="_122_Windows_Small" w:history="1">
              <w:r w:rsidR="00955428" w:rsidRPr="00BB5519">
                <w:rPr>
                  <w:rStyle w:val="Hyperlink"/>
                  <w:b/>
                  <w:sz w:val="13"/>
                  <w:szCs w:val="13"/>
                </w:rPr>
                <w:t>11</w:t>
              </w:r>
            </w:hyperlink>
            <w:r w:rsidR="00955428" w:rsidRPr="00BB5519">
              <w:rPr>
                <w:rStyle w:val="Hyperlink"/>
                <w:b/>
                <w:sz w:val="13"/>
                <w:szCs w:val="13"/>
              </w:rPr>
              <w:t>2</w:t>
            </w:r>
          </w:p>
        </w:tc>
        <w:tc>
          <w:tcPr>
            <w:tcW w:w="450" w:type="dxa"/>
            <w:tcBorders>
              <w:bottom w:val="single" w:sz="4" w:space="0" w:color="auto"/>
            </w:tcBorders>
            <w:shd w:val="clear" w:color="auto" w:fill="FABF8F"/>
          </w:tcPr>
          <w:p w:rsidR="00A5643F" w:rsidRPr="00BB5519" w:rsidRDefault="00A5643F" w:rsidP="00F97D54">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w:t>
            </w:r>
          </w:p>
        </w:tc>
        <w:tc>
          <w:tcPr>
            <w:tcW w:w="450" w:type="dxa"/>
            <w:gridSpan w:val="2"/>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OL/OV</w:t>
            </w:r>
          </w:p>
        </w:tc>
      </w:tr>
      <w:tr w:rsidR="00A5643F" w:rsidRPr="00BB5519" w:rsidTr="004064E2">
        <w:trPr>
          <w:trHeight w:val="145"/>
        </w:trPr>
        <w:tc>
          <w:tcPr>
            <w:tcW w:w="2556" w:type="dxa"/>
            <w:tcBorders>
              <w:bottom w:val="single" w:sz="4" w:space="0" w:color="auto"/>
            </w:tcBorders>
            <w:shd w:val="clear" w:color="auto" w:fill="auto"/>
            <w:vAlign w:val="center"/>
          </w:tcPr>
          <w:p w:rsidR="00A5643F" w:rsidRPr="00BB5519" w:rsidRDefault="00A5643F" w:rsidP="002E5D03">
            <w:pPr>
              <w:pStyle w:val="Heading2"/>
              <w:spacing w:before="20" w:after="20"/>
              <w:ind w:left="0"/>
              <w:rPr>
                <w:rFonts w:ascii="Tahoma" w:hAnsi="Tahoma" w:cs="Tahoma"/>
                <w:b w:val="0"/>
                <w:sz w:val="14"/>
                <w:szCs w:val="14"/>
              </w:rPr>
            </w:pPr>
            <w:bookmarkStart w:id="601" w:name="_Toc336338162"/>
            <w:bookmarkStart w:id="602" w:name="_Toc354054852"/>
            <w:r w:rsidRPr="00BB5519">
              <w:rPr>
                <w:rFonts w:ascii="Tahoma" w:hAnsi="Tahoma" w:cs="Tahoma"/>
                <w:b w:val="0"/>
                <w:sz w:val="14"/>
                <w:szCs w:val="14"/>
              </w:rPr>
              <w:t>Add-On CAL Suite für Windows Small Business Server 2011 Premium</w:t>
            </w:r>
            <w:bookmarkEnd w:id="601"/>
            <w:bookmarkEnd w:id="602"/>
            <w:r w:rsidRPr="00BB5519">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A5643F" w:rsidRPr="00BB5519" w:rsidRDefault="005F5403" w:rsidP="006E7054">
            <w:pPr>
              <w:pStyle w:val="TableText"/>
              <w:widowControl w:val="0"/>
              <w:rPr>
                <w:b/>
                <w:sz w:val="13"/>
                <w:szCs w:val="13"/>
                <w:u w:val="single"/>
              </w:rPr>
            </w:pPr>
            <w:hyperlink w:anchor="_113_Windows_Small" w:history="1">
              <w:r w:rsidR="00B107DD" w:rsidRPr="00B107DD">
                <w:rPr>
                  <w:rStyle w:val="Hyperlink"/>
                  <w:b/>
                  <w:sz w:val="13"/>
                  <w:szCs w:val="13"/>
                </w:rPr>
                <w:t>113</w:t>
              </w:r>
            </w:hyperlink>
          </w:p>
        </w:tc>
        <w:tc>
          <w:tcPr>
            <w:tcW w:w="450" w:type="dxa"/>
            <w:tcBorders>
              <w:bottom w:val="single" w:sz="4" w:space="0" w:color="auto"/>
            </w:tcBorders>
            <w:shd w:val="clear" w:color="auto" w:fill="auto"/>
          </w:tcPr>
          <w:p w:rsidR="00A5643F" w:rsidRPr="00BB5519" w:rsidRDefault="00A5643F">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B5519" w:rsidRDefault="00A5643F">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B5519"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B5519"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B5519" w:rsidRDefault="00A5643F">
            <w:pPr>
              <w:pStyle w:val="TableText"/>
              <w:widowControl w:val="0"/>
              <w:rPr>
                <w:rFonts w:ascii="Tahoma" w:hAnsi="Tahoma" w:cs="Tahoma"/>
                <w:b/>
                <w:color w:val="0000FF"/>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pPr>
              <w:pStyle w:val="TableText"/>
              <w:widowControl w:val="0"/>
              <w:rPr>
                <w:rFonts w:ascii="Tahoma" w:hAnsi="Tahoma" w:cs="Tahoma"/>
                <w:b/>
                <w:color w:val="0000FF"/>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pPr>
              <w:pStyle w:val="TableText"/>
              <w:widowControl w:val="0"/>
              <w:rPr>
                <w:rFonts w:ascii="Tahoma" w:hAnsi="Tahoma" w:cs="Tahoma"/>
                <w:sz w:val="13"/>
              </w:rPr>
            </w:pPr>
            <w:r w:rsidRPr="00BB5519">
              <w:rPr>
                <w:rFonts w:ascii="Tahoma" w:hAnsi="Tahoma" w:cs="Tahoma"/>
                <w:sz w:val="13"/>
              </w:rPr>
              <w:t>1</w:t>
            </w:r>
          </w:p>
        </w:tc>
        <w:tc>
          <w:tcPr>
            <w:tcW w:w="450" w:type="dxa"/>
            <w:gridSpan w:val="2"/>
            <w:tcBorders>
              <w:bottom w:val="single" w:sz="4" w:space="0" w:color="auto"/>
            </w:tcBorders>
            <w:shd w:val="clear" w:color="auto" w:fill="auto"/>
            <w:vAlign w:val="center"/>
          </w:tcPr>
          <w:p w:rsidR="00A5643F" w:rsidRPr="00BB5519" w:rsidRDefault="00A5643F">
            <w:pPr>
              <w:pStyle w:val="TableText"/>
              <w:widowControl w:val="0"/>
              <w:rPr>
                <w:rFonts w:ascii="Tahoma" w:hAnsi="Tahoma" w:cs="Tahoma"/>
                <w:sz w:val="13"/>
              </w:rPr>
            </w:pPr>
            <w:r w:rsidRPr="00BB551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BB5519" w:rsidRDefault="00A5643F">
            <w:pPr>
              <w:pStyle w:val="TableText"/>
              <w:widowControl w:val="0"/>
              <w:rPr>
                <w:rFonts w:ascii="Tahoma" w:hAnsi="Tahoma" w:cs="Tahoma"/>
                <w:sz w:val="13"/>
              </w:rPr>
            </w:pPr>
            <w:r w:rsidRPr="00BB551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BB5519" w:rsidRDefault="00A5643F">
            <w:pPr>
              <w:pStyle w:val="TableText"/>
              <w:widowControl w:val="0"/>
              <w:rPr>
                <w:rFonts w:ascii="Tahoma" w:hAnsi="Tahoma" w:cs="Tahoma"/>
                <w:sz w:val="13"/>
              </w:rPr>
            </w:pPr>
            <w:r w:rsidRPr="00BB551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BB5519"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B5519" w:rsidRDefault="00A5643F">
            <w:pPr>
              <w:pStyle w:val="TableText"/>
              <w:widowControl w:val="0"/>
              <w:rPr>
                <w:rFonts w:ascii="Tahoma" w:hAnsi="Tahoma" w:cs="Tahoma"/>
                <w:sz w:val="13"/>
              </w:rPr>
            </w:pPr>
            <w:r w:rsidRPr="00BB5519">
              <w:rPr>
                <w:rFonts w:ascii="Tahoma" w:hAnsi="Tahoma" w:cs="Tahoma"/>
                <w:sz w:val="13"/>
              </w:rPr>
              <w:t>E, P</w:t>
            </w:r>
          </w:p>
        </w:tc>
        <w:tc>
          <w:tcPr>
            <w:tcW w:w="540" w:type="dxa"/>
            <w:tcBorders>
              <w:bottom w:val="single" w:sz="4" w:space="0" w:color="auto"/>
            </w:tcBorders>
            <w:shd w:val="clear" w:color="auto" w:fill="auto"/>
          </w:tcPr>
          <w:p w:rsidR="00A5643F" w:rsidRPr="00BB5519" w:rsidRDefault="00A5643F">
            <w:pPr>
              <w:pStyle w:val="TableText"/>
              <w:widowControl w:val="0"/>
              <w:rPr>
                <w:rFonts w:ascii="Tahoma" w:hAnsi="Tahoma" w:cs="Tahoma"/>
                <w:sz w:val="13"/>
              </w:rPr>
            </w:pPr>
            <w:r w:rsidRPr="00BB5519">
              <w:rPr>
                <w:rFonts w:ascii="Tahoma" w:hAnsi="Tahoma" w:cs="Tahoma"/>
                <w:sz w:val="13"/>
              </w:rPr>
              <w:t>A, ST</w:t>
            </w:r>
          </w:p>
        </w:tc>
        <w:tc>
          <w:tcPr>
            <w:tcW w:w="450" w:type="dxa"/>
            <w:tcBorders>
              <w:bottom w:val="single" w:sz="4" w:space="0" w:color="auto"/>
            </w:tcBorders>
            <w:shd w:val="clear" w:color="auto" w:fill="auto"/>
            <w:vAlign w:val="center"/>
          </w:tcPr>
          <w:p w:rsidR="00A5643F" w:rsidRPr="00BB5519" w:rsidRDefault="00A5643F">
            <w:pPr>
              <w:pStyle w:val="TableText"/>
              <w:widowControl w:val="0"/>
              <w:rPr>
                <w:rFonts w:ascii="Tahoma" w:hAnsi="Tahoma" w:cs="Tahoma"/>
                <w:sz w:val="13"/>
              </w:rPr>
            </w:pPr>
          </w:p>
        </w:tc>
      </w:tr>
      <w:tr w:rsidR="00A5643F" w:rsidRPr="00BB5519" w:rsidTr="004064E2">
        <w:trPr>
          <w:trHeight w:val="145"/>
        </w:trPr>
        <w:tc>
          <w:tcPr>
            <w:tcW w:w="2556" w:type="dxa"/>
            <w:tcBorders>
              <w:bottom w:val="single" w:sz="4" w:space="0" w:color="auto"/>
            </w:tcBorders>
            <w:shd w:val="clear" w:color="auto" w:fill="FABF8F"/>
            <w:vAlign w:val="center"/>
          </w:tcPr>
          <w:p w:rsidR="00A5643F" w:rsidRPr="00BB5519" w:rsidRDefault="00A5643F" w:rsidP="002E5D03">
            <w:pPr>
              <w:pStyle w:val="Heading2"/>
              <w:spacing w:before="20" w:after="20"/>
              <w:ind w:left="0"/>
              <w:rPr>
                <w:rFonts w:ascii="Tahoma" w:hAnsi="Tahoma" w:cs="Tahoma"/>
                <w:b w:val="0"/>
                <w:sz w:val="14"/>
                <w:szCs w:val="14"/>
              </w:rPr>
            </w:pPr>
            <w:bookmarkStart w:id="603" w:name="_Toc336338163"/>
            <w:bookmarkStart w:id="604" w:name="_Toc354054853"/>
            <w:r w:rsidRPr="00BB5519">
              <w:rPr>
                <w:rFonts w:ascii="Tahoma" w:hAnsi="Tahoma" w:cs="Tahoma"/>
                <w:b w:val="0"/>
                <w:sz w:val="14"/>
                <w:szCs w:val="14"/>
              </w:rPr>
              <w:t xml:space="preserve">Add-On CAL Suite für Windows Small Business Server 2011 Premium </w:t>
            </w:r>
            <w:r w:rsidR="00C0225C">
              <w:rPr>
                <w:rFonts w:ascii="Tahoma" w:hAnsi="Tahoma" w:cs="Tahoma"/>
                <w:b w:val="0"/>
                <w:sz w:val="14"/>
                <w:szCs w:val="14"/>
              </w:rPr>
              <w:br/>
            </w:r>
            <w:r w:rsidRPr="00BB5519">
              <w:rPr>
                <w:rFonts w:ascii="Tahoma" w:hAnsi="Tahoma" w:cs="Tahoma"/>
                <w:b w:val="0"/>
                <w:sz w:val="14"/>
                <w:szCs w:val="14"/>
              </w:rPr>
              <w:t>(5 Clients)</w:t>
            </w:r>
            <w:bookmarkEnd w:id="603"/>
            <w:bookmarkEnd w:id="604"/>
          </w:p>
        </w:tc>
        <w:tc>
          <w:tcPr>
            <w:tcW w:w="630" w:type="dxa"/>
            <w:tcBorders>
              <w:bottom w:val="single" w:sz="4" w:space="0" w:color="auto"/>
            </w:tcBorders>
            <w:shd w:val="clear" w:color="auto" w:fill="FABF8F"/>
            <w:vAlign w:val="center"/>
          </w:tcPr>
          <w:p w:rsidR="00A5643F" w:rsidRPr="00BB5519" w:rsidRDefault="005F5403" w:rsidP="006E7054">
            <w:pPr>
              <w:pStyle w:val="TableText"/>
              <w:widowControl w:val="0"/>
              <w:rPr>
                <w:b/>
                <w:sz w:val="13"/>
                <w:szCs w:val="13"/>
                <w:u w:val="single"/>
              </w:rPr>
            </w:pPr>
            <w:hyperlink w:anchor="_113_Windows_Small" w:history="1">
              <w:r w:rsidR="00B107DD" w:rsidRPr="00B107DD">
                <w:rPr>
                  <w:rStyle w:val="Hyperlink"/>
                  <w:b/>
                  <w:sz w:val="13"/>
                  <w:szCs w:val="13"/>
                </w:rPr>
                <w:t>113</w:t>
              </w:r>
            </w:hyperlink>
          </w:p>
        </w:tc>
        <w:tc>
          <w:tcPr>
            <w:tcW w:w="450" w:type="dxa"/>
            <w:tcBorders>
              <w:bottom w:val="single" w:sz="4" w:space="0" w:color="auto"/>
            </w:tcBorders>
            <w:shd w:val="clear" w:color="auto" w:fill="FABF8F"/>
          </w:tcPr>
          <w:p w:rsidR="00A5643F" w:rsidRPr="00BB5519" w:rsidRDefault="00A5643F" w:rsidP="00F97D54">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w:t>
            </w:r>
          </w:p>
        </w:tc>
        <w:tc>
          <w:tcPr>
            <w:tcW w:w="450" w:type="dxa"/>
            <w:gridSpan w:val="2"/>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OL/OV</w:t>
            </w:r>
          </w:p>
        </w:tc>
      </w:tr>
      <w:tr w:rsidR="00A5643F" w:rsidRPr="00BB5519" w:rsidTr="004064E2">
        <w:trPr>
          <w:trHeight w:val="440"/>
        </w:trPr>
        <w:tc>
          <w:tcPr>
            <w:tcW w:w="2556" w:type="dxa"/>
            <w:tcBorders>
              <w:bottom w:val="single" w:sz="4" w:space="0" w:color="auto"/>
            </w:tcBorders>
            <w:shd w:val="clear" w:color="auto" w:fill="auto"/>
            <w:vAlign w:val="center"/>
          </w:tcPr>
          <w:p w:rsidR="00A5643F" w:rsidRPr="00BB5519" w:rsidRDefault="00A5643F" w:rsidP="00D15040">
            <w:pPr>
              <w:pStyle w:val="Heading2"/>
              <w:spacing w:before="20" w:after="20"/>
              <w:ind w:left="0"/>
              <w:rPr>
                <w:rFonts w:ascii="Tahoma" w:hAnsi="Tahoma" w:cs="Tahoma"/>
                <w:b w:val="0"/>
                <w:sz w:val="14"/>
                <w:szCs w:val="14"/>
              </w:rPr>
            </w:pPr>
            <w:bookmarkStart w:id="605" w:name="_Toc336338164"/>
            <w:bookmarkStart w:id="606" w:name="_Toc354054854"/>
            <w:r w:rsidRPr="00BB5519">
              <w:rPr>
                <w:rFonts w:ascii="Tahoma" w:hAnsi="Tahoma" w:cs="Tahoma"/>
                <w:b w:val="0"/>
                <w:sz w:val="14"/>
                <w:szCs w:val="14"/>
              </w:rPr>
              <w:t>Add-On CAL Suite für Windows Small Business Server 2011 Premium (20</w:t>
            </w:r>
            <w:r w:rsidR="00D15040">
              <w:rPr>
                <w:rFonts w:ascii="Tahoma" w:hAnsi="Tahoma" w:cs="Tahoma"/>
                <w:b w:val="0"/>
                <w:sz w:val="14"/>
                <w:szCs w:val="14"/>
              </w:rPr>
              <w:t> </w:t>
            </w:r>
            <w:r w:rsidRPr="00BB5519">
              <w:rPr>
                <w:rFonts w:ascii="Tahoma" w:hAnsi="Tahoma" w:cs="Tahoma"/>
                <w:b w:val="0"/>
                <w:sz w:val="14"/>
                <w:szCs w:val="14"/>
              </w:rPr>
              <w:t>Clients)</w:t>
            </w:r>
            <w:bookmarkEnd w:id="605"/>
            <w:bookmarkEnd w:id="606"/>
          </w:p>
        </w:tc>
        <w:tc>
          <w:tcPr>
            <w:tcW w:w="630" w:type="dxa"/>
            <w:tcBorders>
              <w:bottom w:val="single" w:sz="4" w:space="0" w:color="auto"/>
            </w:tcBorders>
            <w:shd w:val="clear" w:color="auto" w:fill="auto"/>
            <w:vAlign w:val="center"/>
          </w:tcPr>
          <w:p w:rsidR="00A5643F" w:rsidRPr="00BB5519" w:rsidRDefault="005F5403" w:rsidP="006E7054">
            <w:pPr>
              <w:pStyle w:val="TableText"/>
              <w:widowControl w:val="0"/>
              <w:rPr>
                <w:b/>
                <w:sz w:val="13"/>
                <w:szCs w:val="13"/>
                <w:u w:val="single"/>
              </w:rPr>
            </w:pPr>
            <w:hyperlink w:anchor="_113_Windows_Small" w:history="1">
              <w:r w:rsidR="00B107DD" w:rsidRPr="00B107DD">
                <w:rPr>
                  <w:rStyle w:val="Hyperlink"/>
                  <w:b/>
                  <w:sz w:val="13"/>
                  <w:szCs w:val="13"/>
                </w:rPr>
                <w:t>113</w:t>
              </w:r>
            </w:hyperlink>
          </w:p>
        </w:tc>
        <w:tc>
          <w:tcPr>
            <w:tcW w:w="450" w:type="dxa"/>
            <w:tcBorders>
              <w:bottom w:val="single" w:sz="4" w:space="0" w:color="auto"/>
            </w:tcBorders>
            <w:shd w:val="clear" w:color="auto" w:fill="auto"/>
          </w:tcPr>
          <w:p w:rsidR="00A5643F" w:rsidRPr="00BB5519" w:rsidRDefault="00A5643F" w:rsidP="00F97D54">
            <w:pPr>
              <w:pStyle w:val="TableText"/>
              <w:widowControl w:val="0"/>
              <w:spacing w:before="120"/>
              <w:rPr>
                <w:rFonts w:ascii="Tahoma" w:hAnsi="Tahoma" w:cs="Tahoma"/>
                <w:sz w:val="13"/>
              </w:rPr>
            </w:pPr>
            <w:r w:rsidRPr="00BB551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b/>
                <w:color w:val="0000FF"/>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b/>
                <w:color w:val="0000FF"/>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25</w:t>
            </w:r>
          </w:p>
        </w:tc>
        <w:tc>
          <w:tcPr>
            <w:tcW w:w="450" w:type="dxa"/>
            <w:gridSpan w:val="2"/>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auto"/>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color w:val="000000"/>
                <w:sz w:val="13"/>
              </w:rPr>
              <w:t>OL/OV</w:t>
            </w:r>
          </w:p>
        </w:tc>
      </w:tr>
      <w:tr w:rsidR="00A5643F" w:rsidRPr="00BB5519" w:rsidTr="004064E2">
        <w:trPr>
          <w:trHeight w:val="440"/>
        </w:trPr>
        <w:tc>
          <w:tcPr>
            <w:tcW w:w="2556" w:type="dxa"/>
            <w:tcBorders>
              <w:bottom w:val="single" w:sz="4" w:space="0" w:color="auto"/>
            </w:tcBorders>
            <w:shd w:val="clear" w:color="auto" w:fill="FABF8F"/>
            <w:vAlign w:val="center"/>
          </w:tcPr>
          <w:p w:rsidR="00A5643F" w:rsidRPr="00BB5519" w:rsidRDefault="00A5643F" w:rsidP="002E5D03">
            <w:pPr>
              <w:pStyle w:val="Heading2"/>
              <w:spacing w:before="20" w:after="20"/>
              <w:ind w:left="0"/>
              <w:rPr>
                <w:rFonts w:ascii="Tahoma" w:hAnsi="Tahoma" w:cs="Tahoma"/>
                <w:b w:val="0"/>
                <w:sz w:val="14"/>
                <w:szCs w:val="14"/>
              </w:rPr>
            </w:pPr>
            <w:bookmarkStart w:id="607" w:name="_Toc336338165"/>
            <w:bookmarkStart w:id="608" w:name="_Toc354054855"/>
            <w:r w:rsidRPr="00BB5519">
              <w:rPr>
                <w:rFonts w:ascii="Tahoma" w:hAnsi="Tahoma" w:cs="Tahoma"/>
                <w:b w:val="0"/>
                <w:sz w:val="14"/>
                <w:szCs w:val="14"/>
              </w:rPr>
              <w:t>Windows Server Essentials 2012</w:t>
            </w:r>
            <w:bookmarkEnd w:id="607"/>
            <w:bookmarkEnd w:id="608"/>
          </w:p>
        </w:tc>
        <w:tc>
          <w:tcPr>
            <w:tcW w:w="630" w:type="dxa"/>
            <w:tcBorders>
              <w:bottom w:val="single" w:sz="4" w:space="0" w:color="auto"/>
            </w:tcBorders>
            <w:shd w:val="clear" w:color="auto" w:fill="FABF8F"/>
            <w:vAlign w:val="center"/>
          </w:tcPr>
          <w:p w:rsidR="00A5643F" w:rsidRPr="00BB5519" w:rsidRDefault="00A5643F" w:rsidP="0059600B">
            <w:pPr>
              <w:pStyle w:val="TableText"/>
              <w:widowControl w:val="0"/>
              <w:rPr>
                <w:b/>
                <w:sz w:val="13"/>
                <w:szCs w:val="13"/>
                <w:u w:val="single"/>
              </w:rPr>
            </w:pPr>
          </w:p>
        </w:tc>
        <w:tc>
          <w:tcPr>
            <w:tcW w:w="450" w:type="dxa"/>
            <w:tcBorders>
              <w:bottom w:val="single" w:sz="4" w:space="0" w:color="auto"/>
            </w:tcBorders>
            <w:shd w:val="clear" w:color="auto" w:fill="FABF8F"/>
          </w:tcPr>
          <w:p w:rsidR="00A5643F" w:rsidRPr="00BB5519" w:rsidRDefault="00A5643F" w:rsidP="00F97D54">
            <w:pPr>
              <w:pStyle w:val="TableText"/>
              <w:widowControl w:val="0"/>
              <w:spacing w:before="120"/>
              <w:rPr>
                <w:rFonts w:ascii="Tahoma" w:hAnsi="Tahoma" w:cs="Tahoma"/>
                <w:sz w:val="13"/>
              </w:rPr>
            </w:pPr>
            <w:r w:rsidRPr="00BB5519">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b/>
                <w:color w:val="0000FF"/>
                <w:sz w:val="13"/>
              </w:rPr>
            </w:pPr>
          </w:p>
        </w:tc>
        <w:tc>
          <w:tcPr>
            <w:tcW w:w="36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w:t>
            </w:r>
          </w:p>
        </w:tc>
        <w:tc>
          <w:tcPr>
            <w:tcW w:w="450" w:type="dxa"/>
            <w:gridSpan w:val="2"/>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P</w:t>
            </w:r>
          </w:p>
        </w:tc>
        <w:tc>
          <w:tcPr>
            <w:tcW w:w="540" w:type="dxa"/>
            <w:tcBorders>
              <w:bottom w:val="single" w:sz="4" w:space="0" w:color="auto"/>
            </w:tcBorders>
            <w:shd w:val="clear" w:color="auto" w:fill="FABF8F"/>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FABF8F"/>
            <w:vAlign w:val="center"/>
          </w:tcPr>
          <w:p w:rsidR="00A5643F" w:rsidRPr="00BB5519" w:rsidRDefault="00A5643F" w:rsidP="00F97D54">
            <w:pPr>
              <w:pStyle w:val="TableText"/>
              <w:widowControl w:val="0"/>
              <w:rPr>
                <w:rFonts w:ascii="Tahoma" w:hAnsi="Tahoma" w:cs="Tahoma"/>
                <w:color w:val="000000"/>
                <w:sz w:val="13"/>
              </w:rPr>
            </w:pPr>
          </w:p>
        </w:tc>
      </w:tr>
      <w:tr w:rsidR="00A5643F" w:rsidRPr="00BB5519" w:rsidTr="004064E2">
        <w:trPr>
          <w:trHeight w:val="145"/>
        </w:trPr>
        <w:tc>
          <w:tcPr>
            <w:tcW w:w="2556" w:type="dxa"/>
            <w:shd w:val="clear" w:color="auto" w:fill="auto"/>
            <w:vAlign w:val="center"/>
          </w:tcPr>
          <w:p w:rsidR="00A5643F" w:rsidRPr="00BB5519" w:rsidRDefault="00A5643F" w:rsidP="002E5D03">
            <w:pPr>
              <w:pStyle w:val="Heading2"/>
              <w:spacing w:before="20" w:after="20"/>
              <w:ind w:left="0"/>
              <w:rPr>
                <w:rFonts w:ascii="Tahoma" w:hAnsi="Tahoma" w:cs="Tahoma"/>
                <w:b w:val="0"/>
                <w:sz w:val="14"/>
                <w:szCs w:val="14"/>
              </w:rPr>
            </w:pPr>
            <w:bookmarkStart w:id="609" w:name="_Toc336338166"/>
            <w:bookmarkStart w:id="610" w:name="_Toc354054856"/>
            <w:r w:rsidRPr="00BB5519">
              <w:rPr>
                <w:rFonts w:ascii="Tahoma" w:hAnsi="Tahoma" w:cs="Tahoma"/>
                <w:b w:val="0"/>
                <w:sz w:val="14"/>
                <w:szCs w:val="14"/>
              </w:rPr>
              <w:t>Windows Small Business Server 2011 Essentials</w:t>
            </w:r>
            <w:bookmarkEnd w:id="609"/>
            <w:bookmarkEnd w:id="610"/>
          </w:p>
        </w:tc>
        <w:tc>
          <w:tcPr>
            <w:tcW w:w="630" w:type="dxa"/>
            <w:shd w:val="clear" w:color="auto" w:fill="auto"/>
            <w:vAlign w:val="center"/>
          </w:tcPr>
          <w:p w:rsidR="00A5643F" w:rsidRPr="00BB5519" w:rsidRDefault="005F5403" w:rsidP="006E7054">
            <w:pPr>
              <w:pStyle w:val="TableText"/>
              <w:widowControl w:val="0"/>
              <w:rPr>
                <w:b/>
                <w:sz w:val="13"/>
                <w:szCs w:val="13"/>
                <w:u w:val="single"/>
              </w:rPr>
            </w:pPr>
            <w:hyperlink w:anchor="_124_Windows_Small" w:history="1">
              <w:r w:rsidR="00955428" w:rsidRPr="00BB5519">
                <w:rPr>
                  <w:rStyle w:val="Hyperlink"/>
                  <w:b/>
                  <w:sz w:val="13"/>
                  <w:szCs w:val="13"/>
                </w:rPr>
                <w:t>11</w:t>
              </w:r>
            </w:hyperlink>
            <w:r w:rsidR="00955428" w:rsidRPr="00BB5519">
              <w:rPr>
                <w:rStyle w:val="Hyperlink"/>
                <w:b/>
                <w:sz w:val="13"/>
                <w:szCs w:val="13"/>
              </w:rPr>
              <w:t>4</w:t>
            </w:r>
          </w:p>
        </w:tc>
        <w:tc>
          <w:tcPr>
            <w:tcW w:w="450" w:type="dxa"/>
            <w:shd w:val="clear" w:color="auto" w:fill="auto"/>
          </w:tcPr>
          <w:p w:rsidR="00A5643F" w:rsidRPr="00BB5519" w:rsidRDefault="00A5643F" w:rsidP="00F97D54">
            <w:pPr>
              <w:pStyle w:val="TableText"/>
              <w:widowControl w:val="0"/>
              <w:spacing w:before="120"/>
              <w:rPr>
                <w:rFonts w:ascii="Tahoma" w:hAnsi="Tahoma" w:cs="Tahoma"/>
                <w:sz w:val="13"/>
              </w:rPr>
            </w:pPr>
            <w:r w:rsidRPr="00BB5519">
              <w:rPr>
                <w:rFonts w:ascii="Tahoma" w:hAnsi="Tahoma" w:cs="Tahoma"/>
                <w:sz w:val="13"/>
              </w:rPr>
              <w:t>05/11</w:t>
            </w:r>
          </w:p>
        </w:tc>
        <w:tc>
          <w:tcPr>
            <w:tcW w:w="360" w:type="dxa"/>
            <w:tcBorders>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tcBorders>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360" w:type="dxa"/>
            <w:tcBorders>
              <w:left w:val="single" w:sz="18"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gridSpan w:val="2"/>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540" w:type="dxa"/>
            <w:shd w:val="clear" w:color="auto" w:fill="auto"/>
          </w:tcPr>
          <w:p w:rsidR="00A5643F" w:rsidRPr="00BB5519" w:rsidRDefault="00A5643F" w:rsidP="00E27A85">
            <w:pPr>
              <w:pStyle w:val="TableText"/>
              <w:widowControl w:val="0"/>
              <w:spacing w:before="60"/>
              <w:rPr>
                <w:rFonts w:ascii="Tahoma" w:hAnsi="Tahoma" w:cs="Tahoma"/>
                <w:sz w:val="13"/>
              </w:rPr>
            </w:pPr>
          </w:p>
        </w:tc>
        <w:tc>
          <w:tcPr>
            <w:tcW w:w="450" w:type="dxa"/>
            <w:shd w:val="clear" w:color="auto" w:fill="auto"/>
            <w:vAlign w:val="center"/>
          </w:tcPr>
          <w:p w:rsidR="00A5643F" w:rsidRPr="00BB5519" w:rsidRDefault="00A5643F" w:rsidP="00F97D54">
            <w:pPr>
              <w:pStyle w:val="TableText"/>
              <w:widowControl w:val="0"/>
              <w:rPr>
                <w:rFonts w:ascii="Tahoma" w:hAnsi="Tahoma" w:cs="Tahoma"/>
                <w:color w:val="000000"/>
                <w:sz w:val="13"/>
              </w:rPr>
            </w:pPr>
          </w:p>
        </w:tc>
      </w:tr>
      <w:tr w:rsidR="00CE1716" w:rsidRPr="00BB5519" w:rsidTr="004064E2">
        <w:trPr>
          <w:trHeight w:val="359"/>
        </w:trPr>
        <w:tc>
          <w:tcPr>
            <w:tcW w:w="2556" w:type="dxa"/>
            <w:tcBorders>
              <w:bottom w:val="single" w:sz="4" w:space="0" w:color="auto"/>
            </w:tcBorders>
            <w:shd w:val="clear" w:color="auto" w:fill="FABF8F"/>
            <w:vAlign w:val="center"/>
          </w:tcPr>
          <w:p w:rsidR="00CE1716" w:rsidRPr="00BB5519" w:rsidRDefault="00CE1716" w:rsidP="00E13599">
            <w:pPr>
              <w:pStyle w:val="Heading2"/>
              <w:keepNext/>
              <w:spacing w:before="20" w:after="20"/>
              <w:ind w:left="0"/>
              <w:rPr>
                <w:rFonts w:ascii="Tahoma" w:hAnsi="Tahoma" w:cs="Tahoma"/>
                <w:b w:val="0"/>
                <w:sz w:val="14"/>
                <w:szCs w:val="14"/>
              </w:rPr>
            </w:pPr>
            <w:bookmarkStart w:id="611" w:name="_Toc354054857"/>
            <w:r w:rsidRPr="00BB5519">
              <w:rPr>
                <w:rFonts w:ascii="Tahoma" w:hAnsi="Tahoma" w:cs="Tahoma"/>
                <w:b w:val="0"/>
                <w:sz w:val="14"/>
                <w:szCs w:val="14"/>
              </w:rPr>
              <w:t>Windows Web Server 2008 R2</w:t>
            </w:r>
            <w:bookmarkEnd w:id="611"/>
          </w:p>
        </w:tc>
        <w:tc>
          <w:tcPr>
            <w:tcW w:w="630" w:type="dxa"/>
            <w:tcBorders>
              <w:bottom w:val="single" w:sz="4" w:space="0" w:color="auto"/>
            </w:tcBorders>
            <w:shd w:val="clear" w:color="auto" w:fill="FABF8F"/>
            <w:vAlign w:val="center"/>
          </w:tcPr>
          <w:p w:rsidR="00CE1716" w:rsidRPr="00BB5519" w:rsidRDefault="005F5403" w:rsidP="00B107DD">
            <w:pPr>
              <w:pStyle w:val="TableText"/>
              <w:keepNext/>
              <w:widowControl w:val="0"/>
              <w:rPr>
                <w:rStyle w:val="EndnoteReference"/>
                <w:b w:val="0"/>
                <w:sz w:val="13"/>
                <w:szCs w:val="13"/>
                <w:u w:val="single"/>
              </w:rPr>
            </w:pPr>
            <w:hyperlink w:anchor="_124_Windows_Small_1" w:history="1">
              <w:r w:rsidR="00B107DD" w:rsidRPr="00BB5519">
                <w:rPr>
                  <w:rStyle w:val="Hyperlink"/>
                  <w:b/>
                  <w:sz w:val="13"/>
                  <w:szCs w:val="13"/>
                </w:rPr>
                <w:t>11</w:t>
              </w:r>
            </w:hyperlink>
            <w:r w:rsidR="00B107DD">
              <w:rPr>
                <w:rStyle w:val="Hyperlink"/>
                <w:b/>
                <w:sz w:val="13"/>
                <w:szCs w:val="13"/>
              </w:rPr>
              <w:t>5</w:t>
            </w:r>
          </w:p>
        </w:tc>
        <w:tc>
          <w:tcPr>
            <w:tcW w:w="450" w:type="dxa"/>
            <w:tcBorders>
              <w:bottom w:val="single" w:sz="4" w:space="0" w:color="auto"/>
            </w:tcBorders>
            <w:shd w:val="clear" w:color="auto" w:fill="FABF8F"/>
            <w:vAlign w:val="center"/>
          </w:tcPr>
          <w:p w:rsidR="00CE1716" w:rsidRPr="00BB5519" w:rsidRDefault="00CE1716" w:rsidP="00E13599">
            <w:pPr>
              <w:pStyle w:val="TableText"/>
              <w:keepNext/>
              <w:widowControl w:val="0"/>
              <w:spacing w:before="120"/>
              <w:rPr>
                <w:rFonts w:ascii="Tahoma" w:hAnsi="Tahoma" w:cs="Tahoma"/>
                <w:color w:val="000000"/>
                <w:sz w:val="13"/>
              </w:rPr>
            </w:pPr>
            <w:r w:rsidRPr="00BB5519">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BB5519" w:rsidRDefault="00CE1716" w:rsidP="00E13599">
            <w:pPr>
              <w:pStyle w:val="TableText"/>
              <w:keepNext/>
              <w:widowControl w:val="0"/>
              <w:rPr>
                <w:rFonts w:ascii="Tahoma" w:hAnsi="Tahoma" w:cs="Tahoma"/>
                <w:color w:val="000000"/>
                <w:sz w:val="13"/>
              </w:rPr>
            </w:pPr>
            <w:r w:rsidRPr="00BB551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BB5519" w:rsidRDefault="00CE1716" w:rsidP="00E13599">
            <w:pPr>
              <w:pStyle w:val="TableText"/>
              <w:keepNext/>
              <w:widowControl w:val="0"/>
              <w:rPr>
                <w:rFonts w:ascii="Tahoma" w:hAnsi="Tahoma" w:cs="Tahoma"/>
                <w:sz w:val="13"/>
              </w:rPr>
            </w:pPr>
          </w:p>
        </w:tc>
        <w:tc>
          <w:tcPr>
            <w:tcW w:w="540" w:type="dxa"/>
            <w:tcBorders>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CE1716" w:rsidRPr="00BB5519" w:rsidRDefault="00CE1716" w:rsidP="00E13599">
            <w:pPr>
              <w:pStyle w:val="TableText"/>
              <w:keepNext/>
              <w:widowControl w:val="0"/>
              <w:rPr>
                <w:rFonts w:ascii="Tahoma" w:hAnsi="Tahoma" w:cs="Tahoma"/>
                <w:color w:val="000000"/>
                <w:sz w:val="13"/>
              </w:rPr>
            </w:pPr>
          </w:p>
        </w:tc>
      </w:tr>
      <w:tr w:rsidR="00A5643F" w:rsidRPr="00BB5519" w:rsidTr="004064E2">
        <w:trPr>
          <w:trHeight w:val="145"/>
        </w:trPr>
        <w:tc>
          <w:tcPr>
            <w:tcW w:w="2556" w:type="dxa"/>
            <w:tcBorders>
              <w:bottom w:val="single" w:sz="4" w:space="0" w:color="auto"/>
            </w:tcBorders>
            <w:shd w:val="clear" w:color="auto" w:fill="auto"/>
            <w:vAlign w:val="center"/>
          </w:tcPr>
          <w:p w:rsidR="00A5643F" w:rsidRPr="00BB5519" w:rsidRDefault="00A5643F" w:rsidP="002E5D03">
            <w:pPr>
              <w:pStyle w:val="Heading2"/>
              <w:spacing w:before="20" w:after="20"/>
              <w:ind w:left="0"/>
              <w:rPr>
                <w:rFonts w:ascii="Tahoma" w:hAnsi="Tahoma" w:cs="Tahoma"/>
                <w:b w:val="0"/>
                <w:sz w:val="14"/>
                <w:szCs w:val="14"/>
              </w:rPr>
            </w:pPr>
            <w:bookmarkStart w:id="612" w:name="_Toc354054858"/>
            <w:r w:rsidRPr="00BB5519">
              <w:rPr>
                <w:rFonts w:ascii="Tahoma" w:hAnsi="Tahoma" w:cs="Tahoma"/>
                <w:b w:val="0"/>
                <w:sz w:val="14"/>
                <w:szCs w:val="14"/>
              </w:rPr>
              <w:t>Yammer Enterprise</w:t>
            </w:r>
            <w:bookmarkEnd w:id="612"/>
          </w:p>
        </w:tc>
        <w:tc>
          <w:tcPr>
            <w:tcW w:w="630" w:type="dxa"/>
            <w:tcBorders>
              <w:bottom w:val="single" w:sz="4" w:space="0" w:color="auto"/>
            </w:tcBorders>
            <w:shd w:val="clear" w:color="auto" w:fill="auto"/>
            <w:vAlign w:val="center"/>
          </w:tcPr>
          <w:p w:rsidR="00A5643F" w:rsidRPr="00BB5519" w:rsidRDefault="00A5643F" w:rsidP="00370049">
            <w:pPr>
              <w:pStyle w:val="TableText"/>
              <w:widowControl w:val="0"/>
              <w:rPr>
                <w:b/>
                <w:sz w:val="13"/>
                <w:szCs w:val="13"/>
              </w:rPr>
            </w:pPr>
          </w:p>
        </w:tc>
        <w:tc>
          <w:tcPr>
            <w:tcW w:w="450" w:type="dxa"/>
            <w:tcBorders>
              <w:bottom w:val="single" w:sz="4" w:space="0" w:color="auto"/>
            </w:tcBorders>
            <w:shd w:val="clear" w:color="auto" w:fill="auto"/>
          </w:tcPr>
          <w:p w:rsidR="00A5643F" w:rsidRPr="00BB5519" w:rsidRDefault="00A5643F" w:rsidP="00F97D54">
            <w:pPr>
              <w:pStyle w:val="TableText"/>
              <w:widowControl w:val="0"/>
              <w:spacing w:before="120"/>
              <w:rPr>
                <w:rFonts w:ascii="Tahoma" w:hAnsi="Tahoma" w:cs="Tahoma"/>
                <w:sz w:val="13"/>
              </w:rPr>
            </w:pPr>
            <w:r w:rsidRPr="00BB5519">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r w:rsidRPr="00BB551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BB5519" w:rsidRDefault="00A5643F" w:rsidP="00F97D54">
            <w:pPr>
              <w:pStyle w:val="TableText"/>
              <w:widowControl w:val="0"/>
              <w:rPr>
                <w:rFonts w:ascii="Tahoma" w:hAnsi="Tahoma" w:cs="Tahoma"/>
                <w:sz w:val="13"/>
              </w:rPr>
            </w:pPr>
          </w:p>
        </w:tc>
        <w:tc>
          <w:tcPr>
            <w:tcW w:w="540" w:type="dxa"/>
            <w:tcBorders>
              <w:bottom w:val="single" w:sz="4" w:space="0" w:color="auto"/>
            </w:tcBorders>
            <w:shd w:val="clear" w:color="auto" w:fill="auto"/>
          </w:tcPr>
          <w:p w:rsidR="00A5643F" w:rsidRPr="00BB5519" w:rsidRDefault="00A5643F" w:rsidP="00E27A85">
            <w:pPr>
              <w:pStyle w:val="TableText"/>
              <w:widowControl w:val="0"/>
              <w:spacing w:before="60"/>
              <w:rPr>
                <w:rFonts w:ascii="Tahoma" w:hAnsi="Tahoma" w:cs="Tahoma"/>
                <w:sz w:val="13"/>
              </w:rPr>
            </w:pPr>
            <w:r w:rsidRPr="00BB5519">
              <w:rPr>
                <w:rFonts w:ascii="Tahoma" w:hAnsi="Tahoma" w:cs="Tahoma"/>
                <w:sz w:val="13"/>
              </w:rPr>
              <w:t>A</w:t>
            </w:r>
          </w:p>
        </w:tc>
        <w:tc>
          <w:tcPr>
            <w:tcW w:w="450" w:type="dxa"/>
            <w:tcBorders>
              <w:bottom w:val="single" w:sz="4" w:space="0" w:color="auto"/>
            </w:tcBorders>
            <w:shd w:val="clear" w:color="auto" w:fill="auto"/>
            <w:vAlign w:val="center"/>
          </w:tcPr>
          <w:p w:rsidR="00A5643F" w:rsidRPr="00BB5519" w:rsidRDefault="00A5643F" w:rsidP="00F97D54">
            <w:pPr>
              <w:pStyle w:val="TableText"/>
              <w:widowControl w:val="0"/>
              <w:rPr>
                <w:rFonts w:ascii="Tahoma" w:hAnsi="Tahoma" w:cs="Tahoma"/>
                <w:color w:val="000000"/>
                <w:sz w:val="13"/>
              </w:rPr>
            </w:pPr>
          </w:p>
        </w:tc>
      </w:tr>
    </w:tbl>
    <w:p w:rsidR="00612FCC" w:rsidRPr="00BB5519" w:rsidRDefault="00360586" w:rsidP="00B0065F">
      <w:pPr>
        <w:pStyle w:val="Heading1"/>
      </w:pPr>
      <w:bookmarkStart w:id="613" w:name="_Toc349586123"/>
      <w:bookmarkStart w:id="614" w:name="_Toc349586654"/>
      <w:bookmarkStart w:id="615" w:name="_Toc353463989"/>
      <w:bookmarkStart w:id="616" w:name="_Toc353464526"/>
      <w:bookmarkStart w:id="617" w:name="_Toc353471262"/>
      <w:bookmarkStart w:id="618" w:name="_Toc353471799"/>
      <w:bookmarkStart w:id="619" w:name="_Toc354044538"/>
      <w:bookmarkStart w:id="620" w:name="_Toc354054859"/>
      <w:bookmarkStart w:id="621" w:name="_Toc336338167"/>
      <w:r>
        <w:rPr>
          <w:noProof/>
          <w:sz w:val="14"/>
        </w:rPr>
        <mc:AlternateContent>
          <mc:Choice Requires="wps">
            <w:drawing>
              <wp:anchor distT="0" distB="0" distL="114300" distR="114300" simplePos="0" relativeHeight="251656704" behindDoc="0" locked="0" layoutInCell="1" allowOverlap="1" wp14:anchorId="21558BA3" wp14:editId="69DA9FD7">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10A2" w:rsidRPr="009E4976" w:rsidRDefault="006B10A2" w:rsidP="00C8780F">
                            <w:pPr>
                              <w:rPr>
                                <w:rFonts w:cs="Tahoma"/>
                                <w:i/>
                                <w:color w:val="000000"/>
                                <w:sz w:val="14"/>
                                <w:szCs w:val="14"/>
                                <w:lang w:val="de-DE"/>
                              </w:rPr>
                            </w:pPr>
                            <w:r w:rsidRPr="009E4976">
                              <w:rPr>
                                <w:rFonts w:cs="Tahoma"/>
                                <w:i/>
                                <w:color w:val="000000"/>
                                <w:sz w:val="14"/>
                                <w:szCs w:val="14"/>
                                <w:lang w:val="de-DE"/>
                              </w:rPr>
                              <w:t>Anmerkung: Wenn die Zelle für das Produkt leer ist, wird das Produkt derzeit nicht im Rahmen des Programms angeboten.</w:t>
                            </w:r>
                          </w:p>
                          <w:p w:rsidR="006B10A2" w:rsidRPr="009E4976" w:rsidRDefault="006B10A2" w:rsidP="00C8780F">
                            <w:pPr>
                              <w:rPr>
                                <w:rFonts w:cs="Tahoma"/>
                                <w:i/>
                                <w:color w:val="000000"/>
                                <w:sz w:val="14"/>
                                <w:szCs w:val="14"/>
                                <w:lang w:val="de-DE"/>
                              </w:rPr>
                            </w:pPr>
                            <w:r w:rsidRPr="009E4976">
                              <w:rPr>
                                <w:rFonts w:cs="Tahoma"/>
                                <w:i/>
                                <w:color w:val="000000"/>
                                <w:sz w:val="14"/>
                                <w:szCs w:val="14"/>
                                <w:lang w:val="de-DE"/>
                              </w:rPr>
                              <w:t>*Bei Select Plus werden nur die Werte „L“ und die Dreijahreswerte für „L&amp;SA“/„SA“ verwendet.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58BA3"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6B10A2" w:rsidRPr="009E4976" w:rsidRDefault="006B10A2" w:rsidP="00C8780F">
                      <w:pPr>
                        <w:rPr>
                          <w:rFonts w:cs="Tahoma"/>
                          <w:i/>
                          <w:color w:val="000000"/>
                          <w:sz w:val="14"/>
                          <w:szCs w:val="14"/>
                          <w:lang w:val="de-DE"/>
                        </w:rPr>
                      </w:pPr>
                      <w:r w:rsidRPr="009E4976">
                        <w:rPr>
                          <w:rFonts w:cs="Tahoma"/>
                          <w:i/>
                          <w:color w:val="000000"/>
                          <w:sz w:val="14"/>
                          <w:szCs w:val="14"/>
                          <w:lang w:val="de-DE"/>
                        </w:rPr>
                        <w:t>Anmerkung: Wenn die Zelle für das Produkt leer ist, wird das Produkt derzeit nicht im Rahmen des Programms angeboten.</w:t>
                      </w:r>
                    </w:p>
                    <w:p w:rsidR="006B10A2" w:rsidRPr="009E4976" w:rsidRDefault="006B10A2" w:rsidP="00C8780F">
                      <w:pPr>
                        <w:rPr>
                          <w:rFonts w:cs="Tahoma"/>
                          <w:i/>
                          <w:color w:val="000000"/>
                          <w:sz w:val="14"/>
                          <w:szCs w:val="14"/>
                          <w:lang w:val="de-DE"/>
                        </w:rPr>
                      </w:pPr>
                      <w:r w:rsidRPr="009E4976">
                        <w:rPr>
                          <w:rFonts w:cs="Tahoma"/>
                          <w:i/>
                          <w:color w:val="000000"/>
                          <w:sz w:val="14"/>
                          <w:szCs w:val="14"/>
                          <w:lang w:val="de-DE"/>
                        </w:rPr>
                        <w:t>*Bei Select Plus werden nur die Werte „L“ und die Dreijahreswerte für „L&amp;SA“/„SA“ verwendet.</w:t>
                      </w:r>
                    </w:p>
                  </w:txbxContent>
                </v:textbox>
                <w10:wrap type="topAndBottom"/>
              </v:shape>
            </w:pict>
          </mc:Fallback>
        </mc:AlternateContent>
      </w:r>
      <w:bookmarkEnd w:id="613"/>
      <w:bookmarkEnd w:id="614"/>
      <w:bookmarkEnd w:id="615"/>
      <w:bookmarkEnd w:id="616"/>
      <w:bookmarkEnd w:id="617"/>
      <w:bookmarkEnd w:id="618"/>
      <w:bookmarkEnd w:id="619"/>
      <w:bookmarkEnd w:id="620"/>
      <w:r w:rsidR="00955428" w:rsidRPr="00BB5519">
        <w:br w:type="page"/>
      </w:r>
    </w:p>
    <w:p w:rsidR="00023FE7" w:rsidRPr="00621662" w:rsidRDefault="00A33112" w:rsidP="00B0065F">
      <w:pPr>
        <w:pStyle w:val="Heading1"/>
        <w:rPr>
          <w:lang w:val="de-DE"/>
        </w:rPr>
      </w:pPr>
      <w:bookmarkStart w:id="622" w:name="_Toc349586124"/>
      <w:bookmarkStart w:id="623" w:name="_Toc354054860"/>
      <w:r w:rsidRPr="00621662">
        <w:rPr>
          <w:lang w:val="de-DE"/>
        </w:rPr>
        <w:lastRenderedPageBreak/>
        <w:t>ABSCHNITT 1 – Änderungen an der PRODUKTLISTE während der</w:t>
      </w:r>
      <w:bookmarkEnd w:id="622"/>
      <w:r w:rsidRPr="00621662">
        <w:rPr>
          <w:lang w:val="de-DE"/>
        </w:rPr>
        <w:t xml:space="preserve"> letzten 12 Monate</w:t>
      </w:r>
      <w:bookmarkEnd w:id="621"/>
      <w:bookmarkEnd w:id="623"/>
    </w:p>
    <w:p w:rsidR="00BB5519" w:rsidRPr="00621662" w:rsidRDefault="00BB5519" w:rsidP="00BB5519">
      <w:pPr>
        <w:pStyle w:val="Heading2"/>
        <w:ind w:left="0"/>
        <w:jc w:val="both"/>
        <w:rPr>
          <w:rFonts w:ascii="Tahoma" w:hAnsi="Tahoma" w:cs="Tahoma"/>
          <w:color w:val="FF6600"/>
          <w:lang w:val="de-DE"/>
        </w:rPr>
      </w:pPr>
      <w:bookmarkStart w:id="624" w:name="_Toc336338168"/>
    </w:p>
    <w:p w:rsidR="00290FC1" w:rsidRPr="00621662" w:rsidRDefault="00290FC1" w:rsidP="00B65F35">
      <w:pPr>
        <w:pStyle w:val="Heading2"/>
        <w:ind w:left="0"/>
        <w:jc w:val="both"/>
        <w:rPr>
          <w:rFonts w:ascii="Tahoma" w:hAnsi="Tahoma" w:cs="Tahoma"/>
          <w:color w:val="FF6600"/>
          <w:lang w:val="de-DE"/>
        </w:rPr>
      </w:pPr>
      <w:bookmarkStart w:id="625" w:name="_Toc354054861"/>
      <w:r w:rsidRPr="00621662">
        <w:rPr>
          <w:rFonts w:ascii="Tahoma" w:hAnsi="Tahoma" w:cs="Tahoma"/>
          <w:color w:val="FF6600"/>
          <w:lang w:val="de-DE"/>
        </w:rPr>
        <w:t>ÄNDERUNGEN IM MAI 2013</w:t>
      </w:r>
      <w:bookmarkEnd w:id="625"/>
    </w:p>
    <w:p w:rsidR="00BB5519" w:rsidRPr="00621662" w:rsidRDefault="00BB5519" w:rsidP="00BB5519">
      <w:pPr>
        <w:pStyle w:val="Heading2"/>
        <w:ind w:left="0"/>
        <w:jc w:val="both"/>
        <w:rPr>
          <w:rFonts w:ascii="Tahoma" w:hAnsi="Tahoma" w:cs="Tahoma"/>
          <w:color w:val="FF6600"/>
          <w:lang w:val="de-DE"/>
        </w:rPr>
      </w:pPr>
    </w:p>
    <w:p w:rsidR="00290FC1" w:rsidRPr="00621662" w:rsidRDefault="00290FC1" w:rsidP="00290FC1">
      <w:pPr>
        <w:spacing w:after="60"/>
        <w:rPr>
          <w:b/>
          <w:lang w:val="de-DE"/>
        </w:rPr>
      </w:pPr>
      <w:r w:rsidRPr="00621662">
        <w:rPr>
          <w:b/>
          <w:lang w:val="de-DE"/>
        </w:rPr>
        <w:t>Hinzufügungen</w:t>
      </w:r>
    </w:p>
    <w:p w:rsidR="007E2DBF" w:rsidRPr="00BB5519" w:rsidRDefault="007E2DBF" w:rsidP="007E2DBF">
      <w:pPr>
        <w:rPr>
          <w:lang w:val="de-DE"/>
        </w:rPr>
      </w:pPr>
      <w:r w:rsidRPr="00BB5519">
        <w:rPr>
          <w:lang w:val="de-DE"/>
        </w:rPr>
        <w:t>Learning Solutions MCP 30 Prüfungsgutscheine (Nutzer-AL)</w:t>
      </w:r>
    </w:p>
    <w:p w:rsidR="007E2DBF" w:rsidRPr="00BB5519" w:rsidRDefault="007E2DBF" w:rsidP="007E2DBF">
      <w:pPr>
        <w:rPr>
          <w:lang w:val="de-DE"/>
        </w:rPr>
      </w:pPr>
      <w:r w:rsidRPr="00BB5519">
        <w:rPr>
          <w:lang w:val="de-DE"/>
        </w:rPr>
        <w:t>Learning Solutions MOS 500 Zertifizierungsprüfungs-Website (Dienste-AL)</w:t>
      </w:r>
    </w:p>
    <w:p w:rsidR="007E2DBF" w:rsidRPr="00BB5519" w:rsidRDefault="007E2DBF" w:rsidP="007E2DBF">
      <w:pPr>
        <w:rPr>
          <w:lang w:val="de-DE"/>
        </w:rPr>
      </w:pPr>
      <w:r w:rsidRPr="00BB5519">
        <w:rPr>
          <w:lang w:val="de-DE"/>
        </w:rPr>
        <w:t>Learning Solutions MTA 250 Zertifizierungsprüfungs-Website (Dienste-AL)</w:t>
      </w:r>
    </w:p>
    <w:p w:rsidR="00BB5519" w:rsidRPr="00621662" w:rsidRDefault="00BB5519" w:rsidP="00BB5519">
      <w:pPr>
        <w:rPr>
          <w:lang w:val="de-DE"/>
        </w:rPr>
      </w:pPr>
    </w:p>
    <w:p w:rsidR="00290FC1" w:rsidRPr="00BB5519" w:rsidRDefault="00290FC1" w:rsidP="00290FC1">
      <w:pPr>
        <w:spacing w:after="60"/>
        <w:rPr>
          <w:lang w:val="de-DE"/>
        </w:rPr>
      </w:pPr>
      <w:r w:rsidRPr="00BB5519">
        <w:rPr>
          <w:b/>
          <w:lang w:val="de-DE"/>
        </w:rPr>
        <w:t>Änderungen</w:t>
      </w:r>
    </w:p>
    <w:p w:rsidR="00290FC1" w:rsidRPr="00BB5519" w:rsidRDefault="007E2DBF" w:rsidP="00290FC1">
      <w:pPr>
        <w:rPr>
          <w:lang w:val="de-DE"/>
        </w:rPr>
      </w:pPr>
      <w:r w:rsidRPr="00BB5519">
        <w:rPr>
          <w:lang w:val="de-DE"/>
        </w:rPr>
        <w:t>Learning Solutions MCP 1 Prüfungsgutschein (Dienste-AL)</w:t>
      </w:r>
    </w:p>
    <w:p w:rsidR="007E2DBF" w:rsidRPr="00BB5519" w:rsidRDefault="007E2DBF" w:rsidP="00290FC1">
      <w:pPr>
        <w:rPr>
          <w:lang w:val="de-DE"/>
        </w:rPr>
      </w:pPr>
      <w:r w:rsidRPr="00BB5519">
        <w:rPr>
          <w:lang w:val="de-DE"/>
        </w:rPr>
        <w:t>Windows Companion-Abonnementlizenz</w:t>
      </w:r>
    </w:p>
    <w:p w:rsidR="007E2DBF" w:rsidRPr="00BB5519" w:rsidRDefault="007E2DBF" w:rsidP="00290FC1">
      <w:pPr>
        <w:rPr>
          <w:lang w:val="de-DE"/>
        </w:rPr>
      </w:pPr>
      <w:r w:rsidRPr="00BB5519">
        <w:rPr>
          <w:lang w:val="de-DE"/>
        </w:rPr>
        <w:t>Windows Desktop Optimization Pack für Software Assurance</w:t>
      </w:r>
    </w:p>
    <w:p w:rsidR="007E2DBF" w:rsidRPr="00BB5519" w:rsidRDefault="007E2DBF" w:rsidP="00290FC1">
      <w:r w:rsidRPr="00BB5519">
        <w:t>Windows 8 Enterprise Sideloading (100 Pack)</w:t>
      </w:r>
    </w:p>
    <w:p w:rsidR="007E2DBF" w:rsidRPr="00BB5519" w:rsidRDefault="007E2DBF" w:rsidP="00290FC1">
      <w:r w:rsidRPr="00BB5519">
        <w:t>Windows</w:t>
      </w:r>
      <w:r w:rsidRPr="00BB5519">
        <w:rPr>
          <w:vertAlign w:val="superscript"/>
        </w:rPr>
        <w:t>®</w:t>
      </w:r>
      <w:r w:rsidRPr="00BB5519">
        <w:t xml:space="preserve"> 8 Pro mit MDOP</w:t>
      </w:r>
    </w:p>
    <w:p w:rsidR="00D57D2B" w:rsidRPr="00BB5519" w:rsidRDefault="00D57D2B" w:rsidP="00290FC1"/>
    <w:p w:rsidR="00D57D2B" w:rsidRPr="00BB5519" w:rsidRDefault="00D57D2B" w:rsidP="00290FC1"/>
    <w:p w:rsidR="00B65F35" w:rsidRPr="006F21F8" w:rsidRDefault="00B65F35" w:rsidP="00B65F35">
      <w:pPr>
        <w:pStyle w:val="Heading2"/>
        <w:ind w:left="0"/>
        <w:jc w:val="both"/>
        <w:rPr>
          <w:lang w:val="de-DE"/>
        </w:rPr>
      </w:pPr>
      <w:bookmarkStart w:id="626" w:name="_Toc354054862"/>
      <w:r w:rsidRPr="006F21F8">
        <w:rPr>
          <w:rFonts w:ascii="Tahoma" w:hAnsi="Tahoma" w:cs="Tahoma"/>
          <w:color w:val="FF6600"/>
          <w:lang w:val="de-DE"/>
        </w:rPr>
        <w:t>ÄNDERUNGEN IM APRIL 2013</w:t>
      </w:r>
      <w:bookmarkEnd w:id="626"/>
    </w:p>
    <w:p w:rsidR="00B65F35" w:rsidRPr="006F21F8" w:rsidRDefault="00B65F35" w:rsidP="004759C6">
      <w:pPr>
        <w:pStyle w:val="Heading2"/>
        <w:ind w:left="0"/>
        <w:jc w:val="both"/>
        <w:rPr>
          <w:rFonts w:ascii="Tahoma" w:hAnsi="Tahoma" w:cs="Tahoma"/>
          <w:lang w:val="de-DE"/>
        </w:rPr>
      </w:pPr>
    </w:p>
    <w:p w:rsidR="00B65F35" w:rsidRPr="006F21F8" w:rsidRDefault="00B65F35" w:rsidP="00B65F35">
      <w:pPr>
        <w:spacing w:after="60"/>
        <w:rPr>
          <w:lang w:val="de-DE"/>
        </w:rPr>
      </w:pPr>
      <w:r w:rsidRPr="006F21F8">
        <w:rPr>
          <w:b/>
          <w:lang w:val="de-DE"/>
        </w:rPr>
        <w:t>Hinzufügungen</w:t>
      </w:r>
    </w:p>
    <w:p w:rsidR="00D02D7A" w:rsidRPr="006F21F8" w:rsidRDefault="00D02D7A" w:rsidP="00D02D7A">
      <w:pPr>
        <w:rPr>
          <w:lang w:val="de-DE"/>
        </w:rPr>
      </w:pPr>
      <w:r w:rsidRPr="006F21F8">
        <w:rPr>
          <w:lang w:val="de-DE"/>
        </w:rPr>
        <w:t>Bing Maps Consumer Tracked Per Asset Monthly Sub</w:t>
      </w:r>
    </w:p>
    <w:p w:rsidR="00D02D7A" w:rsidRPr="00BB5519" w:rsidRDefault="00D02D7A" w:rsidP="00D02D7A">
      <w:pPr>
        <w:rPr>
          <w:lang w:val="de-DE"/>
        </w:rPr>
      </w:pPr>
      <w:r w:rsidRPr="00BB5519">
        <w:rPr>
          <w:lang w:val="de-DE"/>
        </w:rPr>
        <w:t>Bing Maps Desktop mit erweitertem Inhaltspaket</w:t>
      </w:r>
    </w:p>
    <w:p w:rsidR="00D02D7A" w:rsidRPr="00BB5519" w:rsidRDefault="00D02D7A" w:rsidP="00D02D7A">
      <w:r w:rsidRPr="00BB5519">
        <w:t>Bing Maps for Enterprise Platform Fee Monthly Sub</w:t>
      </w:r>
    </w:p>
    <w:p w:rsidR="00D02D7A" w:rsidRPr="00BB5519" w:rsidRDefault="00D02D7A" w:rsidP="00D02D7A">
      <w:r w:rsidRPr="00BB5519">
        <w:t>Bing Maps Public Website Usage 100K Transactions Monthly Sub</w:t>
      </w:r>
    </w:p>
    <w:p w:rsidR="00D02D7A" w:rsidRPr="00BB5519" w:rsidRDefault="00D02D7A" w:rsidP="00D02D7A">
      <w:r w:rsidRPr="00BB5519">
        <w:t>Bing Maps Public Website Usage 250K Transactions Monthly Sub</w:t>
      </w:r>
    </w:p>
    <w:p w:rsidR="00D02D7A" w:rsidRPr="00BB5519" w:rsidRDefault="00D02D7A" w:rsidP="00D02D7A">
      <w:r w:rsidRPr="00BB5519">
        <w:t>Bing Maps Public Website Usage 420K Transactions Monthly Sub</w:t>
      </w:r>
    </w:p>
    <w:p w:rsidR="00D02D7A" w:rsidRPr="00BB5519" w:rsidRDefault="00D02D7A" w:rsidP="00D02D7A">
      <w:r w:rsidRPr="00BB5519">
        <w:t>Bing Maps Public Website Usage 840K Transactions Monthly Sub</w:t>
      </w:r>
    </w:p>
    <w:p w:rsidR="00D02D7A" w:rsidRPr="00BB5519" w:rsidRDefault="00D02D7A" w:rsidP="00D02D7A">
      <w:r w:rsidRPr="00BB5519">
        <w:t>Bing Maps Public Website Usage 2.5m Transactions Monthly Sub</w:t>
      </w:r>
    </w:p>
    <w:p w:rsidR="00D02D7A" w:rsidRPr="00BB5519" w:rsidRDefault="00D02D7A" w:rsidP="00D02D7A">
      <w:r w:rsidRPr="00BB5519">
        <w:t>Bing Maps Public Website Usage 4.2m Transactions Monthly Sub</w:t>
      </w:r>
    </w:p>
    <w:p w:rsidR="00D02D7A" w:rsidRPr="00BB5519" w:rsidRDefault="00D02D7A" w:rsidP="00D02D7A">
      <w:r w:rsidRPr="00BB5519">
        <w:t>Bing Maps Public Website Usage 8.4m Transactions Monthly Sub</w:t>
      </w:r>
    </w:p>
    <w:p w:rsidR="00D02D7A" w:rsidRPr="00BB5519" w:rsidRDefault="00D02D7A" w:rsidP="00D02D7A">
      <w:r w:rsidRPr="00BB5519">
        <w:t>Bing Maps Public Website Usage Unlimited Transactions Monthly Sub</w:t>
      </w:r>
    </w:p>
    <w:p w:rsidR="00D02D7A" w:rsidRPr="00BB5519" w:rsidRDefault="00D02D7A" w:rsidP="00D02D7A">
      <w:r w:rsidRPr="00BB5519">
        <w:t>Bing Maps Internal Website Usage 100K Transactions Monthly Sub</w:t>
      </w:r>
    </w:p>
    <w:p w:rsidR="00D02D7A" w:rsidRPr="00BB5519" w:rsidRDefault="00D02D7A" w:rsidP="00D02D7A">
      <w:r w:rsidRPr="00BB5519">
        <w:t>Bing Maps Internal Website Usage 250K Transactions Monthly Sub</w:t>
      </w:r>
    </w:p>
    <w:p w:rsidR="00D02D7A" w:rsidRPr="00BB5519" w:rsidRDefault="00D02D7A" w:rsidP="00D02D7A">
      <w:r w:rsidRPr="00BB5519">
        <w:t>Bing Maps Internal Website Usage 420K Transactions Monthly Sub</w:t>
      </w:r>
    </w:p>
    <w:p w:rsidR="00D02D7A" w:rsidRPr="00BB5519" w:rsidRDefault="00D02D7A" w:rsidP="00D02D7A">
      <w:r w:rsidRPr="00BB5519">
        <w:t>Bing Maps Internal Website Usage 1.25m Transactions Monthly Sub</w:t>
      </w:r>
    </w:p>
    <w:p w:rsidR="00D02D7A" w:rsidRPr="00BB5519" w:rsidRDefault="00D02D7A" w:rsidP="00D02D7A">
      <w:r w:rsidRPr="00BB5519">
        <w:t>Bing Maps Internal Website Usage 2.1m Transactions Monthly Sub</w:t>
      </w:r>
    </w:p>
    <w:p w:rsidR="00D02D7A" w:rsidRPr="00BB5519" w:rsidRDefault="00D02D7A" w:rsidP="00D02D7A">
      <w:r w:rsidRPr="00BB5519">
        <w:t>Bing Maps Internal Website Usage Unlimited Transactions Monthly Sub</w:t>
      </w:r>
    </w:p>
    <w:p w:rsidR="00D02D7A" w:rsidRPr="00BB5519" w:rsidRDefault="00D02D7A" w:rsidP="00D02D7A">
      <w:r w:rsidRPr="00BB5519">
        <w:t>Bing Maps Known Per User Monthly Sub</w:t>
      </w:r>
    </w:p>
    <w:p w:rsidR="00D02D7A" w:rsidRPr="00BB5519" w:rsidRDefault="00D02D7A" w:rsidP="00D02D7A">
      <w:r w:rsidRPr="00BB5519">
        <w:t>Bing Maps Known 5K User Bundle Monthly Sub</w:t>
      </w:r>
    </w:p>
    <w:p w:rsidR="00D02D7A" w:rsidRPr="00BB5519" w:rsidRDefault="00D02D7A" w:rsidP="00D02D7A">
      <w:r w:rsidRPr="00BB5519">
        <w:t>Bing Maps Light Known Per User Monthly Sub</w:t>
      </w:r>
    </w:p>
    <w:p w:rsidR="00D02D7A" w:rsidRPr="00BB5519" w:rsidRDefault="00D02D7A" w:rsidP="00D02D7A">
      <w:r w:rsidRPr="00BB5519">
        <w:t>Bing Maps Light Known 5K User Bundle Monthly Sub</w:t>
      </w:r>
    </w:p>
    <w:p w:rsidR="00D02D7A" w:rsidRPr="00BB5519" w:rsidRDefault="00D02D7A" w:rsidP="00D02D7A">
      <w:r w:rsidRPr="00BB5519">
        <w:t>Bing Maps Mobile Asset Management Platform Fee Monthly Sub</w:t>
      </w:r>
    </w:p>
    <w:p w:rsidR="00D02D7A" w:rsidRPr="00BB5519" w:rsidRDefault="00D02D7A" w:rsidP="00D02D7A">
      <w:r w:rsidRPr="00BB5519">
        <w:t>Bing Maps Mobile Asset Management NA mit Routing Per Asset Monthly Sub</w:t>
      </w:r>
    </w:p>
    <w:p w:rsidR="00D02D7A" w:rsidRPr="00BB5519" w:rsidRDefault="00D02D7A" w:rsidP="00D02D7A">
      <w:r w:rsidRPr="00BB5519">
        <w:t>Bing Maps Mobile Asset Management NA ohne Routing Per Asset Monthly Sub</w:t>
      </w:r>
    </w:p>
    <w:p w:rsidR="00D02D7A" w:rsidRPr="00BB5519" w:rsidRDefault="00D02D7A" w:rsidP="00D02D7A">
      <w:r w:rsidRPr="00BB5519">
        <w:t>Bing Maps Mobile Asset Management Europe mit Routing Per Asset Monthly Sub</w:t>
      </w:r>
    </w:p>
    <w:p w:rsidR="00D02D7A" w:rsidRPr="00BB5519" w:rsidRDefault="00D02D7A" w:rsidP="00D02D7A">
      <w:r w:rsidRPr="00BB5519">
        <w:t>Bing Maps Mobile Asset Management Europe ohne Routing Per Asset Monthly Sub</w:t>
      </w:r>
    </w:p>
    <w:p w:rsidR="00D02D7A" w:rsidRPr="00BB5519" w:rsidRDefault="00D02D7A" w:rsidP="00D02D7A">
      <w:r w:rsidRPr="00BB5519">
        <w:t>Bing Maps Server</w:t>
      </w:r>
    </w:p>
    <w:p w:rsidR="00D02D7A" w:rsidRPr="00BB5519" w:rsidRDefault="00D02D7A" w:rsidP="00D02D7A">
      <w:r w:rsidRPr="00BB5519">
        <w:t>BizTalk</w:t>
      </w:r>
      <w:r w:rsidRPr="004C6301">
        <w:rPr>
          <w:vertAlign w:val="superscript"/>
        </w:rPr>
        <w:t>®</w:t>
      </w:r>
      <w:r w:rsidRPr="00BB5519">
        <w:t xml:space="preserve"> Server 2013 Enterprise Edition </w:t>
      </w:r>
    </w:p>
    <w:p w:rsidR="00D02D7A" w:rsidRPr="00BB5519" w:rsidRDefault="00D02D7A" w:rsidP="00D02D7A">
      <w:r w:rsidRPr="00BB5519">
        <w:t>BizTalk</w:t>
      </w:r>
      <w:r w:rsidRPr="004C6301">
        <w:rPr>
          <w:vertAlign w:val="superscript"/>
        </w:rPr>
        <w:t>®</w:t>
      </w:r>
      <w:r w:rsidRPr="00BB5519">
        <w:t xml:space="preserve"> Server 2013 Standard Edition </w:t>
      </w:r>
    </w:p>
    <w:p w:rsidR="00D02D7A" w:rsidRPr="00BB5519" w:rsidRDefault="00D02D7A" w:rsidP="00D02D7A">
      <w:r w:rsidRPr="00BB5519">
        <w:t>BizTalk</w:t>
      </w:r>
      <w:r w:rsidRPr="004C6301">
        <w:rPr>
          <w:vertAlign w:val="superscript"/>
        </w:rPr>
        <w:t>®</w:t>
      </w:r>
      <w:r w:rsidRPr="00BB5519">
        <w:t xml:space="preserve"> Server 2013 Branch</w:t>
      </w:r>
    </w:p>
    <w:p w:rsidR="00D02D7A" w:rsidRPr="00BB5519" w:rsidRDefault="00D02D7A" w:rsidP="00D02D7A">
      <w:r w:rsidRPr="00BB5519">
        <w:t>BizTalk</w:t>
      </w:r>
      <w:r w:rsidRPr="004C6301">
        <w:rPr>
          <w:vertAlign w:val="superscript"/>
        </w:rPr>
        <w:t>®</w:t>
      </w:r>
      <w:r w:rsidRPr="00BB5519">
        <w:t xml:space="preserve"> Server 2013 Branch IDC </w:t>
      </w:r>
    </w:p>
    <w:p w:rsidR="00D02D7A" w:rsidRPr="00BB5519" w:rsidRDefault="00D02D7A" w:rsidP="00D02D7A">
      <w:r w:rsidRPr="00BB5519">
        <w:lastRenderedPageBreak/>
        <w:t>BizTalk</w:t>
      </w:r>
      <w:r w:rsidRPr="004C6301">
        <w:rPr>
          <w:vertAlign w:val="superscript"/>
        </w:rPr>
        <w:t>®</w:t>
      </w:r>
      <w:r w:rsidRPr="00BB5519">
        <w:t xml:space="preserve"> Server 2013 Standard Edition IDC </w:t>
      </w:r>
    </w:p>
    <w:p w:rsidR="00D02D7A" w:rsidRPr="006F21F8" w:rsidRDefault="00D02D7A" w:rsidP="00D02D7A">
      <w:pPr>
        <w:rPr>
          <w:lang w:val="de-DE"/>
        </w:rPr>
      </w:pPr>
      <w:r w:rsidRPr="006F21F8">
        <w:rPr>
          <w:lang w:val="de-DE"/>
        </w:rPr>
        <w:t>Office 365 Enterprise E1 (Nutzer-AL) (Anwendungs-Pool)</w:t>
      </w:r>
    </w:p>
    <w:p w:rsidR="00D02D7A" w:rsidRPr="00BB5519" w:rsidRDefault="00D02D7A" w:rsidP="00D02D7A">
      <w:pPr>
        <w:rPr>
          <w:lang w:val="de-DE"/>
        </w:rPr>
      </w:pPr>
      <w:r w:rsidRPr="00BB5519">
        <w:rPr>
          <w:lang w:val="de-DE"/>
        </w:rPr>
        <w:t>Office 365 Enterprise E2 (Nutzer-AL) (Anwendungs-Pool)</w:t>
      </w:r>
    </w:p>
    <w:p w:rsidR="00D02D7A" w:rsidRPr="00BB5519" w:rsidRDefault="00D02D7A" w:rsidP="00D02D7A">
      <w:pPr>
        <w:rPr>
          <w:lang w:val="de-DE"/>
        </w:rPr>
      </w:pPr>
      <w:r w:rsidRPr="00BB5519">
        <w:rPr>
          <w:lang w:val="de-DE"/>
        </w:rPr>
        <w:t>Office 365 Enterprise E3 (Nutzer-AL) (Anwendungs-Pool)</w:t>
      </w:r>
    </w:p>
    <w:p w:rsidR="00D02D7A" w:rsidRPr="00BB5519" w:rsidRDefault="00D02D7A" w:rsidP="00D02D7A">
      <w:pPr>
        <w:rPr>
          <w:lang w:val="de-DE"/>
        </w:rPr>
      </w:pPr>
      <w:r w:rsidRPr="00BB5519">
        <w:rPr>
          <w:lang w:val="de-DE"/>
        </w:rPr>
        <w:t>Office 365 Enterprise E4 (Nutzer-AL) (Anwendungs-Pool)</w:t>
      </w:r>
    </w:p>
    <w:p w:rsidR="00D02D7A" w:rsidRPr="00BB5519" w:rsidRDefault="00D02D7A" w:rsidP="00D02D7A">
      <w:r w:rsidRPr="00BB5519">
        <w:t>Office 365 Education A2 (Nutzer-AL) (Anwendungs-Pool)</w:t>
      </w:r>
    </w:p>
    <w:p w:rsidR="00D02D7A" w:rsidRPr="00BB5519" w:rsidRDefault="00D02D7A" w:rsidP="00D02D7A">
      <w:r w:rsidRPr="00BB5519">
        <w:t>Office 365 Education A3 (Nutzer-AL) (Anwendungs-Pool)</w:t>
      </w:r>
    </w:p>
    <w:p w:rsidR="00D02D7A" w:rsidRPr="00BB5519" w:rsidRDefault="00D02D7A" w:rsidP="00D02D7A">
      <w:r w:rsidRPr="00BB5519">
        <w:t>Office 365 Education A4 (Nutzer-AL) (Anwendungs-Pool)</w:t>
      </w:r>
    </w:p>
    <w:p w:rsidR="00D02D7A" w:rsidRPr="00BB5519" w:rsidRDefault="00D02D7A" w:rsidP="00D02D7A">
      <w:r w:rsidRPr="00BB5519">
        <w:t>Office 365 Enterprise E1 (Nutzer-AL) (Server-Pool)</w:t>
      </w:r>
    </w:p>
    <w:p w:rsidR="00D02D7A" w:rsidRPr="00BB5519" w:rsidRDefault="00D02D7A" w:rsidP="00D02D7A">
      <w:r w:rsidRPr="00BB5519">
        <w:t>Office 365 Enterprise E2 (Nutzer-AL) (Server-Pool)</w:t>
      </w:r>
    </w:p>
    <w:p w:rsidR="00D02D7A" w:rsidRPr="00BB5519" w:rsidRDefault="00D02D7A" w:rsidP="00D02D7A">
      <w:r w:rsidRPr="00BB5519">
        <w:t>Office 365 Enterprise E3 (Nutzer-AL) (Server-Pool)</w:t>
      </w:r>
    </w:p>
    <w:p w:rsidR="00D02D7A" w:rsidRPr="00BB5519" w:rsidRDefault="00D02D7A" w:rsidP="00D02D7A">
      <w:r w:rsidRPr="00BB5519">
        <w:t>Office 365 Enterprise E4 (Nutzer-AL) (Server-Pool)</w:t>
      </w:r>
    </w:p>
    <w:p w:rsidR="00D02D7A" w:rsidRPr="00BB5519" w:rsidRDefault="00D02D7A" w:rsidP="00D02D7A">
      <w:r w:rsidRPr="00BB5519">
        <w:t>Office 365 Government G1 (Nutzer-AL) (Server-Pool)</w:t>
      </w:r>
    </w:p>
    <w:p w:rsidR="00D02D7A" w:rsidRPr="00BB5519" w:rsidRDefault="00D02D7A" w:rsidP="00D02D7A">
      <w:r w:rsidRPr="00BB5519">
        <w:t>Office 365 Government G2 (Nutzer-AL) (Server-P</w:t>
      </w:r>
      <w:bookmarkStart w:id="627" w:name="_GoBack"/>
      <w:bookmarkEnd w:id="627"/>
      <w:r w:rsidRPr="00BB5519">
        <w:t>ool)</w:t>
      </w:r>
    </w:p>
    <w:p w:rsidR="00D02D7A" w:rsidRPr="00BB5519" w:rsidRDefault="00D02D7A" w:rsidP="00D02D7A">
      <w:r w:rsidRPr="00BB5519">
        <w:t>Office 365 Government G3 (Nutzer-AL) (Server-Pool)</w:t>
      </w:r>
    </w:p>
    <w:p w:rsidR="00D02D7A" w:rsidRPr="00BB5519" w:rsidRDefault="00D02D7A" w:rsidP="00D02D7A">
      <w:r w:rsidRPr="00BB5519">
        <w:t>Office 365 Government G4 (Nutzer-AL) (Server-Pool)</w:t>
      </w:r>
    </w:p>
    <w:p w:rsidR="00D02D7A" w:rsidRPr="00BB5519" w:rsidRDefault="00D02D7A" w:rsidP="00D02D7A">
      <w:r w:rsidRPr="00BB5519">
        <w:t>Office 365 Enterprise K1 (Nutzer-AL) (Server-Pool)</w:t>
      </w:r>
    </w:p>
    <w:p w:rsidR="00D02D7A" w:rsidRPr="00BB5519" w:rsidRDefault="00D02D7A" w:rsidP="00D02D7A">
      <w:r w:rsidRPr="00BB5519">
        <w:t>Office 365 Enterprise K2 (Nutzer-AL) (Server-Pool)</w:t>
      </w:r>
    </w:p>
    <w:p w:rsidR="003418C5" w:rsidRPr="00BB5519" w:rsidRDefault="003418C5" w:rsidP="003418C5">
      <w:r w:rsidRPr="00BB5519">
        <w:t>Office 365 ProPlus SA-Übergang (Nutzer-AL) (Anwendungs-Pool)</w:t>
      </w:r>
    </w:p>
    <w:p w:rsidR="00D02D7A" w:rsidRPr="00BB5519" w:rsidRDefault="00D02D7A">
      <w:r w:rsidRPr="00BB5519">
        <w:t>Microsoft Desktop Optimization Pack für Software Assurance</w:t>
      </w:r>
    </w:p>
    <w:p w:rsidR="00D02D7A" w:rsidRPr="00BB5519" w:rsidRDefault="00D02D7A" w:rsidP="007E466C">
      <w:r w:rsidRPr="00BB5519">
        <w:t>Globaler System Center-Dienstmonitor</w:t>
      </w:r>
    </w:p>
    <w:p w:rsidR="005F584F" w:rsidRPr="00BB5519" w:rsidRDefault="005F584F" w:rsidP="005F584F">
      <w:pPr>
        <w:rPr>
          <w:lang w:val="de-DE"/>
        </w:rPr>
      </w:pPr>
      <w:r w:rsidRPr="00BB5519">
        <w:rPr>
          <w:lang w:val="de-DE"/>
        </w:rPr>
        <w:t>Vexcel Desktop mit Erweitertem Inhaltspaket</w:t>
      </w:r>
    </w:p>
    <w:p w:rsidR="009C779A" w:rsidRPr="00BB5519" w:rsidRDefault="00242B11">
      <w:pPr>
        <w:rPr>
          <w:lang w:val="de-DE"/>
        </w:rPr>
      </w:pPr>
      <w:r w:rsidRPr="00BB5519">
        <w:rPr>
          <w:lang w:val="de-DE"/>
        </w:rPr>
        <w:t>Vexcel Server</w:t>
      </w:r>
    </w:p>
    <w:p w:rsidR="00242B11" w:rsidRDefault="00242B11">
      <w:pPr>
        <w:rPr>
          <w:lang w:val="de-DE"/>
        </w:rPr>
      </w:pPr>
      <w:r w:rsidRPr="00BB5519">
        <w:rPr>
          <w:lang w:val="de-DE"/>
        </w:rPr>
        <w:t>Vexcel Server mit Erweitertem Inhaltspaket</w:t>
      </w:r>
    </w:p>
    <w:p w:rsidR="004C6301" w:rsidRPr="00621662" w:rsidRDefault="004C6301" w:rsidP="004C6301">
      <w:pPr>
        <w:rPr>
          <w:lang w:val="de-DE"/>
        </w:rPr>
      </w:pPr>
    </w:p>
    <w:p w:rsidR="00B65F35" w:rsidRPr="00BB5519" w:rsidRDefault="00B65F35" w:rsidP="00B65F35">
      <w:pPr>
        <w:spacing w:after="60"/>
        <w:rPr>
          <w:lang w:val="de-DE"/>
        </w:rPr>
      </w:pPr>
      <w:r w:rsidRPr="00BB5519">
        <w:rPr>
          <w:b/>
          <w:lang w:val="de-DE"/>
        </w:rPr>
        <w:t>Änderungen</w:t>
      </w:r>
    </w:p>
    <w:p w:rsidR="00B65F35" w:rsidRPr="00BB5519" w:rsidRDefault="009C779A" w:rsidP="009C779A">
      <w:pPr>
        <w:rPr>
          <w:lang w:val="de-DE"/>
        </w:rPr>
      </w:pPr>
      <w:r w:rsidRPr="00BB5519">
        <w:rPr>
          <w:lang w:val="de-DE"/>
        </w:rPr>
        <w:t>Bing Maps Standard (Nutzer-AL)</w:t>
      </w:r>
    </w:p>
    <w:p w:rsidR="009C779A" w:rsidRPr="00BB5519" w:rsidRDefault="009C779A" w:rsidP="00D66F68">
      <w:pPr>
        <w:rPr>
          <w:lang w:val="de-DE"/>
        </w:rPr>
      </w:pPr>
      <w:r w:rsidRPr="00BB5519">
        <w:rPr>
          <w:lang w:val="de-DE"/>
        </w:rPr>
        <w:t>Office 365 Plan E1 (Nutzer-AL) (Anwendungs-Pool)</w:t>
      </w:r>
    </w:p>
    <w:p w:rsidR="009C779A" w:rsidRPr="00BB5519" w:rsidRDefault="009C779A" w:rsidP="00D66F68">
      <w:pPr>
        <w:rPr>
          <w:lang w:val="de-DE"/>
        </w:rPr>
      </w:pPr>
      <w:r w:rsidRPr="00BB5519">
        <w:rPr>
          <w:lang w:val="de-DE"/>
        </w:rPr>
        <w:t>Office 365 Plan E2 (Nutzer-AL) (Anwendungs-Pool)</w:t>
      </w:r>
    </w:p>
    <w:p w:rsidR="009C779A" w:rsidRPr="00BB5519" w:rsidRDefault="009C779A" w:rsidP="00D02D7A">
      <w:pPr>
        <w:rPr>
          <w:lang w:val="de-DE"/>
        </w:rPr>
      </w:pPr>
      <w:r w:rsidRPr="00BB5519">
        <w:rPr>
          <w:lang w:val="de-DE"/>
        </w:rPr>
        <w:t>Office 365 Plan E3 (Nutzer-AL) (Anwendungs-Pool)</w:t>
      </w:r>
    </w:p>
    <w:p w:rsidR="009C779A" w:rsidRPr="00BB5519" w:rsidRDefault="009C779A" w:rsidP="00D02D7A">
      <w:pPr>
        <w:rPr>
          <w:lang w:val="de-DE"/>
        </w:rPr>
      </w:pPr>
      <w:r w:rsidRPr="00BB5519">
        <w:rPr>
          <w:lang w:val="de-DE"/>
        </w:rPr>
        <w:t>Office 365 Plan E4 (Nutzer-AL) (Anwendungs-Pool)</w:t>
      </w:r>
    </w:p>
    <w:p w:rsidR="009C779A" w:rsidRPr="00BB5519" w:rsidRDefault="009C779A" w:rsidP="00242B11">
      <w:pPr>
        <w:rPr>
          <w:lang w:val="de-DE"/>
        </w:rPr>
      </w:pPr>
      <w:r w:rsidRPr="00BB5519">
        <w:rPr>
          <w:lang w:val="de-DE"/>
        </w:rPr>
        <w:t>Office 365 Plan A2 (Nutzer-AL) (Anwendungs-Pool)</w:t>
      </w:r>
    </w:p>
    <w:p w:rsidR="009C779A" w:rsidRPr="00BB5519" w:rsidRDefault="009C779A" w:rsidP="00242B11">
      <w:pPr>
        <w:rPr>
          <w:lang w:val="de-DE"/>
        </w:rPr>
      </w:pPr>
      <w:r w:rsidRPr="00BB5519">
        <w:rPr>
          <w:lang w:val="de-DE"/>
        </w:rPr>
        <w:t>Office 365 Plan A3 (Nutzer-AL) (Anwendungs-Pool)</w:t>
      </w:r>
    </w:p>
    <w:p w:rsidR="009C779A" w:rsidRPr="00BB5519" w:rsidRDefault="009C779A" w:rsidP="00EA31A6">
      <w:pPr>
        <w:rPr>
          <w:lang w:val="de-DE"/>
        </w:rPr>
      </w:pPr>
      <w:r w:rsidRPr="00BB5519">
        <w:rPr>
          <w:lang w:val="de-DE"/>
        </w:rPr>
        <w:t>Office 365 Plan A4 (Nutzer-AL) (Anwendungs-Pool)</w:t>
      </w:r>
    </w:p>
    <w:p w:rsidR="009C779A" w:rsidRPr="00BB5519" w:rsidRDefault="009C779A" w:rsidP="00EA31A6">
      <w:pPr>
        <w:rPr>
          <w:lang w:val="de-DE"/>
        </w:rPr>
      </w:pPr>
      <w:r w:rsidRPr="00BB5519">
        <w:rPr>
          <w:lang w:val="de-DE"/>
        </w:rPr>
        <w:t>Office 365 Plan E1 (Nutzer-AL) (Server-Pool)</w:t>
      </w:r>
    </w:p>
    <w:p w:rsidR="009C779A" w:rsidRPr="00BB5519" w:rsidRDefault="009C779A" w:rsidP="00EA31A6">
      <w:pPr>
        <w:rPr>
          <w:lang w:val="de-DE"/>
        </w:rPr>
      </w:pPr>
      <w:r w:rsidRPr="00BB5519">
        <w:rPr>
          <w:lang w:val="de-DE"/>
        </w:rPr>
        <w:t>Office 365 Plan E2 – E4 (Nutzer-AL) (Server-Pool)</w:t>
      </w:r>
    </w:p>
    <w:p w:rsidR="009C779A" w:rsidRPr="00BB5519" w:rsidRDefault="009C779A" w:rsidP="00EA31A6">
      <w:pPr>
        <w:rPr>
          <w:lang w:val="de-DE"/>
        </w:rPr>
      </w:pPr>
      <w:r w:rsidRPr="00BB5519">
        <w:rPr>
          <w:lang w:val="de-DE"/>
        </w:rPr>
        <w:t>Office 365 Plan G1 – G4 (Nutzer-AL) (Server-Pool)</w:t>
      </w:r>
    </w:p>
    <w:p w:rsidR="009C779A" w:rsidRPr="00BB5519" w:rsidRDefault="009C779A" w:rsidP="003537B9">
      <w:pPr>
        <w:rPr>
          <w:lang w:val="de-DE"/>
        </w:rPr>
      </w:pPr>
      <w:r w:rsidRPr="00BB5519">
        <w:rPr>
          <w:lang w:val="de-DE"/>
        </w:rPr>
        <w:t>Office 365 Plan K1 (Nutzer-AL) (Server-Pool)</w:t>
      </w:r>
    </w:p>
    <w:p w:rsidR="009C779A" w:rsidRPr="00BB5519" w:rsidRDefault="009C779A" w:rsidP="003537B9">
      <w:pPr>
        <w:rPr>
          <w:lang w:val="de-DE"/>
        </w:rPr>
      </w:pPr>
      <w:r w:rsidRPr="00BB5519">
        <w:rPr>
          <w:lang w:val="de-DE"/>
        </w:rPr>
        <w:t>Office 365 Plan K2 (Nutzer-AL) (Server-Pool)</w:t>
      </w:r>
    </w:p>
    <w:p w:rsidR="003A31B1" w:rsidRPr="00BB5519" w:rsidRDefault="003A31B1" w:rsidP="003A31B1">
      <w:pPr>
        <w:rPr>
          <w:lang w:val="de-DE"/>
        </w:rPr>
      </w:pPr>
      <w:r w:rsidRPr="00BB5519">
        <w:rPr>
          <w:lang w:val="de-DE"/>
        </w:rPr>
        <w:t>System Center 2012 Endpoint Protection</w:t>
      </w:r>
    </w:p>
    <w:p w:rsidR="00242B11" w:rsidRPr="00BB5519" w:rsidRDefault="00242B11" w:rsidP="00242B11">
      <w:pPr>
        <w:rPr>
          <w:lang w:val="de-DE"/>
        </w:rPr>
      </w:pPr>
      <w:r w:rsidRPr="00BB5519">
        <w:rPr>
          <w:lang w:val="de-DE"/>
        </w:rPr>
        <w:t>BizTalk Server wechselt für die Version 2013 vom „Proc“- zum „Core“-Lizenzmodell</w:t>
      </w:r>
    </w:p>
    <w:p w:rsidR="00242B11" w:rsidRPr="00BB5519" w:rsidRDefault="00242B11" w:rsidP="00242B11">
      <w:pPr>
        <w:rPr>
          <w:lang w:val="de-DE"/>
        </w:rPr>
      </w:pPr>
      <w:r w:rsidRPr="00BB5519">
        <w:rPr>
          <w:lang w:val="de-DE"/>
        </w:rPr>
        <w:t>Entferntes Zusätzliches Produkt („A“) von Sys Ctr Endpoint Protection</w:t>
      </w:r>
    </w:p>
    <w:p w:rsidR="00242B11" w:rsidRPr="00BB5519" w:rsidRDefault="00242B11" w:rsidP="00242B11">
      <w:pPr>
        <w:rPr>
          <w:lang w:val="de-DE"/>
        </w:rPr>
      </w:pPr>
      <w:r w:rsidRPr="00BB5519">
        <w:rPr>
          <w:lang w:val="de-DE"/>
        </w:rPr>
        <w:t>Entferntes Professional aus dem Bing Maps Standard (Nutzer-AL)-Eintrag</w:t>
      </w:r>
    </w:p>
    <w:p w:rsidR="004C6301" w:rsidRPr="00621662" w:rsidRDefault="004C6301" w:rsidP="004C6301">
      <w:pPr>
        <w:rPr>
          <w:lang w:val="de-DE"/>
        </w:rPr>
      </w:pPr>
    </w:p>
    <w:p w:rsidR="00B65F35" w:rsidRPr="00BB5519" w:rsidRDefault="00B65F35" w:rsidP="007E466C">
      <w:pPr>
        <w:spacing w:after="60"/>
        <w:rPr>
          <w:lang w:val="de-DE"/>
        </w:rPr>
      </w:pPr>
      <w:r w:rsidRPr="00BB5519">
        <w:rPr>
          <w:b/>
          <w:lang w:val="de-DE"/>
        </w:rPr>
        <w:t>Streichungen</w:t>
      </w:r>
    </w:p>
    <w:p w:rsidR="00D02D7A" w:rsidRPr="00BB5519" w:rsidRDefault="00D02D7A" w:rsidP="00D02D7A">
      <w:pPr>
        <w:rPr>
          <w:lang w:val="de-DE"/>
        </w:rPr>
      </w:pPr>
      <w:r w:rsidRPr="00BB5519">
        <w:rPr>
          <w:lang w:val="de-DE"/>
        </w:rPr>
        <w:t>Bing Maps 25.000 Transaktionen (Add-On-AL)</w:t>
      </w:r>
    </w:p>
    <w:p w:rsidR="00D02D7A" w:rsidRPr="00BB5519" w:rsidRDefault="00D02D7A" w:rsidP="00D02D7A">
      <w:pPr>
        <w:rPr>
          <w:lang w:val="de-DE"/>
        </w:rPr>
      </w:pPr>
      <w:r w:rsidRPr="00BB5519">
        <w:rPr>
          <w:lang w:val="de-DE"/>
        </w:rPr>
        <w:t>Bing Maps 250.000 Transaktionen (Add-On-AL)</w:t>
      </w:r>
    </w:p>
    <w:p w:rsidR="00D02D7A" w:rsidRPr="00BB5519" w:rsidRDefault="00D02D7A" w:rsidP="00D02D7A">
      <w:pPr>
        <w:rPr>
          <w:lang w:val="de-DE"/>
        </w:rPr>
      </w:pPr>
      <w:r w:rsidRPr="00BB5519">
        <w:rPr>
          <w:lang w:val="de-DE"/>
        </w:rPr>
        <w:t>Bing Maps Professional (Dienste-AL)</w:t>
      </w:r>
    </w:p>
    <w:p w:rsidR="005F584F" w:rsidRPr="00BB5519" w:rsidRDefault="005F584F" w:rsidP="005F584F">
      <w:pPr>
        <w:rPr>
          <w:lang w:val="de-DE"/>
        </w:rPr>
      </w:pPr>
      <w:r w:rsidRPr="00BB5519">
        <w:rPr>
          <w:lang w:val="de-DE"/>
        </w:rPr>
        <w:t>Bing Maps Desktop mit erweitertem Inhaltspaket</w:t>
      </w:r>
    </w:p>
    <w:p w:rsidR="005F584F" w:rsidRPr="00BB5519" w:rsidRDefault="005F584F" w:rsidP="005F584F">
      <w:pPr>
        <w:rPr>
          <w:lang w:val="de-DE"/>
        </w:rPr>
      </w:pPr>
      <w:r w:rsidRPr="00BB5519">
        <w:rPr>
          <w:lang w:val="de-DE"/>
        </w:rPr>
        <w:t>Bing Maps Server</w:t>
      </w:r>
    </w:p>
    <w:p w:rsidR="005F584F" w:rsidRPr="00BB5519" w:rsidRDefault="005F584F" w:rsidP="005F584F">
      <w:pPr>
        <w:rPr>
          <w:lang w:val="de-DE"/>
        </w:rPr>
      </w:pPr>
      <w:r w:rsidRPr="00BB5519">
        <w:rPr>
          <w:lang w:val="de-DE"/>
        </w:rPr>
        <w:t>Bing Maps mit Erweitertem Inhaltspaket</w:t>
      </w:r>
    </w:p>
    <w:p w:rsidR="00D02D7A" w:rsidRPr="00BB5519" w:rsidRDefault="00D02D7A" w:rsidP="00D02D7A">
      <w:pPr>
        <w:rPr>
          <w:lang w:val="de-DE"/>
        </w:rPr>
      </w:pPr>
      <w:r w:rsidRPr="00BB5519">
        <w:rPr>
          <w:lang w:val="de-DE"/>
        </w:rPr>
        <w:t>Bing Maps Unbegrenzte Transaktionen (Add-On-AL)</w:t>
      </w:r>
    </w:p>
    <w:p w:rsidR="00242B11" w:rsidRPr="00BB5519" w:rsidRDefault="00242B11" w:rsidP="00D02D7A">
      <w:pPr>
        <w:rPr>
          <w:lang w:val="de-DE"/>
        </w:rPr>
      </w:pPr>
      <w:r w:rsidRPr="00BB5519">
        <w:rPr>
          <w:lang w:val="de-DE"/>
        </w:rPr>
        <w:t>Bing Server</w:t>
      </w:r>
    </w:p>
    <w:p w:rsidR="00242B11" w:rsidRPr="00BB5519" w:rsidRDefault="00242B11" w:rsidP="00D02D7A">
      <w:pPr>
        <w:rPr>
          <w:lang w:val="de-DE"/>
        </w:rPr>
      </w:pPr>
      <w:r w:rsidRPr="00BB5519">
        <w:rPr>
          <w:lang w:val="de-DE"/>
        </w:rPr>
        <w:t>Bing Maps mit Erweitertem Inhaltspaket</w:t>
      </w:r>
    </w:p>
    <w:p w:rsidR="00D02D7A" w:rsidRPr="00BB5519" w:rsidRDefault="00D02D7A" w:rsidP="00D02D7A">
      <w:r w:rsidRPr="00BB5519">
        <w:t>BizTalk</w:t>
      </w:r>
      <w:r w:rsidRPr="004C6301">
        <w:rPr>
          <w:vertAlign w:val="superscript"/>
        </w:rPr>
        <w:t>®</w:t>
      </w:r>
      <w:r w:rsidRPr="00BB5519">
        <w:t xml:space="preserve"> Server 2010 Branch Edition </w:t>
      </w:r>
    </w:p>
    <w:p w:rsidR="00D02D7A" w:rsidRPr="00BB5519" w:rsidRDefault="00D02D7A" w:rsidP="00D02D7A">
      <w:r w:rsidRPr="00BB5519">
        <w:t>BizTalk</w:t>
      </w:r>
      <w:r w:rsidRPr="004C6301">
        <w:rPr>
          <w:vertAlign w:val="superscript"/>
        </w:rPr>
        <w:t>®</w:t>
      </w:r>
      <w:r w:rsidRPr="00BB5519">
        <w:t xml:space="preserve"> Server 2010 Enterprise Edition</w:t>
      </w:r>
    </w:p>
    <w:p w:rsidR="00D02D7A" w:rsidRPr="00BB5519" w:rsidRDefault="00D02D7A" w:rsidP="00D02D7A">
      <w:r w:rsidRPr="00BB5519">
        <w:t>BizTalk</w:t>
      </w:r>
      <w:r w:rsidRPr="004C6301">
        <w:rPr>
          <w:vertAlign w:val="superscript"/>
        </w:rPr>
        <w:t>®</w:t>
      </w:r>
      <w:r w:rsidRPr="00BB5519">
        <w:t xml:space="preserve"> Server 2010 Enterprise RFID</w:t>
      </w:r>
    </w:p>
    <w:p w:rsidR="00D02D7A" w:rsidRPr="00BB5519" w:rsidRDefault="00D02D7A" w:rsidP="00D02D7A">
      <w:r w:rsidRPr="00BB5519">
        <w:t>BizTalk</w:t>
      </w:r>
      <w:r w:rsidRPr="004C6301">
        <w:rPr>
          <w:vertAlign w:val="superscript"/>
        </w:rPr>
        <w:t>®</w:t>
      </w:r>
      <w:r w:rsidRPr="00BB5519">
        <w:t xml:space="preserve"> Server 2010 Standard Edition </w:t>
      </w:r>
    </w:p>
    <w:p w:rsidR="00D02D7A" w:rsidRPr="00BB5519" w:rsidRDefault="00D02D7A" w:rsidP="00D02D7A">
      <w:r w:rsidRPr="00BB5519">
        <w:lastRenderedPageBreak/>
        <w:t>BizTalk</w:t>
      </w:r>
      <w:r w:rsidRPr="004C6301">
        <w:rPr>
          <w:vertAlign w:val="superscript"/>
        </w:rPr>
        <w:t>®</w:t>
      </w:r>
      <w:r w:rsidRPr="00BB5519">
        <w:t xml:space="preserve"> Server 2010 Developer IDC </w:t>
      </w:r>
    </w:p>
    <w:p w:rsidR="00D02D7A" w:rsidRPr="00BB5519" w:rsidRDefault="00D02D7A" w:rsidP="00D02D7A">
      <w:r w:rsidRPr="00BB5519">
        <w:t>BizTalk</w:t>
      </w:r>
      <w:r w:rsidRPr="004C6301">
        <w:rPr>
          <w:vertAlign w:val="superscript"/>
        </w:rPr>
        <w:t>®</w:t>
      </w:r>
      <w:r w:rsidRPr="00BB5519">
        <w:t xml:space="preserve"> Server 2010 Branch IDC </w:t>
      </w:r>
    </w:p>
    <w:p w:rsidR="00D02D7A" w:rsidRPr="00BB5519" w:rsidRDefault="00D02D7A" w:rsidP="00D02D7A">
      <w:r w:rsidRPr="00BB5519">
        <w:t>Data Warehouse Appliance 2012</w:t>
      </w:r>
    </w:p>
    <w:p w:rsidR="00D02D7A" w:rsidRPr="00BB5519" w:rsidRDefault="00D02D7A" w:rsidP="00D02D7A">
      <w:pPr>
        <w:rPr>
          <w:lang w:val="de-DE"/>
        </w:rPr>
      </w:pPr>
      <w:r w:rsidRPr="00BB5519">
        <w:rPr>
          <w:lang w:val="de-DE"/>
        </w:rPr>
        <w:t>Office 365 Plan E1 (Nutzer-AL) (Anwendungs-Pool)</w:t>
      </w:r>
    </w:p>
    <w:p w:rsidR="00D02D7A" w:rsidRPr="00BB5519" w:rsidRDefault="00D02D7A" w:rsidP="00D02D7A">
      <w:pPr>
        <w:rPr>
          <w:lang w:val="de-DE"/>
        </w:rPr>
      </w:pPr>
      <w:r w:rsidRPr="00BB5519">
        <w:rPr>
          <w:lang w:val="de-DE"/>
        </w:rPr>
        <w:t>Office 365 Plan E2 (Nutzer-AL) (Anwendungs-Pool)</w:t>
      </w:r>
    </w:p>
    <w:p w:rsidR="00D02D7A" w:rsidRPr="00BB5519" w:rsidRDefault="00D02D7A" w:rsidP="00D02D7A">
      <w:pPr>
        <w:rPr>
          <w:lang w:val="de-DE"/>
        </w:rPr>
      </w:pPr>
      <w:r w:rsidRPr="00BB5519">
        <w:rPr>
          <w:lang w:val="de-DE"/>
        </w:rPr>
        <w:t>Office 365 Plan E3 (Nutzer-AL) (Anwendungs-Pool)</w:t>
      </w:r>
    </w:p>
    <w:p w:rsidR="00D02D7A" w:rsidRPr="00BB5519" w:rsidRDefault="00D02D7A" w:rsidP="00D02D7A">
      <w:pPr>
        <w:rPr>
          <w:lang w:val="de-DE"/>
        </w:rPr>
      </w:pPr>
      <w:r w:rsidRPr="00BB5519">
        <w:rPr>
          <w:lang w:val="de-DE"/>
        </w:rPr>
        <w:t>Office 365 Plan E4 (Nutzer-AL) (Anwendungs-Pool)</w:t>
      </w:r>
    </w:p>
    <w:p w:rsidR="00D02D7A" w:rsidRPr="00BB5519" w:rsidRDefault="00D02D7A" w:rsidP="00D02D7A">
      <w:pPr>
        <w:rPr>
          <w:lang w:val="de-DE"/>
        </w:rPr>
      </w:pPr>
      <w:r w:rsidRPr="00BB5519">
        <w:rPr>
          <w:lang w:val="de-DE"/>
        </w:rPr>
        <w:t>Office 365 Plan A2 (Nutzer-AL) (Anwendungs-Pool)</w:t>
      </w:r>
    </w:p>
    <w:p w:rsidR="00D02D7A" w:rsidRPr="00BB5519" w:rsidRDefault="00D02D7A" w:rsidP="00D02D7A">
      <w:pPr>
        <w:rPr>
          <w:lang w:val="de-DE"/>
        </w:rPr>
      </w:pPr>
      <w:r w:rsidRPr="00BB5519">
        <w:rPr>
          <w:lang w:val="de-DE"/>
        </w:rPr>
        <w:t>Office 365 Plan A3 (Nutzer-AL) (Anwendungs-Pool)</w:t>
      </w:r>
    </w:p>
    <w:p w:rsidR="00D02D7A" w:rsidRPr="00BB5519" w:rsidRDefault="00D02D7A" w:rsidP="00D02D7A">
      <w:pPr>
        <w:rPr>
          <w:lang w:val="de-DE"/>
        </w:rPr>
      </w:pPr>
      <w:r w:rsidRPr="00BB5519">
        <w:rPr>
          <w:lang w:val="de-DE"/>
        </w:rPr>
        <w:t>Office 365 Plan A4 (Nutzer-AL) (Anwendungs-Pool)</w:t>
      </w:r>
    </w:p>
    <w:p w:rsidR="00D02D7A" w:rsidRPr="00BB5519" w:rsidRDefault="00D02D7A" w:rsidP="00D02D7A">
      <w:pPr>
        <w:rPr>
          <w:lang w:val="de-DE"/>
        </w:rPr>
      </w:pPr>
      <w:r w:rsidRPr="00BB5519">
        <w:rPr>
          <w:lang w:val="de-DE"/>
        </w:rPr>
        <w:t>Office 365 Plan E1 (Nutzer-AL) (Server-Pool)</w:t>
      </w:r>
    </w:p>
    <w:p w:rsidR="00D02D7A" w:rsidRPr="00BB5519" w:rsidRDefault="00D02D7A" w:rsidP="00D02D7A">
      <w:pPr>
        <w:rPr>
          <w:lang w:val="de-DE"/>
        </w:rPr>
      </w:pPr>
      <w:r w:rsidRPr="00BB5519">
        <w:rPr>
          <w:lang w:val="de-DE"/>
        </w:rPr>
        <w:t>Office 365 Plan E2 (Nutzer-AL) (Server-Pool)</w:t>
      </w:r>
    </w:p>
    <w:p w:rsidR="00D02D7A" w:rsidRPr="00BB5519" w:rsidRDefault="00D02D7A" w:rsidP="00D02D7A">
      <w:pPr>
        <w:rPr>
          <w:lang w:val="de-DE"/>
        </w:rPr>
      </w:pPr>
      <w:r w:rsidRPr="00BB5519">
        <w:rPr>
          <w:lang w:val="de-DE"/>
        </w:rPr>
        <w:t>Office 365 Plan E3 (Nutzer-AL) (Server-Pool)</w:t>
      </w:r>
    </w:p>
    <w:p w:rsidR="00D02D7A" w:rsidRPr="00BB5519" w:rsidRDefault="00D02D7A" w:rsidP="00D02D7A">
      <w:pPr>
        <w:rPr>
          <w:lang w:val="de-DE"/>
        </w:rPr>
      </w:pPr>
      <w:r w:rsidRPr="00BB5519">
        <w:rPr>
          <w:lang w:val="de-DE"/>
        </w:rPr>
        <w:t>Office 365 Plan E4 (Nutzer-AL) (Server-Pool)</w:t>
      </w:r>
    </w:p>
    <w:p w:rsidR="00D02D7A" w:rsidRPr="00BB5519" w:rsidRDefault="00D02D7A" w:rsidP="00D02D7A">
      <w:pPr>
        <w:rPr>
          <w:lang w:val="de-DE"/>
        </w:rPr>
      </w:pPr>
      <w:r w:rsidRPr="00BB5519">
        <w:rPr>
          <w:lang w:val="de-DE"/>
        </w:rPr>
        <w:t>Office 365 Plan G1 (Nutzer-AL) (Server-Pool)</w:t>
      </w:r>
    </w:p>
    <w:p w:rsidR="00D02D7A" w:rsidRPr="00BB5519" w:rsidRDefault="00D02D7A" w:rsidP="00D02D7A">
      <w:pPr>
        <w:rPr>
          <w:lang w:val="de-DE"/>
        </w:rPr>
      </w:pPr>
      <w:r w:rsidRPr="00BB5519">
        <w:rPr>
          <w:lang w:val="de-DE"/>
        </w:rPr>
        <w:t>Office 365 Plan G2 (Nutzer-AL) (Server-Pool)</w:t>
      </w:r>
    </w:p>
    <w:p w:rsidR="00D02D7A" w:rsidRPr="00BB5519" w:rsidRDefault="00D02D7A" w:rsidP="00D02D7A">
      <w:pPr>
        <w:rPr>
          <w:lang w:val="de-DE"/>
        </w:rPr>
      </w:pPr>
      <w:r w:rsidRPr="00BB5519">
        <w:rPr>
          <w:lang w:val="de-DE"/>
        </w:rPr>
        <w:t>Office 365 Plan G3 (Nutzer-AL) (Server-Pool)</w:t>
      </w:r>
    </w:p>
    <w:p w:rsidR="00D02D7A" w:rsidRPr="00BB5519" w:rsidRDefault="00D02D7A" w:rsidP="00D02D7A">
      <w:pPr>
        <w:rPr>
          <w:lang w:val="de-DE"/>
        </w:rPr>
      </w:pPr>
      <w:r w:rsidRPr="00BB5519">
        <w:rPr>
          <w:lang w:val="de-DE"/>
        </w:rPr>
        <w:t>Office 365 Plan G4 (Nutzer-AL) (Server-Pool)</w:t>
      </w:r>
    </w:p>
    <w:p w:rsidR="00D02D7A" w:rsidRPr="00BB5519" w:rsidRDefault="00D02D7A" w:rsidP="00D02D7A">
      <w:pPr>
        <w:rPr>
          <w:lang w:val="de-DE"/>
        </w:rPr>
      </w:pPr>
      <w:r w:rsidRPr="00BB5519">
        <w:rPr>
          <w:lang w:val="de-DE"/>
        </w:rPr>
        <w:t>Office 365 Plan K1 (Nutzer-AL) (Server-Pool)</w:t>
      </w:r>
    </w:p>
    <w:p w:rsidR="00D02D7A" w:rsidRPr="00BB5519" w:rsidRDefault="00D02D7A" w:rsidP="00D02D7A">
      <w:pPr>
        <w:rPr>
          <w:lang w:val="de-DE"/>
        </w:rPr>
      </w:pPr>
      <w:r w:rsidRPr="00BB5519">
        <w:rPr>
          <w:lang w:val="de-DE"/>
        </w:rPr>
        <w:t>Office 365 Plan K2 (Nutzer-AL) (Server-Pool)</w:t>
      </w:r>
    </w:p>
    <w:p w:rsidR="00D02D7A" w:rsidRPr="00BB5519" w:rsidRDefault="00D02D7A" w:rsidP="00D02D7A">
      <w:pPr>
        <w:rPr>
          <w:lang w:val="de-DE"/>
        </w:rPr>
      </w:pPr>
      <w:r w:rsidRPr="00BB5519">
        <w:rPr>
          <w:lang w:val="de-DE"/>
        </w:rPr>
        <w:t>System Center 2012 Endpoint Protection</w:t>
      </w:r>
    </w:p>
    <w:p w:rsidR="00D02D7A" w:rsidRPr="00BB5519" w:rsidRDefault="00D02D7A" w:rsidP="00D02D7A">
      <w:pPr>
        <w:rPr>
          <w:lang w:val="de-DE"/>
        </w:rPr>
      </w:pPr>
      <w:r w:rsidRPr="00BB5519">
        <w:rPr>
          <w:lang w:val="de-DE"/>
        </w:rPr>
        <w:t>Forefront Online Protection für Exchange (Geräte- und Nutzer-AL)</w:t>
      </w:r>
    </w:p>
    <w:p w:rsidR="00D02D7A" w:rsidRPr="00BB5519" w:rsidRDefault="00D02D7A" w:rsidP="00D02D7A">
      <w:pPr>
        <w:rPr>
          <w:lang w:val="de-DE"/>
        </w:rPr>
      </w:pPr>
      <w:r w:rsidRPr="00BB5519">
        <w:rPr>
          <w:lang w:val="de-DE"/>
        </w:rPr>
        <w:t>Microsoft Desktop Optimization Pack für 2012 Software Assurance</w:t>
      </w:r>
    </w:p>
    <w:p w:rsidR="00B65F35" w:rsidRPr="00621662" w:rsidRDefault="00B65F35" w:rsidP="007E466C">
      <w:pPr>
        <w:rPr>
          <w:lang w:val="de-DE"/>
        </w:rPr>
      </w:pPr>
    </w:p>
    <w:p w:rsidR="00D57D2B" w:rsidRPr="00621662" w:rsidRDefault="00D57D2B" w:rsidP="007E466C">
      <w:pPr>
        <w:rPr>
          <w:lang w:val="de-DE"/>
        </w:rPr>
      </w:pPr>
    </w:p>
    <w:p w:rsidR="004759C6" w:rsidRPr="00621662" w:rsidRDefault="004759C6" w:rsidP="004759C6">
      <w:pPr>
        <w:pStyle w:val="Heading2"/>
        <w:ind w:left="0"/>
        <w:jc w:val="both"/>
        <w:rPr>
          <w:rFonts w:ascii="Tahoma" w:hAnsi="Tahoma" w:cs="Tahoma"/>
          <w:color w:val="FF6600"/>
          <w:lang w:val="de-DE"/>
        </w:rPr>
      </w:pPr>
      <w:bookmarkStart w:id="628" w:name="_Toc354054863"/>
      <w:r w:rsidRPr="00621662">
        <w:rPr>
          <w:rFonts w:ascii="Tahoma" w:hAnsi="Tahoma" w:cs="Tahoma"/>
          <w:color w:val="FF6600"/>
          <w:lang w:val="de-DE"/>
        </w:rPr>
        <w:t>ÄNDERUNGEN IM MÄRZ 2013</w:t>
      </w:r>
      <w:bookmarkEnd w:id="628"/>
    </w:p>
    <w:p w:rsidR="004759C6" w:rsidRPr="00621662" w:rsidRDefault="004759C6" w:rsidP="004759C6">
      <w:pPr>
        <w:pStyle w:val="Heading2"/>
        <w:ind w:left="0"/>
        <w:jc w:val="both"/>
        <w:rPr>
          <w:rFonts w:ascii="Tahoma" w:hAnsi="Tahoma" w:cs="Tahoma"/>
          <w:color w:val="FF6600"/>
          <w:sz w:val="18"/>
          <w:lang w:val="de-DE"/>
        </w:rPr>
      </w:pPr>
    </w:p>
    <w:p w:rsidR="0064651F" w:rsidRPr="00621662" w:rsidRDefault="004759C6" w:rsidP="0064651F">
      <w:pPr>
        <w:spacing w:after="60"/>
        <w:rPr>
          <w:b/>
          <w:lang w:val="de-DE"/>
        </w:rPr>
      </w:pPr>
      <w:r w:rsidRPr="00621662">
        <w:rPr>
          <w:b/>
          <w:lang w:val="de-DE"/>
        </w:rPr>
        <w:t>Hinzufügungen</w:t>
      </w:r>
    </w:p>
    <w:p w:rsidR="006D5B20" w:rsidRPr="00BB5519" w:rsidRDefault="006D5B20" w:rsidP="006D5B20">
      <w:pPr>
        <w:rPr>
          <w:lang w:val="de-DE"/>
        </w:rPr>
      </w:pPr>
      <w:r w:rsidRPr="00BB5519">
        <w:rPr>
          <w:rFonts w:cs="Tahoma"/>
          <w:color w:val="000000"/>
          <w:szCs w:val="18"/>
          <w:lang w:val="de-DE"/>
        </w:rPr>
        <w:t>Exchange Online-Archivierung für Exchange Online</w:t>
      </w:r>
    </w:p>
    <w:p w:rsidR="006D5B20" w:rsidRPr="00BB5519" w:rsidRDefault="006D5B20" w:rsidP="006D5B20">
      <w:pPr>
        <w:rPr>
          <w:lang w:val="de-DE"/>
        </w:rPr>
      </w:pPr>
      <w:r w:rsidRPr="00BB5519">
        <w:rPr>
          <w:rFonts w:cs="Tahoma"/>
          <w:color w:val="000000"/>
          <w:szCs w:val="18"/>
          <w:lang w:val="de-DE"/>
        </w:rPr>
        <w:t xml:space="preserve">Exchange Online-Archivierung für Exchange Online A </w:t>
      </w:r>
    </w:p>
    <w:p w:rsidR="006D5B20" w:rsidRPr="00BB5519" w:rsidRDefault="006D5B20" w:rsidP="006D5B20">
      <w:pPr>
        <w:rPr>
          <w:lang w:val="de-DE"/>
        </w:rPr>
      </w:pPr>
      <w:r w:rsidRPr="00BB5519">
        <w:rPr>
          <w:rFonts w:cs="Tahoma"/>
          <w:color w:val="000000"/>
          <w:szCs w:val="18"/>
          <w:lang w:val="de-DE"/>
        </w:rPr>
        <w:t>Exchange Online Protection (Nutzer-AL)</w:t>
      </w:r>
    </w:p>
    <w:p w:rsidR="00140B67" w:rsidRPr="00BB5519" w:rsidRDefault="00140B67" w:rsidP="006D6A83">
      <w:r w:rsidRPr="00BB5519">
        <w:rPr>
          <w:rFonts w:cs="Tahoma"/>
          <w:color w:val="000000"/>
          <w:szCs w:val="18"/>
        </w:rPr>
        <w:t>Office 365 Midsize Business (Nutzer-AL)</w:t>
      </w:r>
    </w:p>
    <w:p w:rsidR="00170CFB" w:rsidRPr="00BB5519" w:rsidRDefault="006D5B20" w:rsidP="006D6A83">
      <w:r w:rsidRPr="00BB5519">
        <w:rPr>
          <w:rFonts w:cs="Tahoma"/>
          <w:color w:val="000000"/>
          <w:szCs w:val="18"/>
        </w:rPr>
        <w:t>Office 365 Plan E1 (Nutzer-AL) SQL Server</w:t>
      </w:r>
      <w:r w:rsidRPr="004C6301">
        <w:rPr>
          <w:rFonts w:cs="Tahoma"/>
          <w:color w:val="000000"/>
          <w:szCs w:val="18"/>
          <w:vertAlign w:val="superscript"/>
        </w:rPr>
        <w:t>®</w:t>
      </w:r>
      <w:r w:rsidRPr="00BB5519">
        <w:rPr>
          <w:rFonts w:cs="Tahoma"/>
          <w:color w:val="000000"/>
          <w:szCs w:val="18"/>
        </w:rPr>
        <w:t xml:space="preserve"> 2012 Parallel Data Warehouse</w:t>
      </w:r>
    </w:p>
    <w:p w:rsidR="006D5B20" w:rsidRPr="00BB5519" w:rsidRDefault="006D5B20" w:rsidP="006D5B20">
      <w:r w:rsidRPr="00BB5519">
        <w:rPr>
          <w:rFonts w:cs="Tahoma"/>
          <w:color w:val="000000"/>
          <w:szCs w:val="18"/>
        </w:rPr>
        <w:t xml:space="preserve">Project Online </w:t>
      </w:r>
    </w:p>
    <w:p w:rsidR="006D5B20" w:rsidRPr="00BB5519" w:rsidRDefault="006D5B20" w:rsidP="006D5B20">
      <w:r w:rsidRPr="00BB5519">
        <w:rPr>
          <w:rFonts w:cs="Tahoma"/>
          <w:color w:val="000000"/>
          <w:szCs w:val="18"/>
        </w:rPr>
        <w:t>Project Online A</w:t>
      </w:r>
      <w:r w:rsidR="009E4976" w:rsidRPr="00BB5519">
        <w:rPr>
          <w:rFonts w:cs="Tahoma"/>
          <w:color w:val="000000"/>
          <w:szCs w:val="18"/>
        </w:rPr>
        <w:t xml:space="preserve"> </w:t>
      </w:r>
    </w:p>
    <w:p w:rsidR="006D5B20" w:rsidRPr="00BB5519" w:rsidRDefault="006D5B20" w:rsidP="006D5B20">
      <w:r w:rsidRPr="00BB5519">
        <w:rPr>
          <w:rFonts w:cs="Tahoma"/>
          <w:color w:val="000000"/>
          <w:szCs w:val="18"/>
        </w:rPr>
        <w:t xml:space="preserve">Project Pro für Office 365 </w:t>
      </w:r>
    </w:p>
    <w:p w:rsidR="006D5B20" w:rsidRPr="00BB5519" w:rsidRDefault="006D5B20" w:rsidP="006D5B20">
      <w:r w:rsidRPr="00BB5519">
        <w:rPr>
          <w:rFonts w:cs="Tahoma"/>
          <w:color w:val="000000"/>
          <w:szCs w:val="18"/>
        </w:rPr>
        <w:t>Project Pro für Office 365 A</w:t>
      </w:r>
      <w:r w:rsidR="009E4976" w:rsidRPr="00BB5519">
        <w:rPr>
          <w:rFonts w:cs="Tahoma"/>
          <w:color w:val="000000"/>
          <w:szCs w:val="18"/>
        </w:rPr>
        <w:t xml:space="preserve"> </w:t>
      </w:r>
    </w:p>
    <w:p w:rsidR="00170CFB" w:rsidRPr="00BB5519" w:rsidRDefault="00170CFB" w:rsidP="006D6A83">
      <w:r w:rsidRPr="00BB5519">
        <w:rPr>
          <w:rFonts w:cs="Tahoma"/>
          <w:color w:val="000000"/>
          <w:szCs w:val="18"/>
        </w:rPr>
        <w:t>SQL Server</w:t>
      </w:r>
      <w:r w:rsidRPr="004C6301">
        <w:rPr>
          <w:rFonts w:cs="Tahoma"/>
          <w:color w:val="000000"/>
          <w:szCs w:val="18"/>
          <w:vertAlign w:val="superscript"/>
        </w:rPr>
        <w:t>®</w:t>
      </w:r>
      <w:r w:rsidRPr="00BB5519">
        <w:rPr>
          <w:rFonts w:cs="Tahoma"/>
          <w:color w:val="000000"/>
          <w:szCs w:val="18"/>
        </w:rPr>
        <w:t xml:space="preserve"> 2012 Parallel Data Warehouse Developer</w:t>
      </w:r>
    </w:p>
    <w:p w:rsidR="00170CFB" w:rsidRPr="00BB5519" w:rsidRDefault="00170CFB" w:rsidP="006D6A83">
      <w:pPr>
        <w:rPr>
          <w:lang w:val="it-IT"/>
        </w:rPr>
      </w:pPr>
      <w:r w:rsidRPr="00BB5519">
        <w:rPr>
          <w:rFonts w:cs="Tahoma"/>
          <w:color w:val="000000"/>
          <w:szCs w:val="18"/>
          <w:lang w:val="it-IT"/>
        </w:rPr>
        <w:t>Visio Pro für Office 365 A</w:t>
      </w:r>
      <w:r w:rsidR="009E4976" w:rsidRPr="00BB5519">
        <w:rPr>
          <w:rFonts w:cs="Tahoma"/>
          <w:color w:val="000000"/>
          <w:szCs w:val="18"/>
          <w:lang w:val="it-IT"/>
        </w:rPr>
        <w:t xml:space="preserve"> </w:t>
      </w:r>
    </w:p>
    <w:p w:rsidR="00170CFB" w:rsidRPr="00BB5519" w:rsidRDefault="00170CFB" w:rsidP="006D6A83">
      <w:pPr>
        <w:rPr>
          <w:lang w:val="it-IT"/>
        </w:rPr>
      </w:pPr>
      <w:r w:rsidRPr="00BB5519">
        <w:rPr>
          <w:rFonts w:cs="Tahoma"/>
          <w:color w:val="000000"/>
          <w:szCs w:val="18"/>
          <w:lang w:val="it-IT"/>
        </w:rPr>
        <w:t xml:space="preserve">Visio Pro für Office 365 </w:t>
      </w:r>
    </w:p>
    <w:p w:rsidR="00170CFB" w:rsidRPr="00BB5519" w:rsidRDefault="00170CFB" w:rsidP="006D6A83">
      <w:pPr>
        <w:rPr>
          <w:lang w:val="de-DE"/>
        </w:rPr>
      </w:pPr>
      <w:r w:rsidRPr="00BB5519">
        <w:rPr>
          <w:rFonts w:cs="Tahoma"/>
          <w:color w:val="000000"/>
          <w:szCs w:val="18"/>
          <w:lang w:val="de-DE"/>
        </w:rPr>
        <w:t xml:space="preserve">Yammer Enterprise </w:t>
      </w:r>
    </w:p>
    <w:p w:rsidR="004759C6" w:rsidRPr="00621662" w:rsidRDefault="004759C6" w:rsidP="004C6301">
      <w:pPr>
        <w:rPr>
          <w:lang w:val="de-DE"/>
        </w:rPr>
      </w:pPr>
    </w:p>
    <w:p w:rsidR="004759C6" w:rsidRPr="00BB5519" w:rsidRDefault="004759C6" w:rsidP="004759C6">
      <w:pPr>
        <w:spacing w:after="60"/>
        <w:rPr>
          <w:lang w:val="de-DE"/>
        </w:rPr>
      </w:pPr>
      <w:r w:rsidRPr="00BB5519">
        <w:rPr>
          <w:b/>
          <w:lang w:val="de-DE"/>
        </w:rPr>
        <w:t>Änderungen</w:t>
      </w:r>
    </w:p>
    <w:p w:rsidR="00497ADA" w:rsidRPr="00BB5519" w:rsidRDefault="00497ADA" w:rsidP="006D5B20">
      <w:pPr>
        <w:rPr>
          <w:lang w:val="de-DE"/>
        </w:rPr>
      </w:pPr>
      <w:r w:rsidRPr="00BB5519">
        <w:rPr>
          <w:rFonts w:cs="Tahoma"/>
          <w:color w:val="000000"/>
          <w:szCs w:val="18"/>
          <w:lang w:val="de-DE"/>
        </w:rPr>
        <w:t>Dynamics CRM Online</w:t>
      </w:r>
    </w:p>
    <w:p w:rsidR="006D5B20" w:rsidRPr="00BB5519" w:rsidRDefault="006D5B20" w:rsidP="006D5B20">
      <w:pPr>
        <w:rPr>
          <w:lang w:val="de-DE"/>
        </w:rPr>
      </w:pPr>
      <w:r w:rsidRPr="00BB5519">
        <w:rPr>
          <w:rFonts w:cs="Tahoma"/>
          <w:color w:val="000000"/>
          <w:szCs w:val="18"/>
          <w:lang w:val="de-DE"/>
        </w:rPr>
        <w:t>Exchange Online-Archivierung für Exchange Server</w:t>
      </w:r>
    </w:p>
    <w:p w:rsidR="006D5B20" w:rsidRPr="00BB5519" w:rsidRDefault="006D5B20" w:rsidP="006D5B20">
      <w:pPr>
        <w:rPr>
          <w:lang w:val="de-DE"/>
        </w:rPr>
      </w:pPr>
      <w:r w:rsidRPr="00BB5519">
        <w:rPr>
          <w:rFonts w:cs="Tahoma"/>
          <w:color w:val="000000"/>
          <w:szCs w:val="18"/>
          <w:lang w:val="de-DE"/>
        </w:rPr>
        <w:t>Exchange Online Plan 1 (Nutzer-AL)</w:t>
      </w:r>
    </w:p>
    <w:p w:rsidR="006D5B20" w:rsidRPr="00BB5519" w:rsidRDefault="006D5B20" w:rsidP="006D5B20">
      <w:pPr>
        <w:rPr>
          <w:lang w:val="de-DE"/>
        </w:rPr>
      </w:pPr>
      <w:r w:rsidRPr="00BB5519">
        <w:rPr>
          <w:rFonts w:cs="Tahoma"/>
          <w:color w:val="000000"/>
          <w:szCs w:val="18"/>
          <w:lang w:val="de-DE"/>
        </w:rPr>
        <w:t>Exchange Online Plan 2 (Nutzer-AL)</w:t>
      </w:r>
    </w:p>
    <w:p w:rsidR="006D5B20" w:rsidRPr="00BB5519" w:rsidRDefault="006D5B20" w:rsidP="006D5B20">
      <w:pPr>
        <w:rPr>
          <w:lang w:val="de-DE"/>
        </w:rPr>
      </w:pPr>
      <w:r w:rsidRPr="00BB5519">
        <w:rPr>
          <w:rFonts w:cs="Tahoma"/>
          <w:color w:val="000000"/>
          <w:szCs w:val="18"/>
          <w:lang w:val="de-DE"/>
        </w:rPr>
        <w:t>Exchange Online Plan 1A für Alumni (Nutzer-AL)</w:t>
      </w:r>
    </w:p>
    <w:p w:rsidR="006D5B20" w:rsidRPr="00BB5519" w:rsidRDefault="006D5B20" w:rsidP="006D5B20">
      <w:pPr>
        <w:rPr>
          <w:lang w:val="de-DE"/>
        </w:rPr>
      </w:pPr>
      <w:r w:rsidRPr="00BB5519">
        <w:rPr>
          <w:rFonts w:cs="Tahoma"/>
          <w:color w:val="000000"/>
          <w:szCs w:val="18"/>
          <w:lang w:val="de-DE"/>
        </w:rPr>
        <w:t>Exchange Online Plan 2A (Nutzer-AL)</w:t>
      </w:r>
    </w:p>
    <w:p w:rsidR="006D5B20" w:rsidRPr="00BB5519" w:rsidRDefault="006D5B20" w:rsidP="006D5B20">
      <w:pPr>
        <w:rPr>
          <w:lang w:val="de-DE"/>
        </w:rPr>
      </w:pPr>
      <w:r w:rsidRPr="00BB5519">
        <w:rPr>
          <w:rFonts w:cs="Tahoma"/>
          <w:color w:val="000000"/>
          <w:szCs w:val="18"/>
          <w:lang w:val="de-DE"/>
        </w:rPr>
        <w:t>Lync Online Plan 3A (Nutzer-AL)</w:t>
      </w:r>
    </w:p>
    <w:p w:rsidR="00497ADA" w:rsidRPr="00BB5519" w:rsidRDefault="00497ADA" w:rsidP="006D5B20">
      <w:pPr>
        <w:rPr>
          <w:lang w:val="de-DE"/>
        </w:rPr>
      </w:pPr>
      <w:r w:rsidRPr="00BB5519">
        <w:rPr>
          <w:rFonts w:cs="Tahoma"/>
          <w:color w:val="000000"/>
          <w:szCs w:val="18"/>
          <w:lang w:val="de-DE"/>
        </w:rPr>
        <w:t>Microsoft Dynamics CRM 2011 Server</w:t>
      </w:r>
    </w:p>
    <w:p w:rsidR="006D5B20" w:rsidRPr="00BB5519" w:rsidRDefault="006D5B20" w:rsidP="006D5B20">
      <w:pPr>
        <w:rPr>
          <w:lang w:val="de-DE"/>
        </w:rPr>
      </w:pPr>
      <w:r w:rsidRPr="00BB5519">
        <w:rPr>
          <w:rFonts w:cs="Tahoma"/>
          <w:color w:val="000000"/>
          <w:szCs w:val="18"/>
          <w:lang w:val="de-DE"/>
        </w:rPr>
        <w:t>Microsoft Windows Azure-Supportangebote</w:t>
      </w:r>
    </w:p>
    <w:p w:rsidR="006D5B20" w:rsidRPr="00BB5519" w:rsidRDefault="006D5B20" w:rsidP="006D5B20">
      <w:r w:rsidRPr="00BB5519">
        <w:rPr>
          <w:rFonts w:cs="Tahoma"/>
          <w:color w:val="000000"/>
          <w:szCs w:val="18"/>
        </w:rPr>
        <w:t>Office 365 A2 (Nutzer-AL)</w:t>
      </w:r>
    </w:p>
    <w:p w:rsidR="006D5B20" w:rsidRPr="00BB5519" w:rsidRDefault="006D5B20" w:rsidP="006D5B20">
      <w:r w:rsidRPr="00BB5519">
        <w:rPr>
          <w:rFonts w:cs="Tahoma"/>
          <w:color w:val="000000"/>
          <w:szCs w:val="18"/>
        </w:rPr>
        <w:t>Office 365 A3 (Nutzer-AL)</w:t>
      </w:r>
    </w:p>
    <w:p w:rsidR="006D5B20" w:rsidRPr="00BB5519" w:rsidRDefault="006D5B20" w:rsidP="006D5B20">
      <w:r w:rsidRPr="00BB5519">
        <w:rPr>
          <w:rFonts w:cs="Tahoma"/>
          <w:color w:val="000000"/>
          <w:szCs w:val="18"/>
        </w:rPr>
        <w:t>Office 365 A4 (Nutzer-AL)</w:t>
      </w:r>
    </w:p>
    <w:p w:rsidR="006D5B20" w:rsidRPr="00BB5519" w:rsidRDefault="006D5B20" w:rsidP="006D5B20">
      <w:r w:rsidRPr="00BB5519">
        <w:rPr>
          <w:rFonts w:cs="Tahoma"/>
          <w:color w:val="000000"/>
          <w:szCs w:val="18"/>
        </w:rPr>
        <w:t>Office Professional Plus-Abonnement A (Nutzer-AL)</w:t>
      </w:r>
    </w:p>
    <w:p w:rsidR="006D5B20" w:rsidRPr="00BB5519" w:rsidRDefault="006D5B20" w:rsidP="006D5B20">
      <w:r w:rsidRPr="00BB5519">
        <w:rPr>
          <w:rFonts w:cs="Tahoma"/>
          <w:color w:val="000000"/>
          <w:szCs w:val="18"/>
        </w:rPr>
        <w:t>Office Web-Anwendungen mit SharePoint Plan 2A (Nutzer-AL)</w:t>
      </w:r>
    </w:p>
    <w:p w:rsidR="006D5B20" w:rsidRPr="00BB5519" w:rsidRDefault="006D5B20" w:rsidP="006D6A83">
      <w:r w:rsidRPr="00BB5519">
        <w:rPr>
          <w:rFonts w:cs="Tahoma"/>
          <w:color w:val="000000"/>
          <w:szCs w:val="18"/>
        </w:rPr>
        <w:t>SharePoint™ Online Extra Storage 1 GB A (Add-On-AL)</w:t>
      </w:r>
    </w:p>
    <w:p w:rsidR="00170CFB" w:rsidRPr="00BB5519" w:rsidRDefault="00170CFB" w:rsidP="006D6A83">
      <w:r w:rsidRPr="00BB5519">
        <w:rPr>
          <w:rFonts w:cs="Tahoma"/>
          <w:color w:val="000000"/>
          <w:szCs w:val="18"/>
        </w:rPr>
        <w:lastRenderedPageBreak/>
        <w:t>Enterprise-Server-Management-Lizenz für System Center Configuration Manager 2007 R3</w:t>
      </w:r>
    </w:p>
    <w:p w:rsidR="00170CFB" w:rsidRPr="00BB5519" w:rsidRDefault="00170CFB" w:rsidP="006D6A83">
      <w:r w:rsidRPr="00BB5519">
        <w:rPr>
          <w:rFonts w:cs="Tahoma"/>
          <w:color w:val="000000"/>
          <w:szCs w:val="18"/>
        </w:rPr>
        <w:t>Standard-Server-Management-Lizenz (Standard-Server-ML) für System Center Configuration Manager 2007 R3</w:t>
      </w:r>
    </w:p>
    <w:p w:rsidR="00170CFB" w:rsidRPr="00BB5519" w:rsidRDefault="00170CFB" w:rsidP="006D6A83">
      <w:r w:rsidRPr="00BB5519">
        <w:rPr>
          <w:rFonts w:cs="Tahoma"/>
          <w:color w:val="000000"/>
          <w:szCs w:val="18"/>
        </w:rPr>
        <w:t>Enterprise-Server-Management-Lizenz für System Center Data Protection Manager 2010</w:t>
      </w:r>
    </w:p>
    <w:p w:rsidR="00170CFB" w:rsidRPr="00BB5519" w:rsidRDefault="00170CFB" w:rsidP="006D6A83">
      <w:r w:rsidRPr="00BB5519">
        <w:rPr>
          <w:rFonts w:cs="Tahoma"/>
          <w:color w:val="000000"/>
          <w:szCs w:val="18"/>
        </w:rPr>
        <w:t>Standard-Server-Management-Lizenz für System Center Data Protection Manager 2010</w:t>
      </w:r>
    </w:p>
    <w:p w:rsidR="00170CFB" w:rsidRPr="00BB5519" w:rsidRDefault="00170CFB" w:rsidP="006D6A83">
      <w:pPr>
        <w:rPr>
          <w:lang w:val="de-DE"/>
        </w:rPr>
      </w:pPr>
      <w:r w:rsidRPr="00BB5519">
        <w:rPr>
          <w:rFonts w:cs="Tahoma"/>
          <w:color w:val="000000"/>
          <w:szCs w:val="18"/>
          <w:lang w:val="de-DE"/>
        </w:rPr>
        <w:t>Client-Management-Lizenz pro Nutzer für System Center Operations Manager 2007 R2</w:t>
      </w:r>
    </w:p>
    <w:p w:rsidR="00170CFB" w:rsidRPr="00BB5519" w:rsidRDefault="00170CFB" w:rsidP="006D6A83">
      <w:pPr>
        <w:rPr>
          <w:lang w:val="de-DE"/>
        </w:rPr>
      </w:pPr>
      <w:r w:rsidRPr="00BB5519">
        <w:rPr>
          <w:rFonts w:cs="Tahoma"/>
          <w:color w:val="000000"/>
          <w:szCs w:val="18"/>
          <w:lang w:val="de-DE"/>
        </w:rPr>
        <w:t>Client-Management-Lizenz pro OSE für System Center Operations Manager 2007 R2</w:t>
      </w:r>
    </w:p>
    <w:p w:rsidR="00170CFB" w:rsidRPr="00BB5519" w:rsidRDefault="00170CFB" w:rsidP="006D6A83">
      <w:pPr>
        <w:rPr>
          <w:lang w:val="de-DE"/>
        </w:rPr>
      </w:pPr>
      <w:r w:rsidRPr="00BB5519">
        <w:rPr>
          <w:rFonts w:cs="Tahoma"/>
          <w:color w:val="000000"/>
          <w:szCs w:val="18"/>
          <w:lang w:val="de-DE"/>
        </w:rPr>
        <w:t>Enterprise-Server-Management-Lizenz für System Center Operations Manager 2007 R2</w:t>
      </w:r>
    </w:p>
    <w:p w:rsidR="00170CFB" w:rsidRPr="00BB5519" w:rsidRDefault="00170CFB" w:rsidP="006D6A83">
      <w:pPr>
        <w:rPr>
          <w:lang w:val="de-DE"/>
        </w:rPr>
      </w:pPr>
      <w:r w:rsidRPr="00BB5519">
        <w:rPr>
          <w:rFonts w:cs="Tahoma"/>
          <w:color w:val="000000"/>
          <w:szCs w:val="18"/>
          <w:lang w:val="de-DE"/>
        </w:rPr>
        <w:t>Standard-Server-Management-Lizenz für System Center Operations Manager 2007 R2</w:t>
      </w:r>
    </w:p>
    <w:p w:rsidR="00170CFB" w:rsidRPr="00BB5519" w:rsidRDefault="00170CFB" w:rsidP="006D6A83">
      <w:pPr>
        <w:rPr>
          <w:lang w:val="de-DE"/>
        </w:rPr>
      </w:pPr>
      <w:r w:rsidRPr="00BB5519">
        <w:rPr>
          <w:rFonts w:cs="Tahoma"/>
          <w:color w:val="000000"/>
          <w:szCs w:val="18"/>
          <w:lang w:val="de-DE"/>
        </w:rPr>
        <w:t>Client-Management-Lizenz (Client-ML) für System Center Service Manager 2010 pro Nutzer</w:t>
      </w:r>
    </w:p>
    <w:p w:rsidR="00170CFB" w:rsidRPr="00BB5519" w:rsidRDefault="00170CFB" w:rsidP="006D6A83">
      <w:pPr>
        <w:rPr>
          <w:lang w:val="de-DE"/>
        </w:rPr>
      </w:pPr>
      <w:r w:rsidRPr="00BB5519">
        <w:rPr>
          <w:rFonts w:cs="Tahoma"/>
          <w:color w:val="000000"/>
          <w:szCs w:val="18"/>
          <w:lang w:val="de-DE"/>
        </w:rPr>
        <w:t>Client-Management-Lizenz (Client-ML) für System Center Service Manager 2010 pro Betriebssystemumgebung</w:t>
      </w:r>
    </w:p>
    <w:p w:rsidR="00170CFB" w:rsidRPr="00BB5519" w:rsidRDefault="00170CFB" w:rsidP="006D6A83">
      <w:pPr>
        <w:rPr>
          <w:lang w:val="de-DE"/>
        </w:rPr>
      </w:pPr>
      <w:r w:rsidRPr="00BB5519">
        <w:rPr>
          <w:rFonts w:cs="Tahoma"/>
          <w:color w:val="000000"/>
          <w:szCs w:val="18"/>
          <w:lang w:val="de-DE"/>
        </w:rPr>
        <w:t>Server-Management-Lizenz (Server-ML) für System Center Service Manager 2010 pro Betriebssystemumgebung</w:t>
      </w:r>
    </w:p>
    <w:p w:rsidR="00170CFB" w:rsidRPr="00BB5519" w:rsidRDefault="00170CFB" w:rsidP="006D6A83">
      <w:pPr>
        <w:rPr>
          <w:lang w:val="de-DE"/>
        </w:rPr>
      </w:pPr>
      <w:r w:rsidRPr="00BB5519">
        <w:rPr>
          <w:rFonts w:cs="Tahoma"/>
          <w:color w:val="000000"/>
          <w:szCs w:val="18"/>
          <w:lang w:val="de-DE"/>
        </w:rPr>
        <w:t>Client-Management-Lizenz für System Center Virtual Machine Manager 2008 R2 pro Nutzer</w:t>
      </w:r>
    </w:p>
    <w:p w:rsidR="00170CFB" w:rsidRPr="00BB5519" w:rsidRDefault="00170CFB" w:rsidP="006D6A83">
      <w:pPr>
        <w:rPr>
          <w:lang w:val="de-DE"/>
        </w:rPr>
      </w:pPr>
      <w:r w:rsidRPr="00BB5519">
        <w:rPr>
          <w:rFonts w:cs="Tahoma"/>
          <w:color w:val="000000"/>
          <w:szCs w:val="18"/>
          <w:lang w:val="de-DE"/>
        </w:rPr>
        <w:t>Client-Management-Lizenz für System Center Virtual Machine Manager 2008 R2 pro Betriebssystemumgebung</w:t>
      </w:r>
    </w:p>
    <w:p w:rsidR="00170CFB" w:rsidRPr="00BB5519" w:rsidRDefault="00170CFB" w:rsidP="006D6A83">
      <w:pPr>
        <w:rPr>
          <w:lang w:val="de-DE"/>
        </w:rPr>
      </w:pPr>
      <w:r w:rsidRPr="00BB5519">
        <w:rPr>
          <w:rFonts w:cs="Tahoma"/>
          <w:color w:val="000000"/>
          <w:szCs w:val="18"/>
          <w:lang w:val="de-DE"/>
        </w:rPr>
        <w:t>Enterprise-Server-Management-Lizenz für System Center Virtual Machine Manager 2008 R2</w:t>
      </w:r>
    </w:p>
    <w:p w:rsidR="0064651F" w:rsidRPr="00BB5519" w:rsidRDefault="00497ADA">
      <w:pPr>
        <w:rPr>
          <w:lang w:val="de-DE"/>
        </w:rPr>
      </w:pPr>
      <w:r w:rsidRPr="00BB5519">
        <w:rPr>
          <w:rFonts w:cs="Tahoma"/>
          <w:color w:val="000000"/>
          <w:szCs w:val="18"/>
          <w:lang w:val="de-DE"/>
        </w:rPr>
        <w:t>Nutzer-AL für Windows Intune</w:t>
      </w:r>
    </w:p>
    <w:p w:rsidR="004C6301" w:rsidRPr="00621662" w:rsidRDefault="004C6301" w:rsidP="004C6301">
      <w:pPr>
        <w:rPr>
          <w:b/>
          <w:lang w:val="de-DE"/>
        </w:rPr>
      </w:pPr>
    </w:p>
    <w:p w:rsidR="004759C6" w:rsidRPr="00BB5519" w:rsidRDefault="004759C6" w:rsidP="0064651F">
      <w:pPr>
        <w:keepNext/>
        <w:tabs>
          <w:tab w:val="num" w:pos="720"/>
        </w:tabs>
        <w:spacing w:after="60"/>
        <w:outlineLvl w:val="3"/>
        <w:rPr>
          <w:lang w:val="de-DE"/>
        </w:rPr>
      </w:pPr>
      <w:r w:rsidRPr="00BB5519">
        <w:rPr>
          <w:b/>
          <w:lang w:val="de-DE"/>
        </w:rPr>
        <w:t>Streichungen</w:t>
      </w:r>
    </w:p>
    <w:p w:rsidR="006D5B20" w:rsidRPr="00BB5519" w:rsidRDefault="006D5B20" w:rsidP="006D5B20">
      <w:pPr>
        <w:rPr>
          <w:lang w:val="it-IT"/>
        </w:rPr>
      </w:pPr>
      <w:r w:rsidRPr="00BB5519">
        <w:rPr>
          <w:rFonts w:cs="Tahoma"/>
          <w:color w:val="000000"/>
          <w:szCs w:val="18"/>
          <w:lang w:val="it-IT"/>
        </w:rPr>
        <w:t>Expression Studio Professional 4</w:t>
      </w:r>
    </w:p>
    <w:p w:rsidR="006D5B20" w:rsidRPr="00BB5519" w:rsidRDefault="006D5B20" w:rsidP="006D5B20">
      <w:pPr>
        <w:rPr>
          <w:lang w:val="it-IT"/>
        </w:rPr>
      </w:pPr>
      <w:r w:rsidRPr="00BB5519">
        <w:rPr>
          <w:rFonts w:cs="Tahoma"/>
          <w:color w:val="000000"/>
          <w:szCs w:val="18"/>
          <w:lang w:val="it-IT"/>
        </w:rPr>
        <w:t>Expression Studio Ultimate 4</w:t>
      </w:r>
    </w:p>
    <w:p w:rsidR="006D5B20" w:rsidRPr="00BB5519" w:rsidRDefault="006D5B20" w:rsidP="006D5B20">
      <w:pPr>
        <w:rPr>
          <w:lang w:val="de-DE"/>
        </w:rPr>
      </w:pPr>
      <w:r w:rsidRPr="00BB5519">
        <w:rPr>
          <w:rFonts w:cs="Tahoma"/>
          <w:color w:val="000000"/>
          <w:szCs w:val="18"/>
          <w:lang w:val="de-DE"/>
        </w:rPr>
        <w:t>Office-Webanwendungen A (Nutzer-AL)</w:t>
      </w:r>
    </w:p>
    <w:p w:rsidR="006D5B20" w:rsidRPr="00BB5519" w:rsidRDefault="006D5B20" w:rsidP="006D5B20">
      <w:r w:rsidRPr="00BB5519">
        <w:rPr>
          <w:rFonts w:cs="Tahoma"/>
          <w:color w:val="000000"/>
          <w:szCs w:val="18"/>
        </w:rPr>
        <w:t>SQL Server</w:t>
      </w:r>
      <w:r w:rsidRPr="004C6301">
        <w:rPr>
          <w:rFonts w:cs="Tahoma"/>
          <w:color w:val="000000"/>
          <w:szCs w:val="18"/>
          <w:vertAlign w:val="superscript"/>
        </w:rPr>
        <w:t>®</w:t>
      </w:r>
      <w:r w:rsidRPr="00BB5519">
        <w:rPr>
          <w:rFonts w:cs="Tahoma"/>
          <w:color w:val="000000"/>
          <w:szCs w:val="18"/>
        </w:rPr>
        <w:t xml:space="preserve"> 2008 R2 Parallel Data Warehouse</w:t>
      </w:r>
    </w:p>
    <w:p w:rsidR="006D5B20" w:rsidRPr="00BB5519" w:rsidRDefault="006D5B20" w:rsidP="006D5B20">
      <w:r w:rsidRPr="00BB5519">
        <w:rPr>
          <w:rFonts w:cs="Tahoma"/>
          <w:color w:val="000000"/>
          <w:szCs w:val="18"/>
        </w:rPr>
        <w:t>SQL Server</w:t>
      </w:r>
      <w:r w:rsidRPr="004C6301">
        <w:rPr>
          <w:rFonts w:cs="Tahoma"/>
          <w:color w:val="000000"/>
          <w:szCs w:val="18"/>
          <w:vertAlign w:val="superscript"/>
        </w:rPr>
        <w:t>®</w:t>
      </w:r>
      <w:r w:rsidRPr="00BB5519">
        <w:rPr>
          <w:rFonts w:cs="Tahoma"/>
          <w:color w:val="000000"/>
          <w:szCs w:val="18"/>
        </w:rPr>
        <w:t xml:space="preserve"> 2008 R2 Parallel Data Warehouse Developer</w:t>
      </w:r>
    </w:p>
    <w:p w:rsidR="00170CFB" w:rsidRPr="00BB5519" w:rsidRDefault="00170CFB" w:rsidP="006D6A83">
      <w:r w:rsidRPr="00BB5519">
        <w:rPr>
          <w:rFonts w:cs="Tahoma"/>
          <w:color w:val="000000"/>
          <w:szCs w:val="18"/>
        </w:rPr>
        <w:t>System Center Configuration Manager 2007 R3</w:t>
      </w:r>
    </w:p>
    <w:p w:rsidR="00170CFB" w:rsidRPr="00BB5519" w:rsidRDefault="00170CFB" w:rsidP="006D6A83">
      <w:r w:rsidRPr="00BB5519">
        <w:rPr>
          <w:rFonts w:cs="Tahoma"/>
          <w:color w:val="000000"/>
          <w:szCs w:val="18"/>
        </w:rPr>
        <w:t>System Center Configuration Manager 2007 R3 mit SQL Server 2008-Technologie</w:t>
      </w:r>
    </w:p>
    <w:p w:rsidR="00170CFB" w:rsidRPr="00BB5519" w:rsidRDefault="00170CFB" w:rsidP="006D6A83">
      <w:r w:rsidRPr="00BB5519">
        <w:rPr>
          <w:rFonts w:cs="Tahoma"/>
          <w:color w:val="000000"/>
          <w:szCs w:val="18"/>
        </w:rPr>
        <w:t>Client-Management-Lizenz für System Center Data Protection Manager 2010 pro Nutzer</w:t>
      </w:r>
    </w:p>
    <w:p w:rsidR="00170CFB" w:rsidRPr="00BB5519" w:rsidRDefault="00170CFB" w:rsidP="006D6A83">
      <w:pPr>
        <w:rPr>
          <w:lang w:val="de-DE"/>
        </w:rPr>
      </w:pPr>
      <w:r w:rsidRPr="00BB5519">
        <w:rPr>
          <w:rFonts w:cs="Tahoma"/>
          <w:color w:val="000000"/>
          <w:szCs w:val="18"/>
          <w:lang w:val="de-DE"/>
        </w:rPr>
        <w:t>Client-Management-Lizenz für System Center Data Protection Manager 2010 pro Betriebssystemumgebung</w:t>
      </w:r>
    </w:p>
    <w:p w:rsidR="00170CFB" w:rsidRPr="00BB5519" w:rsidRDefault="00170CFB" w:rsidP="006D6A83">
      <w:pPr>
        <w:rPr>
          <w:lang w:val="de-DE"/>
        </w:rPr>
      </w:pPr>
      <w:r w:rsidRPr="00BB5519">
        <w:rPr>
          <w:rFonts w:cs="Tahoma"/>
          <w:color w:val="000000"/>
          <w:szCs w:val="18"/>
          <w:lang w:val="de-DE"/>
        </w:rPr>
        <w:t>System Center Operations Manager 2007 R2</w:t>
      </w:r>
    </w:p>
    <w:p w:rsidR="00170CFB" w:rsidRPr="00BB5519" w:rsidRDefault="00170CFB" w:rsidP="006D6A83">
      <w:pPr>
        <w:rPr>
          <w:lang w:val="de-DE"/>
        </w:rPr>
      </w:pPr>
      <w:r w:rsidRPr="00BB5519">
        <w:rPr>
          <w:rFonts w:cs="Tahoma"/>
          <w:color w:val="000000"/>
          <w:szCs w:val="18"/>
          <w:lang w:val="de-DE"/>
        </w:rPr>
        <w:t>System Center Operations Manager 2007 R2 mit SQL Server 2008-Technologie</w:t>
      </w:r>
    </w:p>
    <w:p w:rsidR="00170CFB" w:rsidRPr="00BB5519" w:rsidRDefault="00170CFB" w:rsidP="006D6A83">
      <w:pPr>
        <w:rPr>
          <w:lang w:val="de-DE"/>
        </w:rPr>
      </w:pPr>
      <w:r w:rsidRPr="00BB5519">
        <w:rPr>
          <w:rFonts w:cs="Tahoma"/>
          <w:color w:val="000000"/>
          <w:szCs w:val="18"/>
          <w:lang w:val="de-DE"/>
        </w:rPr>
        <w:t>System Center Service Manager 2010</w:t>
      </w:r>
    </w:p>
    <w:p w:rsidR="00170CFB" w:rsidRPr="00BB5519" w:rsidRDefault="00170CFB" w:rsidP="006D6A83">
      <w:pPr>
        <w:rPr>
          <w:lang w:val="de-DE"/>
        </w:rPr>
      </w:pPr>
      <w:r w:rsidRPr="00BB5519">
        <w:rPr>
          <w:rFonts w:cs="Tahoma"/>
          <w:color w:val="000000"/>
          <w:szCs w:val="18"/>
          <w:lang w:val="de-DE"/>
        </w:rPr>
        <w:t>System Center Service Manager 2010 mit SQL Server 2008-Technologie</w:t>
      </w:r>
    </w:p>
    <w:p w:rsidR="00170CFB" w:rsidRPr="00BB5519" w:rsidRDefault="00170CFB" w:rsidP="006D6A83">
      <w:pPr>
        <w:rPr>
          <w:lang w:val="de-DE"/>
        </w:rPr>
      </w:pPr>
      <w:r w:rsidRPr="00BB5519">
        <w:rPr>
          <w:rFonts w:cs="Tahoma"/>
          <w:color w:val="000000"/>
          <w:szCs w:val="18"/>
          <w:lang w:val="de-DE"/>
        </w:rPr>
        <w:t>System Center Essentials 2010</w:t>
      </w:r>
    </w:p>
    <w:p w:rsidR="00170CFB" w:rsidRPr="00BB5519" w:rsidRDefault="00170CFB" w:rsidP="006D6A83">
      <w:pPr>
        <w:rPr>
          <w:lang w:val="de-DE"/>
        </w:rPr>
      </w:pPr>
      <w:r w:rsidRPr="00BB5519">
        <w:rPr>
          <w:rFonts w:cs="Tahoma"/>
          <w:color w:val="000000"/>
          <w:szCs w:val="18"/>
          <w:lang w:val="de-DE"/>
        </w:rPr>
        <w:t>Client-ML für System Center Essentials 2010</w:t>
      </w:r>
    </w:p>
    <w:p w:rsidR="00170CFB" w:rsidRPr="00BB5519" w:rsidRDefault="00170CFB" w:rsidP="006D6A83">
      <w:pPr>
        <w:rPr>
          <w:lang w:val="de-DE"/>
        </w:rPr>
      </w:pPr>
      <w:r w:rsidRPr="00BB5519">
        <w:rPr>
          <w:rFonts w:cs="Tahoma"/>
          <w:color w:val="000000"/>
          <w:szCs w:val="18"/>
          <w:lang w:val="de-DE"/>
        </w:rPr>
        <w:t>Server-ML für System Center Essentials 2010</w:t>
      </w:r>
    </w:p>
    <w:p w:rsidR="00170CFB" w:rsidRPr="00BB5519" w:rsidRDefault="00170CFB" w:rsidP="006D6A83">
      <w:pPr>
        <w:rPr>
          <w:lang w:val="de-DE"/>
        </w:rPr>
      </w:pPr>
      <w:r w:rsidRPr="00BB5519">
        <w:rPr>
          <w:rFonts w:cs="Tahoma"/>
          <w:color w:val="000000"/>
          <w:szCs w:val="18"/>
          <w:lang w:val="de-DE"/>
        </w:rPr>
        <w:t xml:space="preserve">System Center Essentials 2010 mit SQL Server 2008-Technologie </w:t>
      </w:r>
    </w:p>
    <w:p w:rsidR="00170CFB" w:rsidRPr="00BB5519" w:rsidRDefault="00170CFB" w:rsidP="006D6A83">
      <w:pPr>
        <w:rPr>
          <w:lang w:val="de-DE"/>
        </w:rPr>
      </w:pPr>
      <w:r w:rsidRPr="00BB5519">
        <w:rPr>
          <w:rFonts w:cs="Tahoma"/>
          <w:color w:val="000000"/>
          <w:szCs w:val="18"/>
          <w:lang w:val="de-DE"/>
        </w:rPr>
        <w:t>Lizenz-Suite für System Center Essentials Plus 2010 Client-Management</w:t>
      </w:r>
    </w:p>
    <w:p w:rsidR="00170CFB" w:rsidRPr="00BB5519" w:rsidRDefault="00170CFB" w:rsidP="006D6A83">
      <w:pPr>
        <w:rPr>
          <w:lang w:val="de-DE"/>
        </w:rPr>
      </w:pPr>
      <w:r w:rsidRPr="00BB5519">
        <w:rPr>
          <w:rFonts w:cs="Tahoma"/>
          <w:color w:val="000000"/>
          <w:szCs w:val="18"/>
          <w:lang w:val="de-DE"/>
        </w:rPr>
        <w:t>Lizenz-Suite für System Center Essentials Plus 2010 Server Management</w:t>
      </w:r>
    </w:p>
    <w:p w:rsidR="00170CFB" w:rsidRPr="00BB5519" w:rsidRDefault="00170CFB" w:rsidP="006D6A83">
      <w:pPr>
        <w:rPr>
          <w:lang w:val="de-DE"/>
        </w:rPr>
      </w:pPr>
      <w:r w:rsidRPr="00BB5519">
        <w:rPr>
          <w:rFonts w:cs="Tahoma"/>
          <w:color w:val="000000"/>
          <w:szCs w:val="18"/>
          <w:lang w:val="de-DE"/>
        </w:rPr>
        <w:t>System Center Virtual Machine Manager 2008 R2 Workgroup Edition</w:t>
      </w:r>
    </w:p>
    <w:p w:rsidR="00170CFB" w:rsidRPr="00BB5519" w:rsidRDefault="00170CFB" w:rsidP="006D6A83">
      <w:r w:rsidRPr="00BB5519">
        <w:rPr>
          <w:rFonts w:cs="Tahoma"/>
          <w:color w:val="000000"/>
          <w:szCs w:val="18"/>
        </w:rPr>
        <w:t>External Connector für Visual Studio</w:t>
      </w:r>
      <w:r w:rsidRPr="004C6301">
        <w:rPr>
          <w:rFonts w:cs="Tahoma"/>
          <w:color w:val="000000"/>
          <w:szCs w:val="18"/>
          <w:vertAlign w:val="superscript"/>
        </w:rPr>
        <w:t>®</w:t>
      </w:r>
      <w:r w:rsidRPr="00BB5519">
        <w:rPr>
          <w:rFonts w:cs="Tahoma"/>
          <w:color w:val="000000"/>
          <w:szCs w:val="18"/>
        </w:rPr>
        <w:t xml:space="preserve"> Team Foundation Server 2012</w:t>
      </w:r>
    </w:p>
    <w:p w:rsidR="004759C6" w:rsidRPr="00BB5519" w:rsidRDefault="004759C6" w:rsidP="007E466C"/>
    <w:p w:rsidR="0064651F" w:rsidRPr="00BB5519" w:rsidRDefault="0064651F" w:rsidP="0064651F"/>
    <w:p w:rsidR="00243B33" w:rsidRPr="00621662" w:rsidRDefault="000225E7" w:rsidP="00243B33">
      <w:pPr>
        <w:pStyle w:val="Heading2"/>
        <w:ind w:left="0"/>
        <w:jc w:val="both"/>
        <w:rPr>
          <w:rFonts w:ascii="Tahoma" w:hAnsi="Tahoma" w:cs="Tahoma"/>
          <w:color w:val="FF6600"/>
          <w:lang w:val="de-DE"/>
        </w:rPr>
      </w:pPr>
      <w:bookmarkStart w:id="629" w:name="_Toc354054864"/>
      <w:r w:rsidRPr="00621662">
        <w:rPr>
          <w:rFonts w:ascii="Tahoma" w:hAnsi="Tahoma" w:cs="Tahoma"/>
          <w:color w:val="FF6600"/>
          <w:lang w:val="de-DE"/>
        </w:rPr>
        <w:t>ÄNDERUNGEN IM FEBRUAR 2013</w:t>
      </w:r>
      <w:bookmarkEnd w:id="629"/>
    </w:p>
    <w:p w:rsidR="00243B33" w:rsidRPr="00621662" w:rsidRDefault="00243B33" w:rsidP="00E06050">
      <w:pPr>
        <w:pStyle w:val="Heading2"/>
        <w:ind w:left="0"/>
        <w:jc w:val="both"/>
        <w:rPr>
          <w:rFonts w:ascii="Tahoma" w:hAnsi="Tahoma" w:cs="Tahoma"/>
          <w:color w:val="FF6600"/>
          <w:sz w:val="18"/>
          <w:lang w:val="de-DE"/>
        </w:rPr>
      </w:pPr>
    </w:p>
    <w:p w:rsidR="00662A44" w:rsidRPr="00BB5519" w:rsidRDefault="00662A44" w:rsidP="00662A44">
      <w:pPr>
        <w:spacing w:after="60"/>
        <w:rPr>
          <w:lang w:val="de-DE"/>
        </w:rPr>
      </w:pPr>
      <w:r w:rsidRPr="00BB5519">
        <w:rPr>
          <w:b/>
          <w:lang w:val="de-DE"/>
        </w:rPr>
        <w:t>Hinzufügungen</w:t>
      </w:r>
    </w:p>
    <w:p w:rsidR="00662A44" w:rsidRPr="00BB5519" w:rsidRDefault="00662A44" w:rsidP="00662A44">
      <w:pPr>
        <w:rPr>
          <w:lang w:val="de-DE"/>
        </w:rPr>
      </w:pPr>
      <w:r w:rsidRPr="00BB5519">
        <w:rPr>
          <w:lang w:val="de-DE"/>
        </w:rPr>
        <w:t xml:space="preserve">Zusätzliche CAL für </w:t>
      </w:r>
      <w:r w:rsidRPr="00BB5519">
        <w:rPr>
          <w:rFonts w:cs="Tahoma"/>
          <w:color w:val="000000"/>
          <w:szCs w:val="18"/>
          <w:lang w:val="de-DE"/>
        </w:rPr>
        <w:t xml:space="preserve">Microsoft </w:t>
      </w:r>
      <w:r w:rsidRPr="00BB5519">
        <w:rPr>
          <w:rFonts w:cs="Tahoma"/>
          <w:color w:val="000000"/>
          <w:szCs w:val="20"/>
          <w:lang w:val="de-DE"/>
        </w:rPr>
        <w:t>Dynamics AX 2012 R2 Enterprise (Nutzer &amp; Gerät)</w:t>
      </w:r>
    </w:p>
    <w:p w:rsidR="00662A44" w:rsidRPr="00BB5519" w:rsidRDefault="00662A44" w:rsidP="00662A44">
      <w:pPr>
        <w:rPr>
          <w:lang w:val="de-DE"/>
        </w:rPr>
      </w:pPr>
      <w:r w:rsidRPr="00BB5519">
        <w:rPr>
          <w:lang w:val="de-DE"/>
        </w:rPr>
        <w:t xml:space="preserve">CAL für </w:t>
      </w:r>
      <w:r w:rsidRPr="00BB5519">
        <w:rPr>
          <w:rFonts w:cs="Tahoma"/>
          <w:color w:val="000000"/>
          <w:szCs w:val="18"/>
          <w:lang w:val="de-DE"/>
        </w:rPr>
        <w:t xml:space="preserve">Microsoft </w:t>
      </w:r>
      <w:r w:rsidRPr="00BB5519">
        <w:rPr>
          <w:rFonts w:cs="Tahoma"/>
          <w:color w:val="000000"/>
          <w:szCs w:val="20"/>
          <w:lang w:val="de-DE"/>
        </w:rPr>
        <w:t>Dynamics AX 2012 R2 Enterprise (Nutzer &amp; Gerät)</w:t>
      </w:r>
    </w:p>
    <w:p w:rsidR="00662A44" w:rsidRPr="00BB5519" w:rsidRDefault="00662A44" w:rsidP="00662A44">
      <w:pPr>
        <w:rPr>
          <w:lang w:val="de-DE"/>
        </w:rPr>
      </w:pPr>
      <w:r w:rsidRPr="00BB5519">
        <w:rPr>
          <w:lang w:val="de-DE"/>
        </w:rPr>
        <w:t xml:space="preserve">Zusätzliche Funktions-CAL für </w:t>
      </w:r>
      <w:r w:rsidRPr="00BB5519">
        <w:rPr>
          <w:rFonts w:cs="Tahoma"/>
          <w:color w:val="000000"/>
          <w:szCs w:val="18"/>
          <w:lang w:val="de-DE"/>
        </w:rPr>
        <w:t xml:space="preserve">Microsoft </w:t>
      </w:r>
      <w:r w:rsidRPr="00BB5519">
        <w:rPr>
          <w:rFonts w:cs="Tahoma"/>
          <w:color w:val="000000"/>
          <w:szCs w:val="20"/>
          <w:lang w:val="de-DE"/>
        </w:rPr>
        <w:t>Dynamics AX 2012 R2 (Nutzer &amp; Gerät)</w:t>
      </w:r>
    </w:p>
    <w:p w:rsidR="00662A44" w:rsidRPr="00BB5519" w:rsidRDefault="00662A44" w:rsidP="00662A44">
      <w:pPr>
        <w:rPr>
          <w:lang w:val="de-DE"/>
        </w:rPr>
      </w:pPr>
      <w:r w:rsidRPr="00BB5519">
        <w:rPr>
          <w:lang w:val="de-DE"/>
        </w:rPr>
        <w:t xml:space="preserve">Funktions-CAL für </w:t>
      </w:r>
      <w:r w:rsidRPr="00BB5519">
        <w:rPr>
          <w:rFonts w:cs="Tahoma"/>
          <w:color w:val="000000"/>
          <w:szCs w:val="18"/>
          <w:lang w:val="de-DE"/>
        </w:rPr>
        <w:t xml:space="preserve">Microsoft </w:t>
      </w:r>
      <w:r w:rsidRPr="00BB5519">
        <w:rPr>
          <w:rFonts w:cs="Tahoma"/>
          <w:color w:val="000000"/>
          <w:szCs w:val="20"/>
          <w:lang w:val="de-DE"/>
        </w:rPr>
        <w:t>Dynamics AX 2012 R2 (Nutzer &amp; Gerät)</w:t>
      </w:r>
    </w:p>
    <w:p w:rsidR="00662A44" w:rsidRPr="00BB5519" w:rsidRDefault="00662A44" w:rsidP="00662A44">
      <w:pPr>
        <w:rPr>
          <w:lang w:val="de-DE"/>
        </w:rPr>
      </w:pPr>
      <w:r w:rsidRPr="00BB5519">
        <w:rPr>
          <w:lang w:val="de-DE"/>
        </w:rPr>
        <w:t xml:space="preserve">CAL für </w:t>
      </w:r>
      <w:r w:rsidRPr="00BB5519">
        <w:rPr>
          <w:rFonts w:cs="Tahoma"/>
          <w:color w:val="000000"/>
          <w:szCs w:val="18"/>
          <w:lang w:val="de-DE"/>
        </w:rPr>
        <w:t xml:space="preserve">Microsoft </w:t>
      </w:r>
      <w:r w:rsidRPr="00BB5519">
        <w:rPr>
          <w:rFonts w:cs="Tahoma"/>
          <w:color w:val="000000"/>
          <w:szCs w:val="20"/>
          <w:lang w:val="de-DE"/>
        </w:rPr>
        <w:t>Dynamics AX 2012 R2 Self-Service (Nutzer &amp; Gerät)</w:t>
      </w:r>
    </w:p>
    <w:p w:rsidR="00662A44" w:rsidRPr="00BB5519" w:rsidRDefault="00662A44" w:rsidP="00662A44">
      <w:pPr>
        <w:rPr>
          <w:lang w:val="de-DE"/>
        </w:rPr>
      </w:pPr>
      <w:r w:rsidRPr="00BB5519">
        <w:rPr>
          <w:rFonts w:cs="Tahoma"/>
          <w:color w:val="000000"/>
          <w:szCs w:val="18"/>
          <w:lang w:val="de-DE"/>
        </w:rPr>
        <w:t xml:space="preserve">Microsoft </w:t>
      </w:r>
      <w:r w:rsidRPr="00BB5519">
        <w:rPr>
          <w:rFonts w:cs="Tahoma"/>
          <w:color w:val="000000"/>
          <w:szCs w:val="20"/>
          <w:lang w:val="de-DE"/>
        </w:rPr>
        <w:t>Dynamics AX 2012 R2 Server</w:t>
      </w:r>
    </w:p>
    <w:p w:rsidR="00662A44" w:rsidRPr="00BB5519" w:rsidRDefault="00662A44" w:rsidP="00662A44">
      <w:pPr>
        <w:rPr>
          <w:lang w:val="de-DE"/>
        </w:rPr>
      </w:pPr>
      <w:r w:rsidRPr="00BB5519">
        <w:rPr>
          <w:lang w:val="de-DE"/>
        </w:rPr>
        <w:t xml:space="preserve">Zusätzliche Aufgaben-CAL für </w:t>
      </w:r>
      <w:r w:rsidRPr="00BB5519">
        <w:rPr>
          <w:rFonts w:cs="Tahoma"/>
          <w:color w:val="000000"/>
          <w:szCs w:val="18"/>
          <w:lang w:val="de-DE"/>
        </w:rPr>
        <w:t xml:space="preserve">Microsoft </w:t>
      </w:r>
      <w:r w:rsidRPr="00BB5519">
        <w:rPr>
          <w:rFonts w:cs="Tahoma"/>
          <w:color w:val="000000"/>
          <w:szCs w:val="20"/>
          <w:lang w:val="de-DE"/>
        </w:rPr>
        <w:t>Dynamics AX 2012 R2 (Nutzer &amp; Gerät)</w:t>
      </w:r>
    </w:p>
    <w:p w:rsidR="00662A44" w:rsidRPr="00BB5519" w:rsidRDefault="00662A44" w:rsidP="00662A44">
      <w:pPr>
        <w:keepNext/>
        <w:tabs>
          <w:tab w:val="num" w:pos="720"/>
        </w:tabs>
        <w:outlineLvl w:val="3"/>
        <w:rPr>
          <w:lang w:val="de-DE"/>
        </w:rPr>
      </w:pPr>
      <w:r w:rsidRPr="00BB5519">
        <w:rPr>
          <w:lang w:val="de-DE"/>
        </w:rPr>
        <w:t xml:space="preserve">Aufgaben-CAL für </w:t>
      </w:r>
      <w:r w:rsidRPr="00BB5519">
        <w:rPr>
          <w:rFonts w:cs="Tahoma"/>
          <w:color w:val="000000"/>
          <w:szCs w:val="18"/>
          <w:lang w:val="de-DE"/>
        </w:rPr>
        <w:t xml:space="preserve">Microsoft </w:t>
      </w:r>
      <w:r w:rsidRPr="00BB5519">
        <w:rPr>
          <w:rFonts w:cs="Tahoma"/>
          <w:color w:val="000000"/>
          <w:szCs w:val="20"/>
          <w:lang w:val="de-DE"/>
        </w:rPr>
        <w:t>Dynamics AX 2012 R2 (Nutzer &amp; Gerät)</w:t>
      </w:r>
    </w:p>
    <w:p w:rsidR="004C6301" w:rsidRPr="00621662" w:rsidRDefault="004C6301" w:rsidP="004C6301">
      <w:pPr>
        <w:keepNext/>
        <w:tabs>
          <w:tab w:val="num" w:pos="720"/>
        </w:tabs>
        <w:outlineLvl w:val="3"/>
        <w:rPr>
          <w:rFonts w:cs="Tahoma"/>
          <w:color w:val="000000"/>
          <w:szCs w:val="20"/>
          <w:lang w:val="de-DE"/>
        </w:rPr>
      </w:pPr>
    </w:p>
    <w:p w:rsidR="00662A44" w:rsidRPr="00621662" w:rsidRDefault="00662A44" w:rsidP="00662A44">
      <w:pPr>
        <w:spacing w:after="60"/>
        <w:rPr>
          <w:b/>
          <w:lang w:val="de-DE"/>
        </w:rPr>
      </w:pPr>
      <w:r w:rsidRPr="00621662">
        <w:rPr>
          <w:b/>
          <w:lang w:val="de-DE"/>
        </w:rPr>
        <w:t>Änderungen</w:t>
      </w:r>
    </w:p>
    <w:p w:rsidR="00662A44" w:rsidRPr="00BB5519" w:rsidRDefault="00662A44" w:rsidP="00662A44">
      <w:pPr>
        <w:keepNext/>
        <w:tabs>
          <w:tab w:val="num" w:pos="720"/>
        </w:tabs>
        <w:outlineLvl w:val="3"/>
        <w:rPr>
          <w:lang w:val="de-DE"/>
        </w:rPr>
      </w:pPr>
      <w:r w:rsidRPr="00BB5519">
        <w:rPr>
          <w:rFonts w:cs="Tahoma"/>
          <w:color w:val="000000"/>
          <w:szCs w:val="20"/>
          <w:lang w:val="de-DE"/>
        </w:rPr>
        <w:t>Visio 2013 Professional</w:t>
      </w:r>
    </w:p>
    <w:p w:rsidR="004C6301" w:rsidRPr="00621662" w:rsidRDefault="004C6301" w:rsidP="004C6301">
      <w:pPr>
        <w:tabs>
          <w:tab w:val="num" w:pos="720"/>
        </w:tabs>
        <w:outlineLvl w:val="3"/>
        <w:rPr>
          <w:rFonts w:cs="Tahoma"/>
          <w:color w:val="000000"/>
          <w:szCs w:val="20"/>
          <w:lang w:val="de-DE"/>
        </w:rPr>
      </w:pPr>
    </w:p>
    <w:p w:rsidR="00662A44" w:rsidRPr="00621662" w:rsidRDefault="00662A44" w:rsidP="004C6301">
      <w:pPr>
        <w:keepNext/>
        <w:keepLines/>
        <w:tabs>
          <w:tab w:val="num" w:pos="720"/>
        </w:tabs>
        <w:spacing w:after="60"/>
        <w:outlineLvl w:val="3"/>
        <w:rPr>
          <w:b/>
          <w:lang w:val="de-DE"/>
        </w:rPr>
      </w:pPr>
      <w:r w:rsidRPr="00621662">
        <w:rPr>
          <w:b/>
          <w:lang w:val="de-DE"/>
        </w:rPr>
        <w:lastRenderedPageBreak/>
        <w:t>Streichungen</w:t>
      </w:r>
    </w:p>
    <w:p w:rsidR="00662A44" w:rsidRPr="00BB5519" w:rsidRDefault="00662A44" w:rsidP="004C6301">
      <w:pPr>
        <w:keepNext/>
        <w:keepLines/>
        <w:rPr>
          <w:lang w:val="de-DE"/>
        </w:rPr>
      </w:pPr>
      <w:r w:rsidRPr="00BB5519">
        <w:rPr>
          <w:lang w:val="de-DE"/>
        </w:rPr>
        <w:t xml:space="preserve">Zusätzliche CAL für </w:t>
      </w:r>
      <w:r w:rsidRPr="00BB5519">
        <w:rPr>
          <w:rFonts w:cs="Tahoma"/>
          <w:color w:val="000000"/>
          <w:szCs w:val="18"/>
          <w:lang w:val="de-DE"/>
        </w:rPr>
        <w:t xml:space="preserve">Microsoft </w:t>
      </w:r>
      <w:r w:rsidRPr="00BB5519">
        <w:rPr>
          <w:rFonts w:cs="Tahoma"/>
          <w:color w:val="000000"/>
          <w:szCs w:val="20"/>
          <w:lang w:val="de-DE"/>
        </w:rPr>
        <w:t>Dynamics AX 2012 Enterprise (Nutzer &amp; Gerät)</w:t>
      </w:r>
    </w:p>
    <w:p w:rsidR="00662A44" w:rsidRPr="00BB5519" w:rsidRDefault="00662A44" w:rsidP="004C6301">
      <w:pPr>
        <w:keepNext/>
        <w:keepLines/>
        <w:rPr>
          <w:lang w:val="de-DE"/>
        </w:rPr>
      </w:pPr>
      <w:r w:rsidRPr="00BB5519">
        <w:rPr>
          <w:lang w:val="de-DE"/>
        </w:rPr>
        <w:t xml:space="preserve">CAL für </w:t>
      </w:r>
      <w:r w:rsidRPr="00BB5519">
        <w:rPr>
          <w:rFonts w:cs="Tahoma"/>
          <w:color w:val="000000"/>
          <w:szCs w:val="18"/>
          <w:lang w:val="de-DE"/>
        </w:rPr>
        <w:t xml:space="preserve">Microsoft </w:t>
      </w:r>
      <w:r w:rsidRPr="00BB5519">
        <w:rPr>
          <w:rFonts w:cs="Tahoma"/>
          <w:color w:val="000000"/>
          <w:szCs w:val="20"/>
          <w:lang w:val="de-DE"/>
        </w:rPr>
        <w:t>Dynamics AX 2012 Enterprise (Nutzer &amp; Gerät)</w:t>
      </w:r>
    </w:p>
    <w:p w:rsidR="00662A44" w:rsidRPr="00BB5519" w:rsidRDefault="00662A44" w:rsidP="004C6301">
      <w:pPr>
        <w:keepNext/>
        <w:keepLines/>
        <w:rPr>
          <w:lang w:val="de-DE"/>
        </w:rPr>
      </w:pPr>
      <w:r w:rsidRPr="00BB5519">
        <w:rPr>
          <w:lang w:val="de-DE"/>
        </w:rPr>
        <w:t xml:space="preserve">Zusätzliche Funktions-CAL für </w:t>
      </w:r>
      <w:r w:rsidRPr="00BB5519">
        <w:rPr>
          <w:rFonts w:cs="Tahoma"/>
          <w:color w:val="000000"/>
          <w:szCs w:val="18"/>
          <w:lang w:val="de-DE"/>
        </w:rPr>
        <w:t xml:space="preserve">Microsoft </w:t>
      </w:r>
      <w:r w:rsidRPr="00BB5519">
        <w:rPr>
          <w:rFonts w:cs="Tahoma"/>
          <w:color w:val="000000"/>
          <w:szCs w:val="20"/>
          <w:lang w:val="de-DE"/>
        </w:rPr>
        <w:t>Dynamics AX 2012 (Nutzer &amp; Gerät)</w:t>
      </w:r>
    </w:p>
    <w:p w:rsidR="00662A44" w:rsidRPr="00BB5519" w:rsidRDefault="00662A44" w:rsidP="00662A44">
      <w:pPr>
        <w:rPr>
          <w:lang w:val="de-DE"/>
        </w:rPr>
      </w:pPr>
      <w:r w:rsidRPr="00BB5519">
        <w:rPr>
          <w:lang w:val="de-DE"/>
        </w:rPr>
        <w:t xml:space="preserve">Funktions-CAL für </w:t>
      </w:r>
      <w:r w:rsidRPr="00BB5519">
        <w:rPr>
          <w:rFonts w:cs="Tahoma"/>
          <w:color w:val="000000"/>
          <w:szCs w:val="18"/>
          <w:lang w:val="de-DE"/>
        </w:rPr>
        <w:t xml:space="preserve">Microsoft </w:t>
      </w:r>
      <w:r w:rsidRPr="00BB5519">
        <w:rPr>
          <w:rFonts w:cs="Tahoma"/>
          <w:color w:val="000000"/>
          <w:szCs w:val="20"/>
          <w:lang w:val="de-DE"/>
        </w:rPr>
        <w:t>Dynamics AX 2012 (Nutzer &amp; Gerät)</w:t>
      </w:r>
    </w:p>
    <w:p w:rsidR="00662A44" w:rsidRPr="00BB5519" w:rsidRDefault="00662A44" w:rsidP="00662A44">
      <w:pPr>
        <w:rPr>
          <w:lang w:val="de-DE"/>
        </w:rPr>
      </w:pPr>
      <w:r w:rsidRPr="00BB5519">
        <w:rPr>
          <w:lang w:val="de-DE"/>
        </w:rPr>
        <w:t xml:space="preserve">CAL für </w:t>
      </w:r>
      <w:r w:rsidRPr="00BB5519">
        <w:rPr>
          <w:rFonts w:cs="Tahoma"/>
          <w:color w:val="000000"/>
          <w:szCs w:val="18"/>
          <w:lang w:val="de-DE"/>
        </w:rPr>
        <w:t xml:space="preserve">Microsoft </w:t>
      </w:r>
      <w:r w:rsidRPr="00BB5519">
        <w:rPr>
          <w:rFonts w:cs="Tahoma"/>
          <w:color w:val="000000"/>
          <w:szCs w:val="20"/>
          <w:lang w:val="de-DE"/>
        </w:rPr>
        <w:t>Dynamics AX 2012 Self-Service (Nutzer &amp; Gerät)</w:t>
      </w:r>
    </w:p>
    <w:p w:rsidR="00662A44" w:rsidRPr="00BB5519" w:rsidRDefault="00662A44" w:rsidP="000E3562">
      <w:pPr>
        <w:keepNext/>
        <w:keepLines/>
        <w:rPr>
          <w:lang w:val="de-DE"/>
        </w:rPr>
      </w:pPr>
      <w:r w:rsidRPr="00BB5519">
        <w:rPr>
          <w:rFonts w:cs="Tahoma"/>
          <w:color w:val="000000"/>
          <w:szCs w:val="18"/>
          <w:lang w:val="de-DE"/>
        </w:rPr>
        <w:t xml:space="preserve">Microsoft </w:t>
      </w:r>
      <w:r w:rsidRPr="00BB5519">
        <w:rPr>
          <w:rFonts w:cs="Tahoma"/>
          <w:color w:val="000000"/>
          <w:szCs w:val="20"/>
          <w:lang w:val="de-DE"/>
        </w:rPr>
        <w:t>Dynamics AX 2012 Server</w:t>
      </w:r>
    </w:p>
    <w:p w:rsidR="00662A44" w:rsidRPr="00BB5519" w:rsidRDefault="00662A44" w:rsidP="00662A44">
      <w:pPr>
        <w:rPr>
          <w:lang w:val="de-DE"/>
        </w:rPr>
      </w:pPr>
      <w:r w:rsidRPr="00BB5519">
        <w:rPr>
          <w:lang w:val="de-DE"/>
        </w:rPr>
        <w:t xml:space="preserve">Zusätzliche Aufgaben-CAL für </w:t>
      </w:r>
      <w:r w:rsidRPr="00BB5519">
        <w:rPr>
          <w:rFonts w:cs="Tahoma"/>
          <w:color w:val="000000"/>
          <w:szCs w:val="18"/>
          <w:lang w:val="de-DE"/>
        </w:rPr>
        <w:t xml:space="preserve">Microsoft </w:t>
      </w:r>
      <w:r w:rsidRPr="00BB5519">
        <w:rPr>
          <w:rFonts w:cs="Tahoma"/>
          <w:color w:val="000000"/>
          <w:szCs w:val="20"/>
          <w:lang w:val="de-DE"/>
        </w:rPr>
        <w:t>Dynamics AX 2012 (Nutzer &amp; Gerät)</w:t>
      </w:r>
    </w:p>
    <w:p w:rsidR="00662A44" w:rsidRPr="00BB5519" w:rsidRDefault="00662A44" w:rsidP="00662A44">
      <w:pPr>
        <w:rPr>
          <w:lang w:val="de-DE"/>
        </w:rPr>
      </w:pPr>
      <w:r w:rsidRPr="00BB5519">
        <w:rPr>
          <w:lang w:val="de-DE"/>
        </w:rPr>
        <w:t xml:space="preserve">Aufgaben-CAL für </w:t>
      </w:r>
      <w:r w:rsidRPr="00BB5519">
        <w:rPr>
          <w:rFonts w:cs="Tahoma"/>
          <w:color w:val="000000"/>
          <w:szCs w:val="18"/>
          <w:lang w:val="de-DE"/>
        </w:rPr>
        <w:t xml:space="preserve">Microsoft </w:t>
      </w:r>
      <w:r w:rsidRPr="00BB5519">
        <w:rPr>
          <w:rFonts w:cs="Tahoma"/>
          <w:color w:val="000000"/>
          <w:szCs w:val="20"/>
          <w:lang w:val="de-DE"/>
        </w:rPr>
        <w:t>Dynamics AX 2012 (Nutzer &amp; Gerät)</w:t>
      </w:r>
    </w:p>
    <w:p w:rsidR="00243B33" w:rsidRPr="00BB5519" w:rsidRDefault="00243B33" w:rsidP="00B50A5B">
      <w:pPr>
        <w:rPr>
          <w:lang w:val="de-DE"/>
        </w:rPr>
      </w:pPr>
    </w:p>
    <w:p w:rsidR="001C1727" w:rsidRPr="00621662" w:rsidRDefault="001C1727" w:rsidP="00292088">
      <w:pPr>
        <w:rPr>
          <w:rFonts w:cs="Tahoma"/>
          <w:szCs w:val="18"/>
          <w:lang w:val="de-DE"/>
        </w:rPr>
      </w:pPr>
    </w:p>
    <w:p w:rsidR="00E06050" w:rsidRPr="00BB5519" w:rsidRDefault="00E06050" w:rsidP="00E06050">
      <w:pPr>
        <w:pStyle w:val="Heading2"/>
        <w:ind w:left="0"/>
        <w:jc w:val="both"/>
        <w:rPr>
          <w:lang w:val="de-DE"/>
        </w:rPr>
      </w:pPr>
      <w:bookmarkStart w:id="630" w:name="_Toc354054865"/>
      <w:r w:rsidRPr="00BB5519">
        <w:rPr>
          <w:rFonts w:ascii="Tahoma" w:hAnsi="Tahoma" w:cs="Tahoma"/>
          <w:color w:val="FF6600"/>
          <w:lang w:val="de-DE"/>
        </w:rPr>
        <w:t>ÄNDERUNGEN IM JANUAR 2013</w:t>
      </w:r>
      <w:bookmarkEnd w:id="630"/>
    </w:p>
    <w:p w:rsidR="00E06050" w:rsidRPr="00621662" w:rsidRDefault="00E06050" w:rsidP="00E06050">
      <w:pPr>
        <w:rPr>
          <w:lang w:val="de-DE"/>
        </w:rPr>
      </w:pPr>
    </w:p>
    <w:p w:rsidR="00E06050" w:rsidRPr="00BB5519" w:rsidRDefault="00E06050" w:rsidP="003E606C">
      <w:pPr>
        <w:spacing w:after="60"/>
        <w:rPr>
          <w:lang w:val="de-DE"/>
        </w:rPr>
      </w:pPr>
      <w:r w:rsidRPr="00BB5519">
        <w:rPr>
          <w:b/>
          <w:lang w:val="de-DE"/>
        </w:rPr>
        <w:t>Hinzufügungen</w:t>
      </w:r>
    </w:p>
    <w:p w:rsidR="00CC66A0" w:rsidRPr="00BB5519" w:rsidRDefault="00CC66A0" w:rsidP="00737831">
      <w:pPr>
        <w:keepNext/>
        <w:tabs>
          <w:tab w:val="num" w:pos="720"/>
        </w:tabs>
        <w:outlineLvl w:val="3"/>
        <w:rPr>
          <w:lang w:val="de-DE"/>
        </w:rPr>
      </w:pPr>
      <w:r w:rsidRPr="00BB5519">
        <w:rPr>
          <w:rFonts w:cs="Tahoma"/>
          <w:color w:val="000000"/>
          <w:szCs w:val="20"/>
          <w:lang w:val="de-DE"/>
        </w:rPr>
        <w:t>Windows MultiPoint Server 2012 Premium mit Windows MultiPoint Server 2012 (CAL) (5 Clients)</w:t>
      </w:r>
    </w:p>
    <w:p w:rsidR="00CC66A0" w:rsidRPr="00BB5519" w:rsidRDefault="00CC66A0" w:rsidP="00737831">
      <w:pPr>
        <w:keepNext/>
        <w:tabs>
          <w:tab w:val="num" w:pos="720"/>
        </w:tabs>
        <w:outlineLvl w:val="3"/>
      </w:pPr>
      <w:r w:rsidRPr="00BB5519">
        <w:rPr>
          <w:rFonts w:cs="Tahoma"/>
          <w:color w:val="000000"/>
          <w:szCs w:val="20"/>
        </w:rPr>
        <w:t>Windows MultiPoint Server 2012 Premium mit Windows MultiPoint Server 2012 (CAL) (5 Clients) mit Windows</w:t>
      </w:r>
    </w:p>
    <w:p w:rsidR="00E06050" w:rsidRPr="00BB5519" w:rsidRDefault="00E06050" w:rsidP="004C6301"/>
    <w:p w:rsidR="001D63C2" w:rsidRPr="00BB5519" w:rsidRDefault="001D63C2" w:rsidP="003E606C">
      <w:pPr>
        <w:spacing w:after="60"/>
        <w:rPr>
          <w:lang w:val="de-DE"/>
        </w:rPr>
      </w:pPr>
      <w:r w:rsidRPr="00BB5519">
        <w:rPr>
          <w:b/>
          <w:lang w:val="de-DE"/>
        </w:rPr>
        <w:t>Änderungen</w:t>
      </w:r>
    </w:p>
    <w:p w:rsidR="001D63C2" w:rsidRPr="00BB5519" w:rsidRDefault="001D63C2" w:rsidP="00E06050">
      <w:pPr>
        <w:rPr>
          <w:lang w:val="de-DE"/>
        </w:rPr>
      </w:pPr>
      <w:r w:rsidRPr="00BB5519">
        <w:rPr>
          <w:color w:val="000000"/>
          <w:lang w:val="de-DE"/>
        </w:rPr>
        <w:t>CAL-Suite für Windows Small Business Server 2008 für Premium-Nutzer oder -Geräte</w:t>
      </w:r>
    </w:p>
    <w:p w:rsidR="001D63C2" w:rsidRPr="00BB5519" w:rsidRDefault="001D63C2" w:rsidP="00E06050">
      <w:pPr>
        <w:rPr>
          <w:lang w:val="de-DE"/>
        </w:rPr>
      </w:pPr>
      <w:r w:rsidRPr="00BB5519">
        <w:rPr>
          <w:color w:val="000000"/>
          <w:lang w:val="de-DE"/>
        </w:rPr>
        <w:t>CAL-Suite für Windows Small Business Server 2008 für Premium-Nutzer oder -Geräte (5 Clients)</w:t>
      </w:r>
    </w:p>
    <w:p w:rsidR="001D63C2" w:rsidRPr="00BB5519" w:rsidRDefault="001D63C2" w:rsidP="00E06050">
      <w:pPr>
        <w:rPr>
          <w:lang w:val="de-DE"/>
        </w:rPr>
      </w:pPr>
      <w:r w:rsidRPr="00BB5519">
        <w:rPr>
          <w:color w:val="000000"/>
          <w:lang w:val="de-DE"/>
        </w:rPr>
        <w:t>CAL-Suite für Windows Small Business Server 2008 für Premium-Nutzer oder -Geräte (20 Clients)</w:t>
      </w:r>
    </w:p>
    <w:p w:rsidR="001D63C2" w:rsidRPr="00BB5519" w:rsidRDefault="001D63C2" w:rsidP="00E06050">
      <w:r w:rsidRPr="00BB5519">
        <w:rPr>
          <w:color w:val="000000"/>
        </w:rPr>
        <w:t>CAL-Suite für Windows Small Business Server 2011 (1 Client)</w:t>
      </w:r>
    </w:p>
    <w:p w:rsidR="001D63C2" w:rsidRPr="00BB5519" w:rsidRDefault="001D63C2" w:rsidP="001D63C2">
      <w:r w:rsidRPr="00BB5519">
        <w:rPr>
          <w:color w:val="000000"/>
        </w:rPr>
        <w:t>CAL-Suite für Windows Small Business Server 2011 (5 Clients)</w:t>
      </w:r>
    </w:p>
    <w:p w:rsidR="001D63C2" w:rsidRPr="00BB5519" w:rsidRDefault="001D63C2" w:rsidP="00E06050">
      <w:r w:rsidRPr="00BB5519">
        <w:rPr>
          <w:color w:val="000000"/>
        </w:rPr>
        <w:t>CAL-Suite für Windows Small Business Server 2011 (20 Clients)</w:t>
      </w:r>
    </w:p>
    <w:p w:rsidR="001D63C2" w:rsidRPr="00BB5519" w:rsidRDefault="001D63C2" w:rsidP="001D63C2">
      <w:r w:rsidRPr="00BB5519">
        <w:rPr>
          <w:color w:val="000000"/>
        </w:rPr>
        <w:t>Windows Small Business Server 2011 Standard (5 Clients)</w:t>
      </w:r>
    </w:p>
    <w:p w:rsidR="001D63C2" w:rsidRPr="00BB5519" w:rsidRDefault="001D63C2" w:rsidP="00E06050">
      <w:r w:rsidRPr="00BB5519">
        <w:rPr>
          <w:color w:val="000000"/>
        </w:rPr>
        <w:t>Add-On für Windows Small Business Server 2011 Premium (5 Clients)</w:t>
      </w:r>
    </w:p>
    <w:p w:rsidR="001D63C2" w:rsidRPr="00BB5519" w:rsidRDefault="001D63C2" w:rsidP="00E06050"/>
    <w:p w:rsidR="00E06050" w:rsidRPr="00BB5519" w:rsidRDefault="00E06050" w:rsidP="003E606C">
      <w:pPr>
        <w:spacing w:after="60"/>
        <w:rPr>
          <w:lang w:val="de-DE"/>
        </w:rPr>
      </w:pPr>
      <w:r w:rsidRPr="00BB5519">
        <w:rPr>
          <w:b/>
          <w:lang w:val="de-DE"/>
        </w:rPr>
        <w:t>Streichungen</w:t>
      </w:r>
    </w:p>
    <w:p w:rsidR="00E06050" w:rsidRPr="00BB5519" w:rsidRDefault="00E06050" w:rsidP="00E06050">
      <w:pPr>
        <w:rPr>
          <w:lang w:val="de-DE"/>
        </w:rPr>
      </w:pPr>
      <w:r w:rsidRPr="00BB5519">
        <w:rPr>
          <w:color w:val="000000"/>
          <w:lang w:val="de-DE"/>
        </w:rPr>
        <w:t>Client-Management-Lizenz pro Betriebssystemumgebung für Windows Embedded Device Manager 2011</w:t>
      </w:r>
    </w:p>
    <w:p w:rsidR="00E06050" w:rsidRPr="00BB5519" w:rsidRDefault="00E06050" w:rsidP="00E06050">
      <w:pPr>
        <w:rPr>
          <w:lang w:val="de-DE"/>
        </w:rPr>
      </w:pPr>
      <w:r w:rsidRPr="00BB5519">
        <w:rPr>
          <w:color w:val="000000"/>
          <w:lang w:val="de-DE"/>
        </w:rPr>
        <w:t>Client-Management-Lizenz pro Nutzer für Windows Embedded Device Manager 2011</w:t>
      </w:r>
    </w:p>
    <w:p w:rsidR="00844BAF" w:rsidRPr="00BB5519" w:rsidRDefault="00844BAF" w:rsidP="00E06050">
      <w:pPr>
        <w:rPr>
          <w:lang w:val="de-DE"/>
        </w:rPr>
      </w:pPr>
      <w:r w:rsidRPr="00BB5519">
        <w:rPr>
          <w:rFonts w:cs="Tahoma"/>
          <w:color w:val="000000"/>
          <w:szCs w:val="20"/>
          <w:lang w:val="de-DE"/>
        </w:rPr>
        <w:t>Geräte-CAL für Windows Server 2008 für Windows Essential Server Solutions (5 Clients)</w:t>
      </w:r>
    </w:p>
    <w:p w:rsidR="00844BAF" w:rsidRPr="00BB5519" w:rsidRDefault="00844BAF" w:rsidP="00E06050">
      <w:pPr>
        <w:rPr>
          <w:lang w:val="de-DE"/>
        </w:rPr>
      </w:pPr>
      <w:r w:rsidRPr="00BB5519">
        <w:rPr>
          <w:rFonts w:cs="Tahoma"/>
          <w:color w:val="000000"/>
          <w:szCs w:val="20"/>
          <w:lang w:val="de-DE"/>
        </w:rPr>
        <w:t>Nutzer-CAL für Windows Server 2008 für Windows Essential Server Solutions (5 Clients)</w:t>
      </w:r>
    </w:p>
    <w:p w:rsidR="00844BAF" w:rsidRPr="00BB5519" w:rsidRDefault="00844BAF" w:rsidP="00844BAF">
      <w:pPr>
        <w:keepNext/>
        <w:tabs>
          <w:tab w:val="num" w:pos="720"/>
        </w:tabs>
        <w:outlineLvl w:val="3"/>
      </w:pPr>
      <w:r w:rsidRPr="00BB5519">
        <w:rPr>
          <w:rFonts w:cs="Tahoma"/>
          <w:color w:val="000000"/>
          <w:szCs w:val="20"/>
        </w:rPr>
        <w:t>Windows MultiPoint Server 2011 Premium mit Windows MultiPoint Server 2011 (CAL) (5 Clients)</w:t>
      </w:r>
    </w:p>
    <w:p w:rsidR="00E06050" w:rsidRPr="00BB5519" w:rsidRDefault="00844BAF" w:rsidP="00E06050">
      <w:r w:rsidRPr="00BB5519">
        <w:rPr>
          <w:rFonts w:cs="Tahoma"/>
          <w:color w:val="000000"/>
          <w:szCs w:val="20"/>
        </w:rPr>
        <w:t>Windows MultiPoint Server 2011 Premium mit Windows MultiPoint Server 2011 (CAL) (5 Clients) mit Windows</w:t>
      </w:r>
    </w:p>
    <w:p w:rsidR="00A12176" w:rsidRPr="00BB5519" w:rsidRDefault="00A12176" w:rsidP="004C6301"/>
    <w:p w:rsidR="001C1727" w:rsidRPr="00BB5519" w:rsidRDefault="001C1727"/>
    <w:p w:rsidR="00173A20" w:rsidRPr="00621662" w:rsidRDefault="00173A20" w:rsidP="00BA756F">
      <w:pPr>
        <w:pStyle w:val="Heading2"/>
        <w:ind w:left="0"/>
        <w:jc w:val="both"/>
        <w:rPr>
          <w:rFonts w:ascii="Tahoma" w:hAnsi="Tahoma" w:cs="Tahoma"/>
          <w:color w:val="FF6600"/>
          <w:lang w:val="de-DE"/>
        </w:rPr>
      </w:pPr>
      <w:bookmarkStart w:id="631" w:name="_Toc354054866"/>
      <w:r w:rsidRPr="00621662">
        <w:rPr>
          <w:rFonts w:ascii="Tahoma" w:hAnsi="Tahoma" w:cs="Tahoma"/>
          <w:color w:val="FF6600"/>
          <w:lang w:val="de-DE"/>
        </w:rPr>
        <w:t>ÄNDERUNGEN IM DEZEMBER 2012</w:t>
      </w:r>
      <w:bookmarkEnd w:id="624"/>
      <w:bookmarkEnd w:id="631"/>
    </w:p>
    <w:p w:rsidR="00173A20" w:rsidRPr="00621662" w:rsidRDefault="00173A20" w:rsidP="004C6301">
      <w:pPr>
        <w:rPr>
          <w:lang w:val="de-DE"/>
        </w:rPr>
      </w:pPr>
    </w:p>
    <w:p w:rsidR="00173A20" w:rsidRPr="00BB5519" w:rsidRDefault="00173A20" w:rsidP="003E606C">
      <w:pPr>
        <w:spacing w:after="60"/>
        <w:rPr>
          <w:lang w:val="de-DE"/>
        </w:rPr>
      </w:pPr>
      <w:r w:rsidRPr="00BB5519">
        <w:rPr>
          <w:b/>
          <w:lang w:val="de-DE"/>
        </w:rPr>
        <w:t>Hinzufügungen</w:t>
      </w:r>
    </w:p>
    <w:p w:rsidR="00173A20" w:rsidRPr="00BB5519" w:rsidRDefault="00BA756F" w:rsidP="00173A20">
      <w:pPr>
        <w:rPr>
          <w:lang w:val="de-DE"/>
        </w:rPr>
      </w:pPr>
      <w:r w:rsidRPr="00BB5519">
        <w:rPr>
          <w:color w:val="000000"/>
          <w:lang w:val="de-DE"/>
        </w:rPr>
        <w:t>Access 2013</w:t>
      </w:r>
    </w:p>
    <w:p w:rsidR="00BA756F" w:rsidRPr="00BB5519" w:rsidRDefault="00BA756F" w:rsidP="00173A20">
      <w:pPr>
        <w:rPr>
          <w:lang w:val="de-DE"/>
        </w:rPr>
      </w:pPr>
      <w:r w:rsidRPr="00BB5519">
        <w:rPr>
          <w:color w:val="000000"/>
          <w:lang w:val="de-DE"/>
        </w:rPr>
        <w:t>Excel 2013</w:t>
      </w:r>
    </w:p>
    <w:p w:rsidR="00BA756F" w:rsidRPr="00BB5519" w:rsidRDefault="00BA756F" w:rsidP="00173A20">
      <w:pPr>
        <w:rPr>
          <w:lang w:val="de-DE"/>
        </w:rPr>
      </w:pPr>
      <w:r w:rsidRPr="00BB5519">
        <w:rPr>
          <w:color w:val="000000"/>
          <w:lang w:val="de-DE"/>
        </w:rPr>
        <w:t>Exchange Enterprise CAL mit Diensten 2013</w:t>
      </w:r>
    </w:p>
    <w:p w:rsidR="00BA756F" w:rsidRPr="00BB5519" w:rsidRDefault="00BA756F" w:rsidP="00173A20">
      <w:pPr>
        <w:rPr>
          <w:lang w:val="de-DE"/>
        </w:rPr>
      </w:pPr>
      <w:r w:rsidRPr="00BB5519">
        <w:rPr>
          <w:color w:val="000000"/>
          <w:lang w:val="de-DE"/>
        </w:rPr>
        <w:t>Exchange Enterprise CAL ohne Dienste 2013</w:t>
      </w:r>
    </w:p>
    <w:p w:rsidR="00BA756F" w:rsidRPr="00BB5519" w:rsidRDefault="00BA756F" w:rsidP="00173A20">
      <w:pPr>
        <w:rPr>
          <w:lang w:val="de-DE"/>
        </w:rPr>
      </w:pPr>
      <w:r w:rsidRPr="00BB5519">
        <w:rPr>
          <w:color w:val="000000"/>
          <w:lang w:val="de-DE"/>
        </w:rPr>
        <w:t>Exchange Server Enterprise 2013</w:t>
      </w:r>
    </w:p>
    <w:p w:rsidR="00BA756F" w:rsidRPr="00BB5519" w:rsidRDefault="00BA756F" w:rsidP="00173A20">
      <w:pPr>
        <w:rPr>
          <w:lang w:val="de-DE"/>
        </w:rPr>
      </w:pPr>
      <w:r w:rsidRPr="00BB5519">
        <w:rPr>
          <w:color w:val="000000"/>
          <w:lang w:val="de-DE"/>
        </w:rPr>
        <w:t>Exchange Server Standard 2013</w:t>
      </w:r>
    </w:p>
    <w:p w:rsidR="00BA756F" w:rsidRPr="00BB5519" w:rsidRDefault="00BA756F" w:rsidP="00173A20">
      <w:pPr>
        <w:rPr>
          <w:lang w:val="de-DE"/>
        </w:rPr>
      </w:pPr>
      <w:r w:rsidRPr="00BB5519">
        <w:rPr>
          <w:color w:val="000000"/>
          <w:lang w:val="de-DE"/>
        </w:rPr>
        <w:t>Standard-CAL für Exchange 2013</w:t>
      </w:r>
    </w:p>
    <w:p w:rsidR="00BA756F" w:rsidRPr="00BB5519" w:rsidRDefault="00BA756F" w:rsidP="00173A20">
      <w:pPr>
        <w:rPr>
          <w:lang w:val="de-DE"/>
        </w:rPr>
      </w:pPr>
      <w:r w:rsidRPr="00BB5519">
        <w:rPr>
          <w:color w:val="000000"/>
          <w:lang w:val="de-DE"/>
        </w:rPr>
        <w:t>InfoPath 2013</w:t>
      </w:r>
    </w:p>
    <w:p w:rsidR="00BA756F" w:rsidRPr="00BB5519" w:rsidRDefault="00BA756F" w:rsidP="00173A20">
      <w:pPr>
        <w:rPr>
          <w:lang w:val="de-DE"/>
        </w:rPr>
      </w:pPr>
      <w:r w:rsidRPr="00BB5519">
        <w:rPr>
          <w:color w:val="000000"/>
          <w:lang w:val="de-DE"/>
        </w:rPr>
        <w:t>Lync 2013</w:t>
      </w:r>
    </w:p>
    <w:p w:rsidR="00BA756F" w:rsidRPr="00BB5519" w:rsidRDefault="00BA756F" w:rsidP="00173A20">
      <w:pPr>
        <w:rPr>
          <w:lang w:val="de-DE"/>
        </w:rPr>
      </w:pPr>
      <w:r w:rsidRPr="00BB5519">
        <w:rPr>
          <w:color w:val="000000"/>
          <w:lang w:val="de-DE"/>
        </w:rPr>
        <w:t>Lync Server 2013</w:t>
      </w:r>
    </w:p>
    <w:p w:rsidR="00BA756F" w:rsidRPr="00BB5519" w:rsidRDefault="00BA756F" w:rsidP="00173A20">
      <w:pPr>
        <w:rPr>
          <w:lang w:val="de-DE"/>
        </w:rPr>
      </w:pPr>
      <w:r w:rsidRPr="00BB5519">
        <w:rPr>
          <w:color w:val="000000"/>
          <w:lang w:val="de-DE"/>
        </w:rPr>
        <w:t>Enterprise-CAL für Lync Server 2013</w:t>
      </w:r>
    </w:p>
    <w:p w:rsidR="00BA756F" w:rsidRPr="00BB5519" w:rsidRDefault="00BA756F" w:rsidP="00173A20">
      <w:pPr>
        <w:rPr>
          <w:lang w:val="de-DE"/>
        </w:rPr>
      </w:pPr>
      <w:r w:rsidRPr="00BB5519">
        <w:rPr>
          <w:color w:val="000000"/>
          <w:lang w:val="de-DE"/>
        </w:rPr>
        <w:t>CAL für Lync Server Plus 2013</w:t>
      </w:r>
    </w:p>
    <w:p w:rsidR="00BA756F" w:rsidRPr="00BB5519" w:rsidRDefault="00BA756F" w:rsidP="00173A20">
      <w:r w:rsidRPr="00BB5519">
        <w:rPr>
          <w:color w:val="000000"/>
        </w:rPr>
        <w:t>Standard-CAL für Lync Server 2013</w:t>
      </w:r>
    </w:p>
    <w:p w:rsidR="00BA756F" w:rsidRPr="00BB5519" w:rsidRDefault="00BA756F" w:rsidP="00173A20">
      <w:r w:rsidRPr="00BB5519">
        <w:rPr>
          <w:color w:val="000000"/>
        </w:rPr>
        <w:t>Office Home and Student RT 2013</w:t>
      </w:r>
    </w:p>
    <w:p w:rsidR="00BA756F" w:rsidRPr="00BB5519" w:rsidRDefault="00BA756F" w:rsidP="00173A20">
      <w:r w:rsidRPr="00BB5519">
        <w:rPr>
          <w:color w:val="000000"/>
        </w:rPr>
        <w:t>Office Multi Language Pack 2013</w:t>
      </w:r>
    </w:p>
    <w:p w:rsidR="00BA756F" w:rsidRPr="00BB5519" w:rsidRDefault="00BA756F" w:rsidP="00173A20">
      <w:r w:rsidRPr="00BB5519">
        <w:rPr>
          <w:color w:val="000000"/>
        </w:rPr>
        <w:t>Office Professional Plus 2013</w:t>
      </w:r>
    </w:p>
    <w:p w:rsidR="00BA756F" w:rsidRPr="00BB5519" w:rsidRDefault="00BA756F" w:rsidP="00173A20">
      <w:r w:rsidRPr="00BB5519">
        <w:rPr>
          <w:color w:val="000000"/>
        </w:rPr>
        <w:t>Office Standard 2013</w:t>
      </w:r>
    </w:p>
    <w:p w:rsidR="00BA756F" w:rsidRPr="00BB5519" w:rsidRDefault="00BA756F" w:rsidP="00173A20">
      <w:r w:rsidRPr="00BB5519">
        <w:rPr>
          <w:color w:val="000000"/>
        </w:rPr>
        <w:t>OneNote 2013</w:t>
      </w:r>
    </w:p>
    <w:p w:rsidR="00BA756F" w:rsidRPr="00BB5519" w:rsidRDefault="00BA756F" w:rsidP="00173A20">
      <w:r w:rsidRPr="00BB5519">
        <w:rPr>
          <w:color w:val="000000"/>
        </w:rPr>
        <w:lastRenderedPageBreak/>
        <w:t>Outlook 2013</w:t>
      </w:r>
    </w:p>
    <w:p w:rsidR="00BA756F" w:rsidRPr="00BB5519" w:rsidRDefault="00BA756F" w:rsidP="00173A20">
      <w:r w:rsidRPr="00BB5519">
        <w:rPr>
          <w:color w:val="000000"/>
        </w:rPr>
        <w:t>PowerPoint 2013</w:t>
      </w:r>
    </w:p>
    <w:p w:rsidR="00BA756F" w:rsidRPr="00BB5519" w:rsidRDefault="00BA756F" w:rsidP="00173A20">
      <w:r w:rsidRPr="00BB5519">
        <w:rPr>
          <w:color w:val="000000"/>
        </w:rPr>
        <w:t>Project Standard 2013</w:t>
      </w:r>
    </w:p>
    <w:p w:rsidR="00BA756F" w:rsidRPr="00BB5519" w:rsidRDefault="00BA756F" w:rsidP="00173A20">
      <w:r w:rsidRPr="00BB5519">
        <w:rPr>
          <w:color w:val="000000"/>
        </w:rPr>
        <w:t>Project Professional 2013</w:t>
      </w:r>
    </w:p>
    <w:p w:rsidR="00BA756F" w:rsidRPr="00BB5519" w:rsidRDefault="00BA756F" w:rsidP="00173A20">
      <w:r w:rsidRPr="00BB5519">
        <w:rPr>
          <w:color w:val="000000"/>
        </w:rPr>
        <w:t>Project Server 2013</w:t>
      </w:r>
    </w:p>
    <w:p w:rsidR="00BA756F" w:rsidRPr="00BB5519" w:rsidRDefault="00BA756F" w:rsidP="00173A20">
      <w:r w:rsidRPr="00BB5519">
        <w:rPr>
          <w:color w:val="000000"/>
        </w:rPr>
        <w:t>CAL für Project Server 2013</w:t>
      </w:r>
    </w:p>
    <w:p w:rsidR="00BA756F" w:rsidRPr="00BB5519" w:rsidRDefault="00FE3510" w:rsidP="00173A20">
      <w:r w:rsidRPr="00BB5519">
        <w:rPr>
          <w:color w:val="000000"/>
        </w:rPr>
        <w:t>Publisher 2013</w:t>
      </w:r>
    </w:p>
    <w:p w:rsidR="00FE3510" w:rsidRPr="00BB5519" w:rsidRDefault="00FE3510" w:rsidP="00173A20">
      <w:r w:rsidRPr="00BB5519">
        <w:rPr>
          <w:color w:val="000000"/>
        </w:rPr>
        <w:t>Enterprise-CAL für SharePoint 2013</w:t>
      </w:r>
    </w:p>
    <w:p w:rsidR="00FE3510" w:rsidRPr="00BB5519" w:rsidRDefault="00FE3510" w:rsidP="00173A20">
      <w:r w:rsidRPr="00BB5519">
        <w:rPr>
          <w:color w:val="000000"/>
        </w:rPr>
        <w:t>SharePoint Server 2013</w:t>
      </w:r>
    </w:p>
    <w:p w:rsidR="00FE3510" w:rsidRPr="00BB5519" w:rsidRDefault="00FE3510" w:rsidP="00173A20">
      <w:r w:rsidRPr="00BB5519">
        <w:rPr>
          <w:color w:val="000000"/>
        </w:rPr>
        <w:t>Standard-CAL für SharePoint 2013</w:t>
      </w:r>
    </w:p>
    <w:p w:rsidR="00FE3510" w:rsidRPr="00BB5519" w:rsidRDefault="00FE3510" w:rsidP="00173A20">
      <w:r w:rsidRPr="00BB5519">
        <w:rPr>
          <w:color w:val="000000"/>
        </w:rPr>
        <w:t>Visio Professional 2013</w:t>
      </w:r>
    </w:p>
    <w:p w:rsidR="00FE3510" w:rsidRPr="00BB5519" w:rsidRDefault="00FE3510" w:rsidP="00173A20">
      <w:r w:rsidRPr="00BB5519">
        <w:rPr>
          <w:color w:val="000000"/>
        </w:rPr>
        <w:t>Visio Standard 2013</w:t>
      </w:r>
    </w:p>
    <w:p w:rsidR="00FE3510" w:rsidRPr="00BB5519" w:rsidRDefault="00FE3510" w:rsidP="00173A20">
      <w:r w:rsidRPr="00BB5519">
        <w:rPr>
          <w:color w:val="000000"/>
        </w:rPr>
        <w:t>Word 2013</w:t>
      </w:r>
    </w:p>
    <w:p w:rsidR="00FE3510" w:rsidRPr="00BB5519" w:rsidRDefault="00FE3510" w:rsidP="00173A20">
      <w:r w:rsidRPr="00BB5519">
        <w:rPr>
          <w:color w:val="000000"/>
        </w:rPr>
        <w:t>Windows MultiPoint Server Standard 2012</w:t>
      </w:r>
    </w:p>
    <w:p w:rsidR="00FE3510" w:rsidRPr="00BB5519" w:rsidRDefault="00FE3510" w:rsidP="00173A20">
      <w:r w:rsidRPr="00BB5519">
        <w:rPr>
          <w:color w:val="000000"/>
        </w:rPr>
        <w:t>Windows MultiPoint Server Premium 2012</w:t>
      </w:r>
    </w:p>
    <w:p w:rsidR="00FE3510" w:rsidRPr="00BB5519" w:rsidRDefault="00FE3510" w:rsidP="00173A20">
      <w:r w:rsidRPr="00BB5519">
        <w:rPr>
          <w:color w:val="000000"/>
        </w:rPr>
        <w:t>CAL für Windows MultiPoint Server 2012</w:t>
      </w:r>
    </w:p>
    <w:p w:rsidR="00FE3510" w:rsidRPr="00BB5519" w:rsidRDefault="00FE3510" w:rsidP="00173A20">
      <w:pPr>
        <w:rPr>
          <w:lang w:val="de-DE"/>
        </w:rPr>
      </w:pPr>
      <w:r w:rsidRPr="00BB5519">
        <w:rPr>
          <w:color w:val="000000"/>
          <w:lang w:val="de-DE"/>
        </w:rPr>
        <w:t>CAL für Windows MultiPoint Server mit CAL für Windows Server 2012</w:t>
      </w:r>
    </w:p>
    <w:p w:rsidR="006F741C" w:rsidRPr="00BB5519" w:rsidRDefault="006F741C" w:rsidP="006F741C">
      <w:pPr>
        <w:rPr>
          <w:lang w:val="de-DE"/>
        </w:rPr>
      </w:pPr>
      <w:r w:rsidRPr="00BB5519">
        <w:rPr>
          <w:color w:val="000000"/>
          <w:lang w:val="de-DE"/>
        </w:rPr>
        <w:t>Windows Intune (Pro Nutzer)</w:t>
      </w:r>
    </w:p>
    <w:p w:rsidR="006F741C" w:rsidRPr="00BB5519" w:rsidRDefault="006F741C" w:rsidP="000E7A8A">
      <w:pPr>
        <w:rPr>
          <w:lang w:val="de-DE"/>
        </w:rPr>
      </w:pPr>
      <w:r w:rsidRPr="00BB5519">
        <w:rPr>
          <w:color w:val="000000"/>
          <w:lang w:val="de-DE"/>
        </w:rPr>
        <w:t>Windows Intune Add-on für System Center Configuration Manager und System Center Endpoint Protection</w:t>
      </w:r>
      <w:r w:rsidR="000E7A8A">
        <w:rPr>
          <w:color w:val="000000"/>
          <w:lang w:val="de-DE"/>
        </w:rPr>
        <w:t> </w:t>
      </w:r>
      <w:r w:rsidRPr="00BB5519">
        <w:rPr>
          <w:color w:val="000000"/>
          <w:lang w:val="de-DE"/>
        </w:rPr>
        <w:t>(pro</w:t>
      </w:r>
      <w:r w:rsidR="000E7A8A">
        <w:rPr>
          <w:color w:val="000000"/>
          <w:lang w:val="de-DE"/>
        </w:rPr>
        <w:t> </w:t>
      </w:r>
      <w:r w:rsidRPr="00BB5519">
        <w:rPr>
          <w:color w:val="000000"/>
          <w:lang w:val="de-DE"/>
        </w:rPr>
        <w:t>Nutzer)</w:t>
      </w:r>
    </w:p>
    <w:p w:rsidR="00FE3510" w:rsidRPr="00BB5519" w:rsidRDefault="00FE3510" w:rsidP="00173A20">
      <w:pPr>
        <w:rPr>
          <w:lang w:val="de-DE"/>
        </w:rPr>
      </w:pPr>
      <w:r w:rsidRPr="00BB5519">
        <w:rPr>
          <w:color w:val="000000"/>
          <w:lang w:val="de-DE"/>
        </w:rPr>
        <w:t>Nutzer-AL für Windows Intune</w:t>
      </w:r>
    </w:p>
    <w:p w:rsidR="00FE3510" w:rsidRPr="00BB5519" w:rsidRDefault="00FE3510" w:rsidP="00173A20">
      <w:pPr>
        <w:rPr>
          <w:lang w:val="de-DE"/>
        </w:rPr>
      </w:pPr>
      <w:r w:rsidRPr="00BB5519">
        <w:rPr>
          <w:color w:val="000000"/>
          <w:lang w:val="de-DE"/>
        </w:rPr>
        <w:t>Nutzer-AL für Add-On für Windows Intune</w:t>
      </w:r>
    </w:p>
    <w:p w:rsidR="00FE3510" w:rsidRPr="00BB5519" w:rsidRDefault="00FE3510" w:rsidP="00173A20">
      <w:pPr>
        <w:rPr>
          <w:lang w:val="de-DE"/>
        </w:rPr>
      </w:pPr>
      <w:r w:rsidRPr="00BB5519">
        <w:rPr>
          <w:color w:val="000000"/>
          <w:lang w:val="de-DE"/>
        </w:rPr>
        <w:t>Nutzer-AL für Add-On für Windows Intune Extra Storage 1 GB</w:t>
      </w:r>
    </w:p>
    <w:p w:rsidR="00FE3510" w:rsidRPr="00BB5519" w:rsidRDefault="00FE3510" w:rsidP="00173A20">
      <w:pPr>
        <w:rPr>
          <w:lang w:val="de-DE"/>
        </w:rPr>
      </w:pPr>
      <w:r w:rsidRPr="00BB5519">
        <w:rPr>
          <w:color w:val="000000"/>
          <w:lang w:val="de-DE"/>
        </w:rPr>
        <w:t>Win Pro mit MDOP 8</w:t>
      </w:r>
    </w:p>
    <w:p w:rsidR="00173A20" w:rsidRPr="00621662" w:rsidRDefault="00173A20" w:rsidP="004C6301">
      <w:pPr>
        <w:outlineLvl w:val="1"/>
        <w:rPr>
          <w:rFonts w:cs="Tahoma"/>
          <w:color w:val="000000"/>
          <w:szCs w:val="18"/>
          <w:lang w:val="de-DE"/>
        </w:rPr>
      </w:pPr>
    </w:p>
    <w:p w:rsidR="00173A20" w:rsidRPr="00BB5519" w:rsidRDefault="00173A20" w:rsidP="003E606C">
      <w:pPr>
        <w:spacing w:after="60"/>
        <w:rPr>
          <w:lang w:val="de-DE"/>
        </w:rPr>
      </w:pPr>
      <w:r w:rsidRPr="00BB5519">
        <w:rPr>
          <w:b/>
          <w:lang w:val="de-DE"/>
        </w:rPr>
        <w:t xml:space="preserve">Promotions </w:t>
      </w:r>
    </w:p>
    <w:p w:rsidR="00173A20" w:rsidRPr="00BB5519" w:rsidRDefault="00FE3510" w:rsidP="00173A20">
      <w:pPr>
        <w:outlineLvl w:val="1"/>
        <w:rPr>
          <w:lang w:val="de-DE"/>
        </w:rPr>
      </w:pPr>
      <w:r w:rsidRPr="00BB5519">
        <w:rPr>
          <w:rFonts w:cs="Tahoma"/>
          <w:color w:val="000000"/>
          <w:szCs w:val="18"/>
          <w:lang w:val="de-DE"/>
        </w:rPr>
        <w:t>Die folgenden Promotions wurden hinzugefügt:</w:t>
      </w:r>
    </w:p>
    <w:p w:rsidR="00FE3510" w:rsidRPr="00BB5519" w:rsidRDefault="00A4121E" w:rsidP="00173A20">
      <w:pPr>
        <w:outlineLvl w:val="1"/>
        <w:rPr>
          <w:lang w:val="de-DE"/>
        </w:rPr>
      </w:pPr>
      <w:r w:rsidRPr="00BB5519">
        <w:rPr>
          <w:rFonts w:cs="Tahoma"/>
          <w:color w:val="000000"/>
          <w:szCs w:val="18"/>
          <w:lang w:val="de-DE"/>
        </w:rPr>
        <w:t>Microsoft Dynamics AX 2012 R2 – Eine Enterprise-CAL kaufen, eine Funktions-CAL dazu</w:t>
      </w:r>
    </w:p>
    <w:p w:rsidR="00A4121E" w:rsidRPr="00BB5519" w:rsidRDefault="00A4121E" w:rsidP="00173A20">
      <w:pPr>
        <w:outlineLvl w:val="1"/>
        <w:rPr>
          <w:lang w:val="de-DE"/>
        </w:rPr>
      </w:pPr>
      <w:r w:rsidRPr="00BB5519">
        <w:rPr>
          <w:rFonts w:cs="Tahoma"/>
          <w:color w:val="000000"/>
          <w:szCs w:val="18"/>
          <w:lang w:val="de-DE"/>
        </w:rPr>
        <w:t>Microsoft Dynamics AX 2012 R2 – EA Starter-Promotion</w:t>
      </w:r>
    </w:p>
    <w:p w:rsidR="00A4121E" w:rsidRPr="00BB5519" w:rsidRDefault="00A4121E" w:rsidP="00173A20">
      <w:pPr>
        <w:outlineLvl w:val="1"/>
        <w:rPr>
          <w:lang w:val="de-DE"/>
        </w:rPr>
      </w:pPr>
      <w:r w:rsidRPr="00BB5519">
        <w:rPr>
          <w:rFonts w:cs="Tahoma"/>
          <w:color w:val="000000"/>
          <w:szCs w:val="18"/>
          <w:lang w:val="de-DE"/>
        </w:rPr>
        <w:t>Windows Intune neuer PC 20 % Promotion</w:t>
      </w:r>
    </w:p>
    <w:p w:rsidR="00FE3510" w:rsidRPr="00621662" w:rsidRDefault="00FE3510" w:rsidP="004C6301">
      <w:pPr>
        <w:outlineLvl w:val="1"/>
        <w:rPr>
          <w:rFonts w:cs="Tahoma"/>
          <w:color w:val="000000"/>
          <w:szCs w:val="18"/>
          <w:lang w:val="de-DE"/>
        </w:rPr>
      </w:pPr>
    </w:p>
    <w:p w:rsidR="00FE3510" w:rsidRPr="00BB5519" w:rsidRDefault="00FE3510" w:rsidP="00173A20">
      <w:pPr>
        <w:outlineLvl w:val="1"/>
        <w:rPr>
          <w:lang w:val="de-DE"/>
        </w:rPr>
      </w:pPr>
      <w:r w:rsidRPr="00BB5519">
        <w:rPr>
          <w:rFonts w:cs="Tahoma"/>
          <w:color w:val="000000"/>
          <w:szCs w:val="18"/>
          <w:lang w:val="de-DE"/>
        </w:rPr>
        <w:t>Die folgenden Promotions wurden gelöscht:</w:t>
      </w:r>
    </w:p>
    <w:p w:rsidR="00FE3510" w:rsidRPr="00BB5519" w:rsidRDefault="00FE3510" w:rsidP="00173A20">
      <w:pPr>
        <w:outlineLvl w:val="1"/>
        <w:rPr>
          <w:lang w:val="de-DE"/>
        </w:rPr>
      </w:pPr>
      <w:r w:rsidRPr="00BB5519">
        <w:rPr>
          <w:lang w:val="de-DE"/>
        </w:rPr>
        <w:t>Windows Intune neuer PC 20 % Promotion</w:t>
      </w:r>
    </w:p>
    <w:p w:rsidR="00173A20" w:rsidRPr="00621662" w:rsidRDefault="00173A20" w:rsidP="004C6301">
      <w:pPr>
        <w:outlineLvl w:val="1"/>
        <w:rPr>
          <w:rFonts w:cs="Tahoma"/>
          <w:color w:val="000000"/>
          <w:szCs w:val="18"/>
          <w:lang w:val="de-DE"/>
        </w:rPr>
      </w:pPr>
    </w:p>
    <w:p w:rsidR="00CD7EA6" w:rsidRPr="00BB5519" w:rsidRDefault="00173A20" w:rsidP="003E606C">
      <w:pPr>
        <w:spacing w:after="60"/>
        <w:rPr>
          <w:lang w:val="de-DE"/>
        </w:rPr>
      </w:pPr>
      <w:r w:rsidRPr="00BB5519">
        <w:rPr>
          <w:b/>
          <w:lang w:val="de-DE"/>
        </w:rPr>
        <w:t>Streichungen</w:t>
      </w:r>
    </w:p>
    <w:p w:rsidR="00685009" w:rsidRPr="006F21F8" w:rsidRDefault="00685009" w:rsidP="00685009">
      <w:pPr>
        <w:rPr>
          <w:lang w:val="de-DE"/>
        </w:rPr>
      </w:pPr>
      <w:r w:rsidRPr="006F21F8">
        <w:rPr>
          <w:color w:val="000000"/>
          <w:lang w:val="de-DE"/>
        </w:rPr>
        <w:t>Access 2010</w:t>
      </w:r>
    </w:p>
    <w:p w:rsidR="00685009" w:rsidRPr="006F21F8" w:rsidRDefault="00685009" w:rsidP="00685009">
      <w:pPr>
        <w:rPr>
          <w:lang w:val="de-DE"/>
        </w:rPr>
      </w:pPr>
      <w:r w:rsidRPr="006F21F8">
        <w:rPr>
          <w:color w:val="000000"/>
          <w:lang w:val="de-DE"/>
        </w:rPr>
        <w:t>Duet Enterprise für Microsoft SharePoint und SAP 1.0</w:t>
      </w:r>
    </w:p>
    <w:p w:rsidR="00685009" w:rsidRPr="006F21F8" w:rsidRDefault="00685009" w:rsidP="00685009">
      <w:pPr>
        <w:rPr>
          <w:lang w:val="de-DE"/>
        </w:rPr>
      </w:pPr>
      <w:r w:rsidRPr="006F21F8">
        <w:rPr>
          <w:color w:val="000000"/>
          <w:lang w:val="de-DE"/>
        </w:rPr>
        <w:t>Dynamics CRM Onprem Mobile</w:t>
      </w:r>
    </w:p>
    <w:p w:rsidR="00685009" w:rsidRPr="00BB5519" w:rsidRDefault="00685009" w:rsidP="00685009">
      <w:r w:rsidRPr="00BB5519">
        <w:rPr>
          <w:color w:val="000000"/>
        </w:rPr>
        <w:t>Dynamics CRM Mobile</w:t>
      </w:r>
    </w:p>
    <w:p w:rsidR="00685009" w:rsidRPr="00BB5519" w:rsidRDefault="00685009" w:rsidP="00685009">
      <w:r w:rsidRPr="00BB5519">
        <w:rPr>
          <w:color w:val="000000"/>
        </w:rPr>
        <w:t>Excel 2010</w:t>
      </w:r>
    </w:p>
    <w:p w:rsidR="00685009" w:rsidRPr="00BB5519" w:rsidRDefault="00685009" w:rsidP="00685009">
      <w:r w:rsidRPr="00BB5519">
        <w:rPr>
          <w:color w:val="000000"/>
        </w:rPr>
        <w:t>Externer Connector für Exchange Server 2010</w:t>
      </w:r>
    </w:p>
    <w:p w:rsidR="00685009" w:rsidRPr="00BB5519" w:rsidRDefault="00685009" w:rsidP="00685009">
      <w:r w:rsidRPr="00BB5519">
        <w:rPr>
          <w:color w:val="000000"/>
        </w:rPr>
        <w:t>FAST Search Server SharePoint</w:t>
      </w:r>
    </w:p>
    <w:p w:rsidR="00685009" w:rsidRPr="00BB5519" w:rsidRDefault="00685009" w:rsidP="00685009">
      <w:r w:rsidRPr="00BB5519">
        <w:rPr>
          <w:color w:val="000000"/>
        </w:rPr>
        <w:t>Forefront Protection Suite</w:t>
      </w:r>
    </w:p>
    <w:p w:rsidR="00685009" w:rsidRPr="00BB5519" w:rsidRDefault="00685009" w:rsidP="00685009">
      <w:r w:rsidRPr="00BB5519">
        <w:rPr>
          <w:color w:val="000000"/>
        </w:rPr>
        <w:t>Forefront Security Exchange Server</w:t>
      </w:r>
    </w:p>
    <w:p w:rsidR="00685009" w:rsidRPr="00BB5519" w:rsidRDefault="00685009" w:rsidP="00685009">
      <w:r w:rsidRPr="00BB5519">
        <w:rPr>
          <w:color w:val="000000"/>
        </w:rPr>
        <w:t>Forefront Security Office Communications Server</w:t>
      </w:r>
    </w:p>
    <w:p w:rsidR="00685009" w:rsidRPr="00BB5519" w:rsidRDefault="00685009" w:rsidP="00685009">
      <w:r w:rsidRPr="00BB5519">
        <w:rPr>
          <w:color w:val="000000"/>
        </w:rPr>
        <w:t>Forefront Security SharePoint</w:t>
      </w:r>
    </w:p>
    <w:p w:rsidR="00685009" w:rsidRPr="00BB5519" w:rsidRDefault="00685009" w:rsidP="00685009">
      <w:r w:rsidRPr="00BB5519">
        <w:rPr>
          <w:color w:val="000000"/>
        </w:rPr>
        <w:t>Forefront Security Server Management Console</w:t>
      </w:r>
    </w:p>
    <w:p w:rsidR="00685009" w:rsidRPr="00BB5519" w:rsidRDefault="00685009" w:rsidP="00685009">
      <w:r w:rsidRPr="00BB5519">
        <w:rPr>
          <w:color w:val="000000"/>
        </w:rPr>
        <w:t>Forefront Security Web</w:t>
      </w:r>
    </w:p>
    <w:p w:rsidR="00685009" w:rsidRPr="00BB5519" w:rsidRDefault="00685009" w:rsidP="00685009">
      <w:r w:rsidRPr="00BB5519">
        <w:rPr>
          <w:color w:val="000000"/>
        </w:rPr>
        <w:t>Forefront Threat Management Gateway Enterprise</w:t>
      </w:r>
    </w:p>
    <w:p w:rsidR="00685009" w:rsidRPr="00BB5519" w:rsidRDefault="00685009" w:rsidP="00685009">
      <w:r w:rsidRPr="00BB5519">
        <w:rPr>
          <w:color w:val="000000"/>
        </w:rPr>
        <w:t>Forefront Threat Management Gateway Medium Business</w:t>
      </w:r>
    </w:p>
    <w:p w:rsidR="00685009" w:rsidRPr="00BB5519" w:rsidRDefault="00685009" w:rsidP="00685009">
      <w:r w:rsidRPr="00BB5519">
        <w:rPr>
          <w:color w:val="000000"/>
        </w:rPr>
        <w:t>Forefront Threat Management Gateway Standard</w:t>
      </w:r>
    </w:p>
    <w:p w:rsidR="00685009" w:rsidRPr="00BB5519" w:rsidRDefault="00685009" w:rsidP="00685009">
      <w:r w:rsidRPr="00BB5519">
        <w:rPr>
          <w:color w:val="000000"/>
        </w:rPr>
        <w:t>Forefront Threat Management Gateway Web Protection Service</w:t>
      </w:r>
    </w:p>
    <w:p w:rsidR="00685009" w:rsidRPr="00BB5519" w:rsidRDefault="00685009" w:rsidP="00685009">
      <w:r w:rsidRPr="00BB5519">
        <w:rPr>
          <w:color w:val="000000"/>
        </w:rPr>
        <w:t>Forefront Protection 2010 für Exchange Server</w:t>
      </w:r>
    </w:p>
    <w:p w:rsidR="00685009" w:rsidRPr="00BB5519" w:rsidRDefault="00685009" w:rsidP="00685009">
      <w:r w:rsidRPr="00BB5519">
        <w:rPr>
          <w:color w:val="000000"/>
        </w:rPr>
        <w:t>Externer Connector für Forefront Protection 2010 für Exchange Server</w:t>
      </w:r>
    </w:p>
    <w:p w:rsidR="00685009" w:rsidRPr="00BB5519" w:rsidRDefault="00685009" w:rsidP="00685009">
      <w:r w:rsidRPr="00BB5519">
        <w:rPr>
          <w:color w:val="000000"/>
        </w:rPr>
        <w:t>Forefront Protection SharePoint</w:t>
      </w:r>
    </w:p>
    <w:p w:rsidR="00685009" w:rsidRPr="00BB5519" w:rsidRDefault="00685009" w:rsidP="00685009">
      <w:r w:rsidRPr="00BB5519">
        <w:rPr>
          <w:color w:val="000000"/>
        </w:rPr>
        <w:t>Groove Enterprise Services</w:t>
      </w:r>
    </w:p>
    <w:p w:rsidR="00685009" w:rsidRPr="00BB5519" w:rsidRDefault="00685009" w:rsidP="00685009">
      <w:r w:rsidRPr="00BB5519">
        <w:rPr>
          <w:color w:val="000000"/>
        </w:rPr>
        <w:t>Groove Server</w:t>
      </w:r>
    </w:p>
    <w:p w:rsidR="00685009" w:rsidRPr="00BB5519" w:rsidRDefault="00685009" w:rsidP="00685009">
      <w:r w:rsidRPr="00BB5519">
        <w:rPr>
          <w:color w:val="000000"/>
        </w:rPr>
        <w:t>InfoPath 2010</w:t>
      </w:r>
    </w:p>
    <w:p w:rsidR="00685009" w:rsidRPr="00BB5519" w:rsidRDefault="00685009" w:rsidP="00685009">
      <w:r w:rsidRPr="00BB5519">
        <w:rPr>
          <w:color w:val="000000"/>
        </w:rPr>
        <w:lastRenderedPageBreak/>
        <w:t>Lync 2010</w:t>
      </w:r>
    </w:p>
    <w:p w:rsidR="00685009" w:rsidRPr="00BB5519" w:rsidRDefault="00685009" w:rsidP="00685009">
      <w:r w:rsidRPr="00BB5519">
        <w:rPr>
          <w:color w:val="000000"/>
        </w:rPr>
        <w:t>Lync Server 2010 Enterprise Edition</w:t>
      </w:r>
    </w:p>
    <w:p w:rsidR="00685009" w:rsidRPr="00BB5519" w:rsidRDefault="00685009" w:rsidP="00685009">
      <w:r w:rsidRPr="00BB5519">
        <w:rPr>
          <w:color w:val="000000"/>
        </w:rPr>
        <w:t>Externer Connector für Lync Server 2010 Enterprise</w:t>
      </w:r>
    </w:p>
    <w:p w:rsidR="00685009" w:rsidRPr="00BB5519" w:rsidRDefault="00685009" w:rsidP="00685009">
      <w:r w:rsidRPr="00BB5519">
        <w:rPr>
          <w:color w:val="000000"/>
        </w:rPr>
        <w:t>Externer Connector für Lync Server 2010 Plus</w:t>
      </w:r>
    </w:p>
    <w:p w:rsidR="00685009" w:rsidRPr="00BB5519" w:rsidRDefault="00685009" w:rsidP="00685009">
      <w:r w:rsidRPr="00BB5519">
        <w:rPr>
          <w:color w:val="000000"/>
        </w:rPr>
        <w:t>Externer Connector für Lync Server 2010</w:t>
      </w:r>
    </w:p>
    <w:p w:rsidR="00685009" w:rsidRPr="00BB5519" w:rsidRDefault="00685009" w:rsidP="00685009">
      <w:r w:rsidRPr="00BB5519">
        <w:rPr>
          <w:color w:val="000000"/>
        </w:rPr>
        <w:t>Lync Server 2010 Standard Edition</w:t>
      </w:r>
    </w:p>
    <w:p w:rsidR="00685009" w:rsidRPr="00BB5519" w:rsidRDefault="00685009" w:rsidP="00685009">
      <w:r w:rsidRPr="00BB5519">
        <w:rPr>
          <w:color w:val="000000"/>
        </w:rPr>
        <w:t>Office Groove Enterprise Services</w:t>
      </w:r>
    </w:p>
    <w:p w:rsidR="00685009" w:rsidRPr="00BB5519" w:rsidRDefault="00685009" w:rsidP="00685009">
      <w:r w:rsidRPr="00BB5519">
        <w:rPr>
          <w:color w:val="000000"/>
        </w:rPr>
        <w:t>Office Multi-Language Pack 2010</w:t>
      </w:r>
    </w:p>
    <w:p w:rsidR="00685009" w:rsidRPr="00BB5519" w:rsidRDefault="00685009" w:rsidP="00685009">
      <w:r w:rsidRPr="00BB5519">
        <w:rPr>
          <w:color w:val="000000"/>
        </w:rPr>
        <w:t>Office Professional Plus 2010</w:t>
      </w:r>
    </w:p>
    <w:p w:rsidR="00685009" w:rsidRPr="00BB5519" w:rsidRDefault="00685009" w:rsidP="00685009">
      <w:r w:rsidRPr="00BB5519">
        <w:rPr>
          <w:color w:val="000000"/>
        </w:rPr>
        <w:t>Office Standard 2010</w:t>
      </w:r>
    </w:p>
    <w:p w:rsidR="00685009" w:rsidRPr="00BB5519" w:rsidRDefault="00685009" w:rsidP="00685009">
      <w:r w:rsidRPr="00BB5519">
        <w:rPr>
          <w:color w:val="000000"/>
        </w:rPr>
        <w:t>Office Small Business Get Genuine</w:t>
      </w:r>
    </w:p>
    <w:p w:rsidR="00685009" w:rsidRPr="00BB5519" w:rsidRDefault="00685009" w:rsidP="00685009">
      <w:r w:rsidRPr="00BB5519">
        <w:rPr>
          <w:color w:val="000000"/>
        </w:rPr>
        <w:t>OneNote 2010</w:t>
      </w:r>
    </w:p>
    <w:p w:rsidR="00685009" w:rsidRPr="00BB5519" w:rsidRDefault="00685009" w:rsidP="00685009">
      <w:r w:rsidRPr="00BB5519">
        <w:rPr>
          <w:color w:val="000000"/>
        </w:rPr>
        <w:t>Outlook 2010</w:t>
      </w:r>
    </w:p>
    <w:p w:rsidR="00685009" w:rsidRPr="00BB5519" w:rsidRDefault="00685009" w:rsidP="00685009">
      <w:r w:rsidRPr="00BB5519">
        <w:rPr>
          <w:color w:val="000000"/>
        </w:rPr>
        <w:t>Outlook mit Business Contact Manager</w:t>
      </w:r>
    </w:p>
    <w:p w:rsidR="00685009" w:rsidRPr="00BB5519" w:rsidRDefault="00685009" w:rsidP="00685009">
      <w:r w:rsidRPr="00BB5519">
        <w:rPr>
          <w:color w:val="000000"/>
        </w:rPr>
        <w:t>PowerPoint 2010</w:t>
      </w:r>
    </w:p>
    <w:p w:rsidR="00685009" w:rsidRPr="00BB5519" w:rsidRDefault="00685009" w:rsidP="00685009">
      <w:r w:rsidRPr="00BB5519">
        <w:rPr>
          <w:color w:val="000000"/>
        </w:rPr>
        <w:t>Project 2010 Standard</w:t>
      </w:r>
    </w:p>
    <w:p w:rsidR="00685009" w:rsidRPr="00BB5519" w:rsidRDefault="00685009" w:rsidP="00685009">
      <w:r w:rsidRPr="00BB5519">
        <w:rPr>
          <w:color w:val="000000"/>
        </w:rPr>
        <w:t>Project 2010 Professional</w:t>
      </w:r>
    </w:p>
    <w:p w:rsidR="00685009" w:rsidRPr="00BB5519" w:rsidRDefault="00685009" w:rsidP="00685009">
      <w:r w:rsidRPr="00BB5519">
        <w:rPr>
          <w:color w:val="000000"/>
        </w:rPr>
        <w:t>Search Server 2010</w:t>
      </w:r>
    </w:p>
    <w:p w:rsidR="00685009" w:rsidRPr="00BB5519" w:rsidRDefault="00685009" w:rsidP="00685009">
      <w:r w:rsidRPr="00BB5519">
        <w:rPr>
          <w:color w:val="000000"/>
        </w:rPr>
        <w:t>SharePoint Server 2010 for Internet Sites Enterprise</w:t>
      </w:r>
    </w:p>
    <w:p w:rsidR="00685009" w:rsidRPr="00BB5519" w:rsidRDefault="00685009" w:rsidP="00685009">
      <w:r w:rsidRPr="00BB5519">
        <w:rPr>
          <w:color w:val="000000"/>
        </w:rPr>
        <w:t>SharePoint Server 2010 for Internet Sites Standard</w:t>
      </w:r>
    </w:p>
    <w:p w:rsidR="00685009" w:rsidRPr="00BB5519" w:rsidRDefault="00685009" w:rsidP="00685009">
      <w:r w:rsidRPr="00BB5519">
        <w:rPr>
          <w:color w:val="000000"/>
        </w:rPr>
        <w:t>SharePoint Workspace 2010</w:t>
      </w:r>
    </w:p>
    <w:p w:rsidR="00685009" w:rsidRPr="00BB5519" w:rsidRDefault="00685009" w:rsidP="00685009">
      <w:r w:rsidRPr="00BB5519">
        <w:rPr>
          <w:color w:val="000000"/>
        </w:rPr>
        <w:t>Visio 2010 Premium</w:t>
      </w:r>
    </w:p>
    <w:p w:rsidR="00685009" w:rsidRPr="00BB5519" w:rsidRDefault="00685009" w:rsidP="00685009">
      <w:r w:rsidRPr="00BB5519">
        <w:rPr>
          <w:color w:val="000000"/>
        </w:rPr>
        <w:t>Visio 2010 Standard</w:t>
      </w:r>
    </w:p>
    <w:p w:rsidR="00685009" w:rsidRPr="00BB5519" w:rsidRDefault="00685009" w:rsidP="00685009">
      <w:r w:rsidRPr="00BB5519">
        <w:rPr>
          <w:color w:val="000000"/>
        </w:rPr>
        <w:t>Windows Intune (Pro Gerät)</w:t>
      </w:r>
    </w:p>
    <w:p w:rsidR="00685009" w:rsidRPr="00BB5519" w:rsidRDefault="00685009" w:rsidP="00685009">
      <w:r w:rsidRPr="00BB5519">
        <w:rPr>
          <w:color w:val="000000"/>
        </w:rPr>
        <w:t>Add-On für Windows Intune (Pro Gerät)</w:t>
      </w:r>
    </w:p>
    <w:p w:rsidR="00685009" w:rsidRPr="00BB5519" w:rsidRDefault="00685009" w:rsidP="00685009">
      <w:r w:rsidRPr="00BB5519">
        <w:rPr>
          <w:color w:val="000000"/>
        </w:rPr>
        <w:t>Windows MultiPoint Server 2011 Standard</w:t>
      </w:r>
    </w:p>
    <w:p w:rsidR="00685009" w:rsidRPr="00BB5519" w:rsidRDefault="00685009" w:rsidP="00685009">
      <w:r w:rsidRPr="00BB5519">
        <w:rPr>
          <w:color w:val="000000"/>
        </w:rPr>
        <w:t>Windows MultiPoint Server 2011 Premium</w:t>
      </w:r>
    </w:p>
    <w:p w:rsidR="00685009" w:rsidRPr="00BB5519" w:rsidRDefault="00685009" w:rsidP="00685009">
      <w:r w:rsidRPr="00BB5519">
        <w:rPr>
          <w:color w:val="000000"/>
        </w:rPr>
        <w:t>CAL für Windows MultiPoint Server 2011</w:t>
      </w:r>
    </w:p>
    <w:p w:rsidR="00685009" w:rsidRPr="00BB5519" w:rsidRDefault="00685009" w:rsidP="00685009">
      <w:pPr>
        <w:rPr>
          <w:lang w:val="de-DE"/>
        </w:rPr>
      </w:pPr>
      <w:r w:rsidRPr="00BB5519">
        <w:rPr>
          <w:color w:val="000000"/>
          <w:lang w:val="de-DE"/>
        </w:rPr>
        <w:t>CAL für Windows MultiPoint Server 2011 mit CAL für Windows Server 2008</w:t>
      </w:r>
    </w:p>
    <w:p w:rsidR="00685009" w:rsidRPr="00BB5519" w:rsidRDefault="00685009" w:rsidP="00685009">
      <w:r w:rsidRPr="00BB5519">
        <w:rPr>
          <w:color w:val="000000"/>
        </w:rPr>
        <w:t>CAL für Windows MultiPoint Server 2011 Premium mit Windows MultiPoint Server 2011 (5 Clients)</w:t>
      </w:r>
    </w:p>
    <w:p w:rsidR="00685009" w:rsidRPr="00BB5519" w:rsidRDefault="00685009" w:rsidP="00685009">
      <w:r w:rsidRPr="00BB5519">
        <w:rPr>
          <w:color w:val="000000"/>
        </w:rPr>
        <w:t>CAL für Windows MultiPoint Server 2011 Premium mit Windows MultiPoint Server 2011 (5 Clients) mit CAL für Windows Server 2008 (5 Clients)</w:t>
      </w:r>
    </w:p>
    <w:p w:rsidR="00685009" w:rsidRPr="00BB5519" w:rsidRDefault="00685009" w:rsidP="00685009">
      <w:r w:rsidRPr="00BB5519">
        <w:rPr>
          <w:color w:val="000000"/>
        </w:rPr>
        <w:t>Word 2010</w:t>
      </w:r>
    </w:p>
    <w:p w:rsidR="00173A20" w:rsidRPr="00BB5519" w:rsidRDefault="00173A20" w:rsidP="00173A20"/>
    <w:p w:rsidR="00A33CF7" w:rsidRPr="00BB5519" w:rsidRDefault="00A33CF7" w:rsidP="00173A20"/>
    <w:p w:rsidR="00E64830" w:rsidRPr="004C6301" w:rsidRDefault="00E64830" w:rsidP="00E64830">
      <w:pPr>
        <w:pStyle w:val="Heading2"/>
        <w:ind w:left="0"/>
        <w:jc w:val="both"/>
        <w:rPr>
          <w:rFonts w:ascii="Tahoma" w:hAnsi="Tahoma" w:cs="Tahoma"/>
          <w:color w:val="FF6600"/>
        </w:rPr>
      </w:pPr>
      <w:bookmarkStart w:id="632" w:name="_Toc354054867"/>
      <w:r w:rsidRPr="00BB5519">
        <w:rPr>
          <w:rFonts w:ascii="Tahoma" w:hAnsi="Tahoma" w:cs="Tahoma"/>
          <w:color w:val="FF6600"/>
        </w:rPr>
        <w:t>ÄNDERUNGEN IM NOVEMBER 2012</w:t>
      </w:r>
      <w:bookmarkEnd w:id="632"/>
    </w:p>
    <w:p w:rsidR="00EA60F8" w:rsidRPr="0064651F" w:rsidRDefault="00EA60F8" w:rsidP="00EA60F8">
      <w:pPr>
        <w:pStyle w:val="Heading2"/>
        <w:ind w:left="0"/>
        <w:jc w:val="both"/>
        <w:rPr>
          <w:rFonts w:ascii="Tahoma" w:hAnsi="Tahoma" w:cs="Tahoma"/>
          <w:b w:val="0"/>
          <w:color w:val="FF6600"/>
          <w:sz w:val="18"/>
        </w:rPr>
      </w:pPr>
    </w:p>
    <w:p w:rsidR="00E64830" w:rsidRPr="00621662" w:rsidRDefault="00E64830" w:rsidP="003E606C">
      <w:pPr>
        <w:spacing w:after="60"/>
        <w:rPr>
          <w:b/>
          <w:lang w:val="de-DE"/>
        </w:rPr>
      </w:pPr>
      <w:r w:rsidRPr="00621662">
        <w:rPr>
          <w:b/>
          <w:lang w:val="de-DE"/>
        </w:rPr>
        <w:t>Hinzufügungen</w:t>
      </w:r>
    </w:p>
    <w:p w:rsidR="00E64830" w:rsidRPr="00BB5519" w:rsidRDefault="00E64830" w:rsidP="00C530A9">
      <w:pPr>
        <w:rPr>
          <w:lang w:val="de-DE"/>
        </w:rPr>
      </w:pPr>
      <w:r w:rsidRPr="00BB5519">
        <w:rPr>
          <w:lang w:val="de-DE"/>
        </w:rPr>
        <w:t>Microsoft Windows Server Essentials 2012</w:t>
      </w:r>
    </w:p>
    <w:p w:rsidR="00E64830" w:rsidRPr="00BB5519" w:rsidRDefault="00E64830" w:rsidP="00C530A9">
      <w:pPr>
        <w:rPr>
          <w:lang w:val="de-DE"/>
        </w:rPr>
      </w:pPr>
      <w:r w:rsidRPr="00BB5519">
        <w:rPr>
          <w:lang w:val="de-DE"/>
        </w:rPr>
        <w:t>Microsoft AutoRoute Euro 2013</w:t>
      </w:r>
    </w:p>
    <w:p w:rsidR="00E64830" w:rsidRPr="00BB5519" w:rsidRDefault="00E64830" w:rsidP="00C530A9">
      <w:pPr>
        <w:rPr>
          <w:lang w:val="de-DE"/>
        </w:rPr>
      </w:pPr>
      <w:r w:rsidRPr="00BB5519">
        <w:rPr>
          <w:lang w:val="de-DE"/>
        </w:rPr>
        <w:t>Microsoft Desktop Optimization Pack 2012 für Software Assurance</w:t>
      </w:r>
    </w:p>
    <w:p w:rsidR="00EA60F8" w:rsidRPr="00621662" w:rsidRDefault="00EA60F8" w:rsidP="00EA60F8">
      <w:pPr>
        <w:rPr>
          <w:lang w:val="de-DE"/>
        </w:rPr>
      </w:pPr>
    </w:p>
    <w:p w:rsidR="00D24E3C" w:rsidRPr="00BB5519" w:rsidRDefault="00D24E3C" w:rsidP="003E606C">
      <w:pPr>
        <w:spacing w:after="60"/>
        <w:rPr>
          <w:lang w:val="de-DE"/>
        </w:rPr>
      </w:pPr>
      <w:r w:rsidRPr="00BB5519">
        <w:rPr>
          <w:b/>
          <w:lang w:val="de-DE"/>
        </w:rPr>
        <w:t>Promotions</w:t>
      </w:r>
    </w:p>
    <w:p w:rsidR="00D24E3C" w:rsidRPr="00BB5519" w:rsidRDefault="00D24E3C" w:rsidP="00E64830">
      <w:pPr>
        <w:rPr>
          <w:lang w:val="de-DE"/>
        </w:rPr>
      </w:pPr>
      <w:r w:rsidRPr="00BB5519">
        <w:rPr>
          <w:color w:val="000000"/>
          <w:lang w:val="de-DE"/>
        </w:rPr>
        <w:t>Die folgenden Promotions wurden hinzugefügt:</w:t>
      </w:r>
    </w:p>
    <w:p w:rsidR="00D24E3C" w:rsidRPr="00BB5519" w:rsidRDefault="00D24E3C" w:rsidP="00E64830">
      <w:pPr>
        <w:rPr>
          <w:lang w:val="de-DE"/>
        </w:rPr>
      </w:pPr>
      <w:r w:rsidRPr="00BB5519">
        <w:rPr>
          <w:color w:val="000000"/>
          <w:lang w:val="de-DE"/>
        </w:rPr>
        <w:t>30 % Nachlass bei Upgrade auf Visual Studio Premium mit MSDN</w:t>
      </w:r>
    </w:p>
    <w:p w:rsidR="00D24E3C" w:rsidRPr="00BB5519" w:rsidRDefault="00D24E3C" w:rsidP="00ED2410">
      <w:pPr>
        <w:rPr>
          <w:lang w:val="de-DE"/>
        </w:rPr>
      </w:pPr>
      <w:r w:rsidRPr="00BB5519">
        <w:rPr>
          <w:lang w:val="de-DE"/>
        </w:rPr>
        <w:t>Step Up zu Windows 8 mit SA</w:t>
      </w:r>
    </w:p>
    <w:p w:rsidR="00D24E3C" w:rsidRPr="00BB5519" w:rsidRDefault="00D24E3C" w:rsidP="00ED2410">
      <w:pPr>
        <w:rPr>
          <w:lang w:val="de-DE"/>
        </w:rPr>
      </w:pPr>
      <w:r w:rsidRPr="00BB5519">
        <w:rPr>
          <w:lang w:val="de-DE"/>
        </w:rPr>
        <w:t>Windows Intune neuer PC 20 % Promotion</w:t>
      </w:r>
    </w:p>
    <w:p w:rsidR="00D24E3C" w:rsidRPr="00621662" w:rsidRDefault="00D24E3C" w:rsidP="00E64830">
      <w:pPr>
        <w:rPr>
          <w:lang w:val="de-DE"/>
        </w:rPr>
      </w:pPr>
    </w:p>
    <w:p w:rsidR="00E64830" w:rsidRPr="00BB5519" w:rsidRDefault="00E64830" w:rsidP="003E606C">
      <w:pPr>
        <w:spacing w:after="60"/>
        <w:rPr>
          <w:lang w:val="de-DE"/>
        </w:rPr>
      </w:pPr>
      <w:r w:rsidRPr="00BB5519">
        <w:rPr>
          <w:b/>
          <w:lang w:val="de-DE"/>
        </w:rPr>
        <w:t>Änderungen</w:t>
      </w:r>
    </w:p>
    <w:p w:rsidR="00D24E3C" w:rsidRPr="00BB5519" w:rsidRDefault="00D8428A" w:rsidP="00E64830">
      <w:pPr>
        <w:rPr>
          <w:lang w:val="de-DE"/>
        </w:rPr>
      </w:pPr>
      <w:r w:rsidRPr="00BB5519">
        <w:rPr>
          <w:color w:val="000000"/>
          <w:lang w:val="de-DE"/>
        </w:rPr>
        <w:t>An den folgenden Produkten wurden Aktualisierungen vorgenommen:</w:t>
      </w:r>
    </w:p>
    <w:p w:rsidR="003A5ABA" w:rsidRPr="00BB5519" w:rsidRDefault="00D8428A" w:rsidP="00E64830">
      <w:pPr>
        <w:rPr>
          <w:lang w:val="de-DE"/>
        </w:rPr>
      </w:pPr>
      <w:r w:rsidRPr="00BB5519">
        <w:rPr>
          <w:color w:val="000000"/>
          <w:lang w:val="de-DE"/>
        </w:rPr>
        <w:t>Microsoft Desktop Optimization Pack</w:t>
      </w:r>
    </w:p>
    <w:p w:rsidR="000225E7" w:rsidRPr="00621662" w:rsidRDefault="000225E7" w:rsidP="00C530A9">
      <w:pPr>
        <w:rPr>
          <w:lang w:val="de-DE"/>
        </w:rPr>
      </w:pPr>
    </w:p>
    <w:p w:rsidR="00E64830" w:rsidRPr="00BB5519" w:rsidRDefault="00E64830" w:rsidP="003E606C">
      <w:pPr>
        <w:spacing w:after="60"/>
        <w:rPr>
          <w:lang w:val="de-DE"/>
        </w:rPr>
      </w:pPr>
      <w:r w:rsidRPr="00BB5519">
        <w:rPr>
          <w:b/>
          <w:lang w:val="de-DE"/>
        </w:rPr>
        <w:t>Streichungen</w:t>
      </w:r>
    </w:p>
    <w:p w:rsidR="00E64830" w:rsidRPr="00BB5519" w:rsidRDefault="00E64830" w:rsidP="00C530A9">
      <w:pPr>
        <w:rPr>
          <w:lang w:val="de-DE"/>
        </w:rPr>
      </w:pPr>
      <w:r w:rsidRPr="00BB5519">
        <w:rPr>
          <w:lang w:val="de-DE"/>
        </w:rPr>
        <w:t>Windows Small Business Server Essentials 2011</w:t>
      </w:r>
    </w:p>
    <w:p w:rsidR="00E64830" w:rsidRPr="00BB5519" w:rsidRDefault="00E64830" w:rsidP="00C530A9">
      <w:pPr>
        <w:rPr>
          <w:lang w:val="de-DE"/>
        </w:rPr>
      </w:pPr>
      <w:r w:rsidRPr="00BB5519">
        <w:rPr>
          <w:lang w:val="de-DE"/>
        </w:rPr>
        <w:t>AutoRoute 2011</w:t>
      </w:r>
    </w:p>
    <w:p w:rsidR="00E64830" w:rsidRPr="00BB5519" w:rsidRDefault="00E64830" w:rsidP="00C530A9">
      <w:pPr>
        <w:rPr>
          <w:lang w:val="de-DE"/>
        </w:rPr>
      </w:pPr>
      <w:r w:rsidRPr="00BB5519">
        <w:rPr>
          <w:lang w:val="de-DE"/>
        </w:rPr>
        <w:t>Microsoft Desktop Optimization Pack 2011 R2 für Software Assurance</w:t>
      </w:r>
    </w:p>
    <w:p w:rsidR="00EA60F8" w:rsidRPr="00621662" w:rsidRDefault="00EA60F8" w:rsidP="00EA60F8">
      <w:pPr>
        <w:pStyle w:val="Heading2"/>
        <w:ind w:left="0"/>
        <w:jc w:val="both"/>
        <w:rPr>
          <w:rFonts w:ascii="Tahoma" w:hAnsi="Tahoma" w:cs="Tahoma"/>
          <w:color w:val="FF6600"/>
          <w:sz w:val="18"/>
          <w:lang w:val="de-DE"/>
        </w:rPr>
      </w:pPr>
      <w:bookmarkStart w:id="633" w:name="_Toc336338169"/>
    </w:p>
    <w:p w:rsidR="00EA60F8" w:rsidRPr="00621662" w:rsidRDefault="00EA60F8" w:rsidP="00EA60F8">
      <w:pPr>
        <w:pStyle w:val="Heading2"/>
        <w:ind w:left="0"/>
        <w:jc w:val="both"/>
        <w:rPr>
          <w:rFonts w:ascii="Tahoma" w:hAnsi="Tahoma" w:cs="Tahoma"/>
          <w:color w:val="FF6600"/>
          <w:sz w:val="18"/>
          <w:lang w:val="de-DE"/>
        </w:rPr>
      </w:pPr>
    </w:p>
    <w:p w:rsidR="007B0DDA" w:rsidRPr="00621662" w:rsidRDefault="007B0DDA" w:rsidP="007B0DDA">
      <w:pPr>
        <w:pStyle w:val="Heading2"/>
        <w:ind w:left="0"/>
        <w:jc w:val="both"/>
        <w:rPr>
          <w:rFonts w:ascii="Tahoma" w:hAnsi="Tahoma" w:cs="Tahoma"/>
          <w:color w:val="FF6600"/>
          <w:lang w:val="de-DE"/>
        </w:rPr>
      </w:pPr>
      <w:bookmarkStart w:id="634" w:name="_Toc354054868"/>
      <w:r w:rsidRPr="00621662">
        <w:rPr>
          <w:rFonts w:ascii="Tahoma" w:hAnsi="Tahoma" w:cs="Tahoma"/>
          <w:color w:val="FF6600"/>
          <w:lang w:val="de-DE"/>
        </w:rPr>
        <w:lastRenderedPageBreak/>
        <w:t>ÄNDERUNGEN IM OKTOBER 2012</w:t>
      </w:r>
      <w:bookmarkEnd w:id="633"/>
      <w:bookmarkEnd w:id="634"/>
    </w:p>
    <w:p w:rsidR="00EA60F8" w:rsidRPr="00621662" w:rsidRDefault="00EA60F8" w:rsidP="00EA60F8">
      <w:pPr>
        <w:rPr>
          <w:b/>
          <w:color w:val="000000"/>
          <w:lang w:val="de-DE"/>
        </w:rPr>
      </w:pPr>
    </w:p>
    <w:p w:rsidR="007B0DDA" w:rsidRPr="00BB5519" w:rsidRDefault="007B0DDA" w:rsidP="003E606C">
      <w:pPr>
        <w:spacing w:after="60"/>
        <w:rPr>
          <w:lang w:val="de-DE"/>
        </w:rPr>
      </w:pPr>
      <w:r w:rsidRPr="00BB5519">
        <w:rPr>
          <w:b/>
          <w:lang w:val="de-DE"/>
        </w:rPr>
        <w:t>Hinzufügungen</w:t>
      </w:r>
    </w:p>
    <w:p w:rsidR="007B0DDA" w:rsidRPr="00BB5519" w:rsidRDefault="00AD19DE" w:rsidP="007B0DDA">
      <w:pPr>
        <w:rPr>
          <w:lang w:val="de-DE"/>
        </w:rPr>
      </w:pPr>
      <w:r w:rsidRPr="00BB5519">
        <w:rPr>
          <w:rFonts w:cs="Tahoma"/>
          <w:color w:val="000000"/>
          <w:szCs w:val="20"/>
          <w:lang w:val="de-DE"/>
        </w:rPr>
        <w:t>Windows Companion-Abonnementlizenz</w:t>
      </w:r>
    </w:p>
    <w:p w:rsidR="00EA60F8" w:rsidRPr="00621662" w:rsidRDefault="00EA60F8" w:rsidP="00EA60F8">
      <w:pPr>
        <w:rPr>
          <w:rFonts w:cs="Tahoma"/>
          <w:color w:val="000000"/>
          <w:szCs w:val="20"/>
          <w:lang w:val="de-DE"/>
        </w:rPr>
      </w:pPr>
    </w:p>
    <w:p w:rsidR="007B0DDA" w:rsidRPr="00BB5519" w:rsidRDefault="007B0DDA" w:rsidP="000E3562">
      <w:pPr>
        <w:keepNext/>
        <w:keepLines/>
        <w:spacing w:after="60"/>
        <w:rPr>
          <w:lang w:val="de-DE"/>
        </w:rPr>
      </w:pPr>
      <w:r w:rsidRPr="00BB5519">
        <w:rPr>
          <w:b/>
          <w:lang w:val="de-DE"/>
        </w:rPr>
        <w:t>Änderungen</w:t>
      </w:r>
    </w:p>
    <w:p w:rsidR="007B0DDA" w:rsidRPr="00BB5519" w:rsidRDefault="007B0DDA" w:rsidP="000E3562">
      <w:pPr>
        <w:keepNext/>
        <w:keepLines/>
        <w:rPr>
          <w:lang w:val="de-DE"/>
        </w:rPr>
      </w:pPr>
      <w:r w:rsidRPr="00BB5519">
        <w:rPr>
          <w:rFonts w:cs="Tahoma"/>
          <w:color w:val="000000"/>
          <w:szCs w:val="20"/>
          <w:lang w:val="de-DE"/>
        </w:rPr>
        <w:t>Bei den folgenden Produkten haben sich die Punktwerte geändert:</w:t>
      </w:r>
    </w:p>
    <w:p w:rsidR="007B0DDA" w:rsidRPr="00BB5519" w:rsidRDefault="007B0DDA" w:rsidP="000E3562">
      <w:pPr>
        <w:keepNext/>
        <w:keepLines/>
        <w:rPr>
          <w:lang w:val="fr-FR"/>
        </w:rPr>
      </w:pPr>
      <w:r w:rsidRPr="00BB5519">
        <w:rPr>
          <w:rFonts w:cs="Tahoma"/>
          <w:color w:val="000000"/>
          <w:szCs w:val="20"/>
          <w:lang w:val="fr-FR"/>
        </w:rPr>
        <w:t>Core Infrastructure Server Suite Datacenter</w:t>
      </w:r>
    </w:p>
    <w:p w:rsidR="007B0DDA" w:rsidRPr="00BB5519" w:rsidRDefault="007B0DDA" w:rsidP="007B0DDA">
      <w:pPr>
        <w:rPr>
          <w:lang w:val="fr-FR"/>
        </w:rPr>
      </w:pPr>
      <w:r w:rsidRPr="00BB5519">
        <w:rPr>
          <w:rFonts w:cs="Tahoma"/>
          <w:color w:val="000000"/>
          <w:szCs w:val="20"/>
          <w:lang w:val="fr-FR"/>
        </w:rPr>
        <w:t>Core Infrastructure Server Suite Standard</w:t>
      </w:r>
    </w:p>
    <w:p w:rsidR="007B0DDA" w:rsidRPr="00BB5519" w:rsidRDefault="007B0DDA" w:rsidP="007B0DDA">
      <w:pPr>
        <w:rPr>
          <w:lang w:val="de-DE"/>
        </w:rPr>
      </w:pPr>
      <w:r w:rsidRPr="00BB5519">
        <w:rPr>
          <w:rFonts w:cs="Tahoma"/>
          <w:color w:val="000000"/>
          <w:szCs w:val="20"/>
          <w:lang w:val="de-DE"/>
        </w:rPr>
        <w:t>Standard-Server-Management-Lizenz für System Center 2012 (2 Prozessoren)</w:t>
      </w:r>
    </w:p>
    <w:p w:rsidR="007B0DDA" w:rsidRPr="00BB5519" w:rsidRDefault="007B0DDA" w:rsidP="007B0DDA">
      <w:pPr>
        <w:rPr>
          <w:lang w:val="de-DE"/>
        </w:rPr>
      </w:pPr>
      <w:r w:rsidRPr="00BB5519">
        <w:rPr>
          <w:rFonts w:cs="Tahoma"/>
          <w:color w:val="000000"/>
          <w:szCs w:val="20"/>
          <w:lang w:val="de-DE"/>
        </w:rPr>
        <w:t>Server-Management-Lizenz für System Center 2012 Datacenter (2 Prozessoren)</w:t>
      </w:r>
    </w:p>
    <w:p w:rsidR="007B0DDA" w:rsidRPr="00BB5519" w:rsidRDefault="007B0DDA" w:rsidP="007B0DDA">
      <w:pPr>
        <w:rPr>
          <w:lang w:val="de-DE"/>
        </w:rPr>
      </w:pPr>
      <w:r w:rsidRPr="00BB5519">
        <w:rPr>
          <w:rFonts w:cs="Tahoma"/>
          <w:color w:val="000000"/>
          <w:szCs w:val="20"/>
          <w:lang w:val="de-DE"/>
        </w:rPr>
        <w:t>System Center Configuration Manager 2007 R3</w:t>
      </w:r>
    </w:p>
    <w:p w:rsidR="007B0DDA" w:rsidRPr="00BB5519" w:rsidRDefault="007B0DDA" w:rsidP="007B0DDA">
      <w:pPr>
        <w:rPr>
          <w:lang w:val="de-DE"/>
        </w:rPr>
      </w:pPr>
      <w:r w:rsidRPr="00BB5519">
        <w:rPr>
          <w:rFonts w:cs="Tahoma"/>
          <w:color w:val="000000"/>
          <w:szCs w:val="20"/>
          <w:lang w:val="de-DE"/>
        </w:rPr>
        <w:t xml:space="preserve">Enterprise-Server-Management-Lizenz für System Center Configuration Manager 2007 R3 </w:t>
      </w:r>
    </w:p>
    <w:p w:rsidR="007B0DDA" w:rsidRPr="00BB5519" w:rsidRDefault="007B0DDA" w:rsidP="007B0DDA">
      <w:pPr>
        <w:rPr>
          <w:lang w:val="de-DE"/>
        </w:rPr>
      </w:pPr>
      <w:r w:rsidRPr="00BB5519">
        <w:rPr>
          <w:rFonts w:cs="Tahoma"/>
          <w:color w:val="000000"/>
          <w:szCs w:val="20"/>
          <w:lang w:val="de-DE"/>
        </w:rPr>
        <w:t>Standard-Server-Management-Lizenz (Standard-Server-ML) für System Center Configuration Manager 2007 R3</w:t>
      </w:r>
    </w:p>
    <w:p w:rsidR="007B0DDA" w:rsidRPr="00BB5519" w:rsidRDefault="007B0DDA" w:rsidP="007B0DDA">
      <w:pPr>
        <w:rPr>
          <w:lang w:val="de-DE"/>
        </w:rPr>
      </w:pPr>
      <w:r w:rsidRPr="00BB5519">
        <w:rPr>
          <w:rFonts w:cs="Tahoma"/>
          <w:color w:val="000000"/>
          <w:szCs w:val="20"/>
          <w:lang w:val="de-DE"/>
        </w:rPr>
        <w:t>System Center Configuration Manager 2007 R3 mit SQL Server 2008-Technologie</w:t>
      </w:r>
    </w:p>
    <w:p w:rsidR="007B0DDA" w:rsidRPr="00BB5519" w:rsidRDefault="007B0DDA" w:rsidP="007B0DDA">
      <w:pPr>
        <w:rPr>
          <w:lang w:val="de-DE"/>
        </w:rPr>
      </w:pPr>
      <w:r w:rsidRPr="00BB5519">
        <w:rPr>
          <w:rFonts w:cs="Tahoma"/>
          <w:color w:val="000000"/>
          <w:szCs w:val="20"/>
          <w:lang w:val="de-DE"/>
        </w:rPr>
        <w:t>Client-Management-Lizenz für System Center Data Protection Manager 2010 pro Nutzer</w:t>
      </w:r>
    </w:p>
    <w:p w:rsidR="007B0DDA" w:rsidRPr="00BB5519" w:rsidRDefault="007B0DDA" w:rsidP="007B0DDA">
      <w:pPr>
        <w:rPr>
          <w:lang w:val="de-DE"/>
        </w:rPr>
      </w:pPr>
      <w:r w:rsidRPr="00BB5519">
        <w:rPr>
          <w:rFonts w:cs="Tahoma"/>
          <w:color w:val="000000"/>
          <w:szCs w:val="20"/>
          <w:lang w:val="de-DE"/>
        </w:rPr>
        <w:t>Client-Management-Lizenz für System Center Data Protection Manager 2010 pro Betriebssystemumgebung</w:t>
      </w:r>
    </w:p>
    <w:p w:rsidR="007B0DDA" w:rsidRPr="00BB5519" w:rsidRDefault="007B0DDA" w:rsidP="007B0DDA">
      <w:pPr>
        <w:rPr>
          <w:lang w:val="de-DE"/>
        </w:rPr>
      </w:pPr>
      <w:r w:rsidRPr="00BB5519">
        <w:rPr>
          <w:rFonts w:cs="Tahoma"/>
          <w:color w:val="000000"/>
          <w:szCs w:val="20"/>
          <w:lang w:val="de-DE"/>
        </w:rPr>
        <w:t xml:space="preserve">Enterprise-Server-Management-Lizenz für System Center Data Protection Manager 2010 </w:t>
      </w:r>
    </w:p>
    <w:p w:rsidR="007B0DDA" w:rsidRPr="00BB5519" w:rsidRDefault="007B0DDA" w:rsidP="007B0DDA">
      <w:pPr>
        <w:rPr>
          <w:lang w:val="de-DE"/>
        </w:rPr>
      </w:pPr>
      <w:r w:rsidRPr="00BB5519">
        <w:rPr>
          <w:rFonts w:cs="Tahoma"/>
          <w:color w:val="000000"/>
          <w:szCs w:val="20"/>
          <w:lang w:val="de-DE"/>
        </w:rPr>
        <w:t xml:space="preserve">Standard-Server-Management-Lizenz für System Center Data Protection Manager 2010 </w:t>
      </w:r>
    </w:p>
    <w:p w:rsidR="007B0DDA" w:rsidRPr="00BB5519" w:rsidRDefault="007B0DDA" w:rsidP="007B0DDA">
      <w:pPr>
        <w:rPr>
          <w:lang w:val="de-DE"/>
        </w:rPr>
      </w:pPr>
      <w:r w:rsidRPr="00BB5519">
        <w:rPr>
          <w:rFonts w:cs="Tahoma"/>
          <w:color w:val="000000"/>
          <w:szCs w:val="20"/>
          <w:lang w:val="de-DE"/>
        </w:rPr>
        <w:t>System Center Operations Manager 2007 R2</w:t>
      </w:r>
    </w:p>
    <w:p w:rsidR="007B0DDA" w:rsidRPr="00BB5519" w:rsidRDefault="007B0DDA" w:rsidP="007B0DDA">
      <w:pPr>
        <w:rPr>
          <w:lang w:val="de-DE"/>
        </w:rPr>
      </w:pPr>
      <w:r w:rsidRPr="00BB5519">
        <w:rPr>
          <w:rFonts w:cs="Tahoma"/>
          <w:color w:val="000000"/>
          <w:szCs w:val="20"/>
          <w:lang w:val="de-DE"/>
        </w:rPr>
        <w:t>System Center Operations Manager 2007 R2 mit SQL Server 2008-Technologie</w:t>
      </w:r>
    </w:p>
    <w:p w:rsidR="007B0DDA" w:rsidRPr="00BB5519" w:rsidRDefault="007B0DDA" w:rsidP="007B0DDA">
      <w:pPr>
        <w:rPr>
          <w:lang w:val="de-DE"/>
        </w:rPr>
      </w:pPr>
      <w:r w:rsidRPr="00BB5519">
        <w:rPr>
          <w:rFonts w:cs="Tahoma"/>
          <w:color w:val="000000"/>
          <w:szCs w:val="20"/>
          <w:lang w:val="de-DE"/>
        </w:rPr>
        <w:t xml:space="preserve">Standard-Server-Management-Lizenz für System Center Operations Manager 2007 R2 </w:t>
      </w:r>
    </w:p>
    <w:p w:rsidR="007B0DDA" w:rsidRPr="00BB5519" w:rsidRDefault="007B0DDA" w:rsidP="007B0DDA">
      <w:pPr>
        <w:rPr>
          <w:lang w:val="de-DE"/>
        </w:rPr>
      </w:pPr>
      <w:r w:rsidRPr="00BB5519">
        <w:rPr>
          <w:rFonts w:cs="Tahoma"/>
          <w:color w:val="000000"/>
          <w:szCs w:val="20"/>
          <w:lang w:val="de-DE"/>
        </w:rPr>
        <w:t xml:space="preserve">Enterprise-Server-Management-Lizenz für System Center Operations Manager 2007 R2 </w:t>
      </w:r>
    </w:p>
    <w:p w:rsidR="007B0DDA" w:rsidRPr="00BB5519" w:rsidRDefault="007B0DDA" w:rsidP="007B0DDA">
      <w:pPr>
        <w:rPr>
          <w:lang w:val="de-DE"/>
        </w:rPr>
      </w:pPr>
      <w:r w:rsidRPr="00BB5519">
        <w:rPr>
          <w:rFonts w:cs="Tahoma"/>
          <w:color w:val="000000"/>
          <w:szCs w:val="20"/>
          <w:lang w:val="de-DE"/>
        </w:rPr>
        <w:t>Client-Management-Lizenz pro OSE für System Center Operations Manager 2007 R2</w:t>
      </w:r>
    </w:p>
    <w:p w:rsidR="007B0DDA" w:rsidRPr="00BB5519" w:rsidRDefault="007B0DDA" w:rsidP="007B0DDA">
      <w:pPr>
        <w:rPr>
          <w:lang w:val="de-DE"/>
        </w:rPr>
      </w:pPr>
      <w:r w:rsidRPr="00BB5519">
        <w:rPr>
          <w:rFonts w:cs="Tahoma"/>
          <w:color w:val="000000"/>
          <w:szCs w:val="20"/>
          <w:lang w:val="de-DE"/>
        </w:rPr>
        <w:t>Client-Management-Lizenz pro Nutzer für System Center Operations Manager 2007 R2</w:t>
      </w:r>
    </w:p>
    <w:p w:rsidR="007B0DDA" w:rsidRPr="00BB5519" w:rsidRDefault="007B0DDA" w:rsidP="007B0DDA">
      <w:pPr>
        <w:rPr>
          <w:lang w:val="de-DE"/>
        </w:rPr>
      </w:pPr>
      <w:r w:rsidRPr="00BB5519">
        <w:rPr>
          <w:rFonts w:cs="Tahoma"/>
          <w:color w:val="000000"/>
          <w:szCs w:val="20"/>
          <w:lang w:val="de-DE"/>
        </w:rPr>
        <w:t xml:space="preserve">System Center Server Management Suite Enterprise </w:t>
      </w:r>
    </w:p>
    <w:p w:rsidR="007B0DDA" w:rsidRPr="00BB5519" w:rsidRDefault="007B0DDA" w:rsidP="007B0DDA">
      <w:pPr>
        <w:rPr>
          <w:lang w:val="de-DE"/>
        </w:rPr>
      </w:pPr>
      <w:r w:rsidRPr="00BB5519">
        <w:rPr>
          <w:rFonts w:cs="Tahoma"/>
          <w:color w:val="000000"/>
          <w:szCs w:val="20"/>
          <w:lang w:val="de-DE"/>
        </w:rPr>
        <w:t>System Center Server Management Suite Datacenter</w:t>
      </w:r>
    </w:p>
    <w:p w:rsidR="007B0DDA" w:rsidRPr="00BB5519" w:rsidRDefault="007B0DDA" w:rsidP="007B0DDA">
      <w:pPr>
        <w:rPr>
          <w:lang w:val="de-DE"/>
        </w:rPr>
      </w:pPr>
      <w:r w:rsidRPr="00BB5519">
        <w:rPr>
          <w:rFonts w:cs="Tahoma"/>
          <w:color w:val="000000"/>
          <w:szCs w:val="20"/>
          <w:lang w:val="de-DE"/>
        </w:rPr>
        <w:t>System Center Service Manager 2010</w:t>
      </w:r>
    </w:p>
    <w:p w:rsidR="007B0DDA" w:rsidRPr="00BB5519" w:rsidRDefault="007B0DDA" w:rsidP="007B0DDA">
      <w:pPr>
        <w:rPr>
          <w:lang w:val="de-DE"/>
        </w:rPr>
      </w:pPr>
      <w:r w:rsidRPr="00BB5519">
        <w:rPr>
          <w:rFonts w:cs="Tahoma"/>
          <w:color w:val="000000"/>
          <w:szCs w:val="20"/>
          <w:lang w:val="de-DE"/>
        </w:rPr>
        <w:t>System Center Service Manager 2010 mit SQL Server 2008-Technologie</w:t>
      </w:r>
    </w:p>
    <w:p w:rsidR="007B0DDA" w:rsidRPr="00BB5519" w:rsidRDefault="007B0DDA" w:rsidP="007B0DDA">
      <w:pPr>
        <w:rPr>
          <w:lang w:val="de-DE"/>
        </w:rPr>
      </w:pPr>
      <w:r w:rsidRPr="00BB5519">
        <w:rPr>
          <w:rFonts w:cs="Tahoma"/>
          <w:color w:val="000000"/>
          <w:szCs w:val="20"/>
          <w:lang w:val="de-DE"/>
        </w:rPr>
        <w:t>Client-Management-Lizenz (Client-ML) für System Center Service Manager 2010 pro Betriebssystemumgebung</w:t>
      </w:r>
    </w:p>
    <w:p w:rsidR="007B0DDA" w:rsidRPr="00BB5519" w:rsidRDefault="007B0DDA" w:rsidP="007B0DDA">
      <w:pPr>
        <w:rPr>
          <w:lang w:val="de-DE"/>
        </w:rPr>
      </w:pPr>
      <w:r w:rsidRPr="00BB5519">
        <w:rPr>
          <w:rFonts w:cs="Tahoma"/>
          <w:color w:val="000000"/>
          <w:szCs w:val="20"/>
          <w:lang w:val="de-DE"/>
        </w:rPr>
        <w:t>Client-Management-Lizenz (Client-ML) für System Center Service Manager 2010 pro Nutzer</w:t>
      </w:r>
    </w:p>
    <w:p w:rsidR="007B0DDA" w:rsidRPr="00BB5519" w:rsidRDefault="007B0DDA" w:rsidP="007B0DDA">
      <w:pPr>
        <w:rPr>
          <w:lang w:val="de-DE"/>
        </w:rPr>
      </w:pPr>
      <w:r w:rsidRPr="00BB5519">
        <w:rPr>
          <w:rFonts w:cs="Tahoma"/>
          <w:color w:val="000000"/>
          <w:szCs w:val="20"/>
          <w:lang w:val="de-DE"/>
        </w:rPr>
        <w:t>Server-Management-Lizenz (Server-ML) für System Center Service Manager 2010 pro Betriebssystemumgebung</w:t>
      </w:r>
    </w:p>
    <w:p w:rsidR="007B0DDA" w:rsidRPr="00BB5519" w:rsidRDefault="007B0DDA" w:rsidP="007B0DDA">
      <w:pPr>
        <w:rPr>
          <w:lang w:val="de-DE"/>
        </w:rPr>
      </w:pPr>
      <w:r w:rsidRPr="00BB5519">
        <w:rPr>
          <w:rFonts w:cs="Tahoma"/>
          <w:color w:val="000000"/>
          <w:szCs w:val="20"/>
          <w:lang w:val="de-DE"/>
        </w:rPr>
        <w:t>Client-Management-Lizenz für System Center Virtual Machine Manager 2008 R2 pro Betriebssystemumgebung</w:t>
      </w:r>
    </w:p>
    <w:p w:rsidR="007B0DDA" w:rsidRPr="00BB5519" w:rsidRDefault="007B0DDA" w:rsidP="007B0DDA">
      <w:pPr>
        <w:rPr>
          <w:lang w:val="de-DE"/>
        </w:rPr>
      </w:pPr>
      <w:r w:rsidRPr="00BB5519">
        <w:rPr>
          <w:rFonts w:cs="Tahoma"/>
          <w:color w:val="000000"/>
          <w:szCs w:val="20"/>
          <w:lang w:val="de-DE"/>
        </w:rPr>
        <w:t>Client-Management-Lizenz für System Center Virtual Machine Manager 2008 R2 pro Nutzer</w:t>
      </w:r>
    </w:p>
    <w:p w:rsidR="007B0DDA" w:rsidRPr="00BB5519" w:rsidRDefault="007B0DDA" w:rsidP="007B0DDA">
      <w:pPr>
        <w:rPr>
          <w:lang w:val="de-DE"/>
        </w:rPr>
      </w:pPr>
      <w:r w:rsidRPr="00BB5519">
        <w:rPr>
          <w:rFonts w:cs="Tahoma"/>
          <w:color w:val="000000"/>
          <w:szCs w:val="20"/>
          <w:lang w:val="de-DE"/>
        </w:rPr>
        <w:t>Enterprise-Server-Management-Lizenz für System Center Virtual Machine Manager 2008 R2</w:t>
      </w:r>
    </w:p>
    <w:p w:rsidR="007B0DDA" w:rsidRPr="00BB5519" w:rsidRDefault="007B0DDA" w:rsidP="007B0DDA">
      <w:pPr>
        <w:rPr>
          <w:lang w:val="de-DE"/>
        </w:rPr>
      </w:pPr>
    </w:p>
    <w:p w:rsidR="007B0DDA" w:rsidRPr="00BB5519" w:rsidRDefault="007B0DDA" w:rsidP="003E606C">
      <w:pPr>
        <w:spacing w:after="60"/>
        <w:rPr>
          <w:lang w:val="de-DE"/>
        </w:rPr>
      </w:pPr>
      <w:r w:rsidRPr="00BB5519">
        <w:rPr>
          <w:b/>
          <w:lang w:val="de-DE"/>
        </w:rPr>
        <w:t>Streichungen</w:t>
      </w:r>
    </w:p>
    <w:p w:rsidR="007B0DDA" w:rsidRPr="00BB5519" w:rsidRDefault="007B0DDA" w:rsidP="007B0DDA">
      <w:pPr>
        <w:rPr>
          <w:lang w:val="de-DE"/>
        </w:rPr>
      </w:pPr>
      <w:r w:rsidRPr="00BB5519">
        <w:rPr>
          <w:color w:val="000000"/>
          <w:lang w:val="de-DE"/>
        </w:rPr>
        <w:t>System Center Mobile Device Manager 2008</w:t>
      </w:r>
    </w:p>
    <w:p w:rsidR="00B20EAC" w:rsidRPr="00BB5519" w:rsidRDefault="00B20EAC" w:rsidP="007B0DDA">
      <w:pPr>
        <w:rPr>
          <w:lang w:val="de-DE"/>
        </w:rPr>
      </w:pPr>
      <w:r w:rsidRPr="00BB5519">
        <w:rPr>
          <w:color w:val="000000"/>
          <w:lang w:val="de-DE"/>
        </w:rPr>
        <w:t>Database Consolidation Appliance 2012</w:t>
      </w:r>
    </w:p>
    <w:p w:rsidR="00EA60F8" w:rsidRPr="00621662" w:rsidRDefault="00EA60F8" w:rsidP="00EA60F8">
      <w:pPr>
        <w:ind w:right="720"/>
        <w:rPr>
          <w:rFonts w:cs="Tahoma"/>
          <w:b/>
          <w:color w:val="F66400"/>
          <w:szCs w:val="20"/>
          <w:lang w:val="de-DE"/>
        </w:rPr>
      </w:pPr>
      <w:bookmarkStart w:id="635" w:name="_Toc336338170"/>
    </w:p>
    <w:p w:rsidR="00EA60F8" w:rsidRPr="00621662" w:rsidRDefault="00EA60F8" w:rsidP="00EA60F8">
      <w:pPr>
        <w:ind w:right="720"/>
        <w:rPr>
          <w:rFonts w:cs="Tahoma"/>
          <w:b/>
          <w:color w:val="F66400"/>
          <w:szCs w:val="20"/>
          <w:lang w:val="de-DE"/>
        </w:rPr>
      </w:pPr>
    </w:p>
    <w:p w:rsidR="00593FBD" w:rsidRPr="00BB5519" w:rsidRDefault="003D1247" w:rsidP="00593FBD">
      <w:pPr>
        <w:pStyle w:val="Heading2"/>
        <w:ind w:left="0"/>
        <w:jc w:val="both"/>
        <w:rPr>
          <w:lang w:val="de-DE"/>
        </w:rPr>
      </w:pPr>
      <w:bookmarkStart w:id="636" w:name="_Toc354054869"/>
      <w:r w:rsidRPr="00BB5519">
        <w:rPr>
          <w:rFonts w:ascii="Tahoma" w:hAnsi="Tahoma" w:cs="Tahoma"/>
          <w:color w:val="FF6600"/>
          <w:lang w:val="de-DE"/>
        </w:rPr>
        <w:t>ÄNDERUNGEN IM SEPTEMBER 2012</w:t>
      </w:r>
      <w:bookmarkEnd w:id="635"/>
      <w:bookmarkEnd w:id="636"/>
    </w:p>
    <w:p w:rsidR="00EA60F8" w:rsidRPr="00621662" w:rsidRDefault="00EA60F8" w:rsidP="00EA60F8">
      <w:pPr>
        <w:ind w:right="720"/>
        <w:rPr>
          <w:rFonts w:cs="Tahoma"/>
          <w:b/>
          <w:color w:val="F66400"/>
          <w:szCs w:val="20"/>
          <w:lang w:val="de-DE"/>
        </w:rPr>
      </w:pPr>
    </w:p>
    <w:p w:rsidR="00593FBD" w:rsidRPr="00BB5519" w:rsidRDefault="00593FBD" w:rsidP="003E606C">
      <w:pPr>
        <w:spacing w:after="60"/>
        <w:rPr>
          <w:lang w:val="de-DE"/>
        </w:rPr>
      </w:pPr>
      <w:r w:rsidRPr="00BB5519">
        <w:rPr>
          <w:b/>
          <w:lang w:val="de-DE"/>
        </w:rPr>
        <w:t>Hinzufügungen</w:t>
      </w:r>
    </w:p>
    <w:p w:rsidR="00593FBD" w:rsidRPr="00BB5519" w:rsidRDefault="00593FBD" w:rsidP="00EF4590">
      <w:pPr>
        <w:rPr>
          <w:lang w:val="de-DE"/>
        </w:rPr>
      </w:pPr>
      <w:r w:rsidRPr="00BB5519">
        <w:rPr>
          <w:rFonts w:cs="Tahoma"/>
          <w:color w:val="000000"/>
          <w:szCs w:val="20"/>
          <w:lang w:val="de-DE"/>
        </w:rPr>
        <w:t>Visual Studio</w:t>
      </w:r>
      <w:r w:rsidRPr="00EA60F8">
        <w:rPr>
          <w:rFonts w:cs="Tahoma"/>
          <w:color w:val="000000"/>
          <w:szCs w:val="20"/>
          <w:vertAlign w:val="superscript"/>
          <w:lang w:val="de-DE"/>
        </w:rPr>
        <w:t>®</w:t>
      </w:r>
      <w:r w:rsidRPr="00BB5519">
        <w:rPr>
          <w:rFonts w:cs="Tahoma"/>
          <w:color w:val="000000"/>
          <w:szCs w:val="20"/>
          <w:lang w:val="de-DE"/>
        </w:rPr>
        <w:t xml:space="preserve"> Professional 2012</w:t>
      </w:r>
    </w:p>
    <w:p w:rsidR="00593FBD" w:rsidRPr="00BB5519" w:rsidRDefault="00593FBD" w:rsidP="00EF4590">
      <w:pPr>
        <w:rPr>
          <w:lang w:val="de-DE"/>
        </w:rPr>
      </w:pPr>
      <w:r w:rsidRPr="00BB5519">
        <w:rPr>
          <w:rFonts w:cs="Tahoma"/>
          <w:color w:val="000000"/>
          <w:szCs w:val="20"/>
          <w:lang w:val="de-DE"/>
        </w:rPr>
        <w:t>Visual Studio</w:t>
      </w:r>
      <w:r w:rsidRPr="00EA60F8">
        <w:rPr>
          <w:rFonts w:cs="Tahoma"/>
          <w:color w:val="000000"/>
          <w:szCs w:val="20"/>
          <w:vertAlign w:val="superscript"/>
          <w:lang w:val="de-DE"/>
        </w:rPr>
        <w:t>®</w:t>
      </w:r>
      <w:r w:rsidRPr="00BB5519">
        <w:rPr>
          <w:rFonts w:cs="Tahoma"/>
          <w:color w:val="000000"/>
          <w:szCs w:val="20"/>
          <w:lang w:val="de-DE"/>
        </w:rPr>
        <w:t xml:space="preserve"> Professional 2012 mit MSDN</w:t>
      </w:r>
    </w:p>
    <w:p w:rsidR="00593FBD" w:rsidRPr="00BB5519" w:rsidRDefault="00CB0262" w:rsidP="00EF4590">
      <w:pPr>
        <w:rPr>
          <w:lang w:val="de-DE"/>
        </w:rPr>
      </w:pPr>
      <w:r w:rsidRPr="00BB5519">
        <w:rPr>
          <w:rFonts w:cs="Tahoma"/>
          <w:color w:val="000000"/>
          <w:szCs w:val="20"/>
          <w:lang w:val="de-DE"/>
        </w:rPr>
        <w:t>Visual Studio</w:t>
      </w:r>
      <w:r w:rsidRPr="00EA60F8">
        <w:rPr>
          <w:rFonts w:cs="Tahoma"/>
          <w:color w:val="000000"/>
          <w:szCs w:val="20"/>
          <w:vertAlign w:val="superscript"/>
          <w:lang w:val="de-DE"/>
        </w:rPr>
        <w:t>®</w:t>
      </w:r>
      <w:r w:rsidRPr="00BB5519">
        <w:rPr>
          <w:rFonts w:cs="Tahoma"/>
          <w:color w:val="000000"/>
          <w:szCs w:val="20"/>
          <w:lang w:val="de-DE"/>
        </w:rPr>
        <w:t xml:space="preserve"> Premium 2012 mit MSDN</w:t>
      </w:r>
    </w:p>
    <w:p w:rsidR="00CB0262" w:rsidRPr="00BB5519" w:rsidRDefault="00CB0262" w:rsidP="00EF4590">
      <w:pPr>
        <w:rPr>
          <w:lang w:val="de-DE"/>
        </w:rPr>
      </w:pPr>
      <w:r w:rsidRPr="00BB5519">
        <w:rPr>
          <w:rFonts w:cs="Tahoma"/>
          <w:color w:val="000000"/>
          <w:szCs w:val="20"/>
          <w:lang w:val="de-DE"/>
        </w:rPr>
        <w:t>Visual Studio</w:t>
      </w:r>
      <w:r w:rsidRPr="00EA60F8">
        <w:rPr>
          <w:rFonts w:cs="Tahoma"/>
          <w:color w:val="000000"/>
          <w:szCs w:val="20"/>
          <w:vertAlign w:val="superscript"/>
          <w:lang w:val="de-DE"/>
        </w:rPr>
        <w:t>®</w:t>
      </w:r>
      <w:r w:rsidRPr="00BB5519">
        <w:rPr>
          <w:rFonts w:cs="Tahoma"/>
          <w:color w:val="000000"/>
          <w:szCs w:val="20"/>
          <w:lang w:val="de-DE"/>
        </w:rPr>
        <w:t xml:space="preserve"> Ultimate 2012 mit MSDN</w:t>
      </w:r>
    </w:p>
    <w:p w:rsidR="00593FBD" w:rsidRPr="00BB5519" w:rsidRDefault="00CB0262" w:rsidP="00EF4590">
      <w:pPr>
        <w:rPr>
          <w:lang w:val="de-DE"/>
        </w:rPr>
      </w:pPr>
      <w:r w:rsidRPr="00BB5519">
        <w:rPr>
          <w:rFonts w:cs="Tahoma"/>
          <w:color w:val="000000"/>
          <w:szCs w:val="20"/>
          <w:lang w:val="de-DE"/>
        </w:rPr>
        <w:t>Visual Studio</w:t>
      </w:r>
      <w:r w:rsidRPr="00EA60F8">
        <w:rPr>
          <w:rFonts w:cs="Tahoma"/>
          <w:color w:val="000000"/>
          <w:szCs w:val="20"/>
          <w:vertAlign w:val="superscript"/>
          <w:lang w:val="de-DE"/>
        </w:rPr>
        <w:t>®</w:t>
      </w:r>
      <w:r w:rsidRPr="00BB5519">
        <w:rPr>
          <w:rFonts w:cs="Tahoma"/>
          <w:color w:val="000000"/>
          <w:szCs w:val="20"/>
          <w:lang w:val="de-DE"/>
        </w:rPr>
        <w:t xml:space="preserve"> Test Professional 2012 mit MSDN</w:t>
      </w:r>
    </w:p>
    <w:p w:rsidR="00593FBD" w:rsidRPr="00BB5519" w:rsidRDefault="00CB0262" w:rsidP="00EF4590">
      <w:pPr>
        <w:rPr>
          <w:lang w:val="de-DE"/>
        </w:rPr>
      </w:pPr>
      <w:r w:rsidRPr="00BB5519">
        <w:rPr>
          <w:rFonts w:cs="Tahoma"/>
          <w:color w:val="000000"/>
          <w:szCs w:val="20"/>
          <w:lang w:val="de-DE"/>
        </w:rPr>
        <w:t>Visual Studio</w:t>
      </w:r>
      <w:r w:rsidRPr="00EA60F8">
        <w:rPr>
          <w:rFonts w:cs="Tahoma"/>
          <w:color w:val="000000"/>
          <w:szCs w:val="20"/>
          <w:vertAlign w:val="superscript"/>
          <w:lang w:val="de-DE"/>
        </w:rPr>
        <w:t>®</w:t>
      </w:r>
      <w:r w:rsidRPr="00BB5519">
        <w:rPr>
          <w:rFonts w:cs="Tahoma"/>
          <w:color w:val="000000"/>
          <w:szCs w:val="20"/>
          <w:lang w:val="de-DE"/>
        </w:rPr>
        <w:t xml:space="preserve"> Team Foundation Server 2012 mit SQL Server 2012-Technologie</w:t>
      </w:r>
    </w:p>
    <w:p w:rsidR="00CB0262" w:rsidRPr="00BB5519" w:rsidRDefault="00CB0262" w:rsidP="00EF4590">
      <w:pPr>
        <w:rPr>
          <w:lang w:val="de-DE"/>
        </w:rPr>
      </w:pPr>
      <w:r w:rsidRPr="00BB5519">
        <w:rPr>
          <w:rFonts w:cs="Tahoma"/>
          <w:color w:val="000000"/>
          <w:szCs w:val="20"/>
          <w:lang w:val="de-DE"/>
        </w:rPr>
        <w:t>Geräte-CAL für Visual Studio</w:t>
      </w:r>
      <w:r w:rsidRPr="00EA60F8">
        <w:rPr>
          <w:rFonts w:cs="Tahoma"/>
          <w:color w:val="000000"/>
          <w:szCs w:val="20"/>
          <w:vertAlign w:val="superscript"/>
          <w:lang w:val="de-DE"/>
        </w:rPr>
        <w:t>®</w:t>
      </w:r>
      <w:r w:rsidRPr="00BB5519">
        <w:rPr>
          <w:rFonts w:cs="Tahoma"/>
          <w:color w:val="000000"/>
          <w:szCs w:val="20"/>
          <w:lang w:val="de-DE"/>
        </w:rPr>
        <w:t xml:space="preserve"> Team Foundation Server 2012</w:t>
      </w:r>
    </w:p>
    <w:p w:rsidR="00CB0262" w:rsidRPr="00BB5519" w:rsidRDefault="00CB0262" w:rsidP="00EF4590">
      <w:r w:rsidRPr="00BB5519">
        <w:rPr>
          <w:rFonts w:cs="Tahoma"/>
          <w:color w:val="000000"/>
          <w:szCs w:val="20"/>
        </w:rPr>
        <w:t>Nutzer-CAL für Visual Studio</w:t>
      </w:r>
      <w:r w:rsidRPr="00EA60F8">
        <w:rPr>
          <w:rFonts w:cs="Tahoma"/>
          <w:color w:val="000000"/>
          <w:szCs w:val="20"/>
          <w:vertAlign w:val="superscript"/>
        </w:rPr>
        <w:t>®</w:t>
      </w:r>
      <w:r w:rsidRPr="00BB5519">
        <w:rPr>
          <w:rFonts w:cs="Tahoma"/>
          <w:color w:val="000000"/>
          <w:szCs w:val="20"/>
        </w:rPr>
        <w:t xml:space="preserve"> Team Foundation Server 2012</w:t>
      </w:r>
    </w:p>
    <w:p w:rsidR="00CB0262" w:rsidRPr="00BB5519" w:rsidRDefault="00CB0262" w:rsidP="00EF4590">
      <w:r w:rsidRPr="00BB5519">
        <w:rPr>
          <w:rFonts w:cs="Tahoma"/>
          <w:color w:val="000000"/>
          <w:szCs w:val="20"/>
        </w:rPr>
        <w:t>External Connector für Visual Studio</w:t>
      </w:r>
      <w:r w:rsidRPr="00EA60F8">
        <w:rPr>
          <w:rFonts w:cs="Tahoma"/>
          <w:color w:val="000000"/>
          <w:szCs w:val="20"/>
          <w:vertAlign w:val="superscript"/>
        </w:rPr>
        <w:t>®</w:t>
      </w:r>
      <w:r w:rsidRPr="00BB5519">
        <w:rPr>
          <w:rFonts w:cs="Tahoma"/>
          <w:color w:val="000000"/>
          <w:szCs w:val="20"/>
        </w:rPr>
        <w:t xml:space="preserve"> Team Foundation Server 2012</w:t>
      </w:r>
    </w:p>
    <w:p w:rsidR="00CB0262" w:rsidRPr="00BB5519" w:rsidRDefault="00CB0262" w:rsidP="00EF4590">
      <w:pPr>
        <w:rPr>
          <w:lang w:val="de-DE"/>
        </w:rPr>
      </w:pPr>
      <w:r w:rsidRPr="00BB5519">
        <w:rPr>
          <w:rFonts w:cs="Tahoma"/>
          <w:color w:val="000000"/>
          <w:szCs w:val="20"/>
          <w:lang w:val="de-DE"/>
        </w:rPr>
        <w:t>CAL für Windows Server™ 2012 (Gerät &amp; Nutzer)</w:t>
      </w:r>
    </w:p>
    <w:p w:rsidR="00CB0262" w:rsidRPr="00BB5519" w:rsidRDefault="00CB0262" w:rsidP="00EF4590">
      <w:r w:rsidRPr="00BB5519">
        <w:rPr>
          <w:rFonts w:cs="Tahoma"/>
          <w:color w:val="000000"/>
          <w:szCs w:val="20"/>
        </w:rPr>
        <w:t>Windows Server™ 2012 Datacenter</w:t>
      </w:r>
    </w:p>
    <w:p w:rsidR="00CB0262" w:rsidRPr="00BB5519" w:rsidRDefault="00CB0262" w:rsidP="00EF4590">
      <w:r w:rsidRPr="00BB5519">
        <w:rPr>
          <w:rFonts w:cs="Tahoma"/>
          <w:color w:val="000000"/>
          <w:szCs w:val="20"/>
        </w:rPr>
        <w:t>Windows Server™ 2012 Standard</w:t>
      </w:r>
    </w:p>
    <w:p w:rsidR="00CB0262" w:rsidRPr="00BB5519" w:rsidRDefault="00CB0262" w:rsidP="00EF4590">
      <w:r w:rsidRPr="00BB5519">
        <w:rPr>
          <w:rFonts w:cs="Tahoma"/>
          <w:color w:val="000000"/>
          <w:szCs w:val="20"/>
        </w:rPr>
        <w:t>Externer Connector für Windows Server™ 2012</w:t>
      </w:r>
    </w:p>
    <w:p w:rsidR="00CB0262" w:rsidRPr="00BB5519" w:rsidRDefault="00CB0262" w:rsidP="00EF4590">
      <w:r w:rsidRPr="00BB5519">
        <w:rPr>
          <w:rFonts w:cs="Tahoma"/>
          <w:color w:val="000000"/>
          <w:szCs w:val="20"/>
        </w:rPr>
        <w:lastRenderedPageBreak/>
        <w:t>CAL für Windows Server™ 2012-Remotedesktopdienste</w:t>
      </w:r>
    </w:p>
    <w:p w:rsidR="00CB0262" w:rsidRPr="00BB5519" w:rsidRDefault="00CB0262" w:rsidP="00EF4590">
      <w:r w:rsidRPr="00BB5519">
        <w:rPr>
          <w:rFonts w:cs="Tahoma"/>
          <w:color w:val="000000"/>
          <w:szCs w:val="20"/>
        </w:rPr>
        <w:t>Externer Connector für Windows Server™ 2012-Remotedesktopdienste</w:t>
      </w:r>
    </w:p>
    <w:p w:rsidR="00CB0262" w:rsidRPr="00BB5519" w:rsidRDefault="00CB0262" w:rsidP="00EF4590">
      <w:pPr>
        <w:rPr>
          <w:lang w:val="de-DE"/>
        </w:rPr>
      </w:pPr>
      <w:r w:rsidRPr="00BB5519">
        <w:rPr>
          <w:rFonts w:cs="Tahoma"/>
          <w:color w:val="000000"/>
          <w:szCs w:val="20"/>
          <w:lang w:val="de-DE"/>
        </w:rPr>
        <w:t>CAL für Windows Server™ 2012-Rechteverwaltungsdienste</w:t>
      </w:r>
    </w:p>
    <w:p w:rsidR="00CB0262" w:rsidRPr="00BB5519" w:rsidRDefault="00CB0262" w:rsidP="00EF4590">
      <w:pPr>
        <w:rPr>
          <w:lang w:val="de-DE"/>
        </w:rPr>
      </w:pPr>
      <w:r w:rsidRPr="00BB5519">
        <w:rPr>
          <w:rFonts w:cs="Tahoma"/>
          <w:color w:val="000000"/>
          <w:szCs w:val="20"/>
          <w:lang w:val="de-DE"/>
        </w:rPr>
        <w:t>Externer Connector für Windows Server™ 2012- Rechteverwaltungsdienste</w:t>
      </w:r>
    </w:p>
    <w:p w:rsidR="00CB0262" w:rsidRPr="00BB5519" w:rsidRDefault="0095607F" w:rsidP="00EF4590">
      <w:pPr>
        <w:rPr>
          <w:lang w:val="de-DE"/>
        </w:rPr>
      </w:pPr>
      <w:r w:rsidRPr="00BB5519">
        <w:rPr>
          <w:lang w:val="de-DE"/>
        </w:rPr>
        <w:t xml:space="preserve">Zusätzliche CAL für </w:t>
      </w:r>
      <w:r w:rsidRPr="00BB5519">
        <w:rPr>
          <w:rFonts w:cs="Tahoma"/>
          <w:color w:val="000000"/>
          <w:szCs w:val="18"/>
          <w:lang w:val="de-DE"/>
        </w:rPr>
        <w:t xml:space="preserve">Microsoft </w:t>
      </w:r>
      <w:r w:rsidRPr="00BB5519">
        <w:rPr>
          <w:rFonts w:cs="Tahoma"/>
          <w:color w:val="000000"/>
          <w:szCs w:val="20"/>
          <w:lang w:val="de-DE"/>
        </w:rPr>
        <w:t>Dynamics AX 2012 Enterprise (Nutzer &amp; Gerät)</w:t>
      </w:r>
    </w:p>
    <w:p w:rsidR="00CB0262" w:rsidRPr="00BB5519" w:rsidRDefault="0095607F" w:rsidP="00EF4590">
      <w:pPr>
        <w:rPr>
          <w:lang w:val="de-DE"/>
        </w:rPr>
      </w:pPr>
      <w:r w:rsidRPr="00BB5519">
        <w:rPr>
          <w:lang w:val="de-DE"/>
        </w:rPr>
        <w:t xml:space="preserve">CAL für </w:t>
      </w:r>
      <w:r w:rsidRPr="00BB5519">
        <w:rPr>
          <w:rFonts w:cs="Tahoma"/>
          <w:color w:val="000000"/>
          <w:szCs w:val="18"/>
          <w:lang w:val="de-DE"/>
        </w:rPr>
        <w:t xml:space="preserve">Microsoft </w:t>
      </w:r>
      <w:r w:rsidRPr="00BB5519">
        <w:rPr>
          <w:rFonts w:cs="Tahoma"/>
          <w:color w:val="000000"/>
          <w:szCs w:val="20"/>
          <w:lang w:val="de-DE"/>
        </w:rPr>
        <w:t>Dynamics AX 2012 Enterprise (Nutzer &amp; Gerät)</w:t>
      </w:r>
    </w:p>
    <w:p w:rsidR="00CB0262" w:rsidRPr="00BB5519" w:rsidRDefault="0095607F" w:rsidP="000E3562">
      <w:pPr>
        <w:rPr>
          <w:lang w:val="de-DE"/>
        </w:rPr>
      </w:pPr>
      <w:r w:rsidRPr="00BB5519">
        <w:rPr>
          <w:lang w:val="de-DE"/>
        </w:rPr>
        <w:t xml:space="preserve">Zusätzliche Funktions-CAL für </w:t>
      </w:r>
      <w:r w:rsidRPr="00BB5519">
        <w:rPr>
          <w:rFonts w:cs="Tahoma"/>
          <w:color w:val="000000"/>
          <w:szCs w:val="18"/>
          <w:lang w:val="de-DE"/>
        </w:rPr>
        <w:t xml:space="preserve">Microsoft </w:t>
      </w:r>
      <w:r w:rsidRPr="00BB5519">
        <w:rPr>
          <w:rFonts w:cs="Tahoma"/>
          <w:color w:val="000000"/>
          <w:szCs w:val="20"/>
          <w:lang w:val="de-DE"/>
        </w:rPr>
        <w:t>Dynamics AX 2012 (Nutzer &amp; Gerät)</w:t>
      </w:r>
    </w:p>
    <w:p w:rsidR="00CB0262" w:rsidRPr="00BB5519" w:rsidRDefault="0095607F" w:rsidP="00EF4590">
      <w:pPr>
        <w:rPr>
          <w:lang w:val="de-DE"/>
        </w:rPr>
      </w:pPr>
      <w:r w:rsidRPr="00BB5519">
        <w:rPr>
          <w:lang w:val="de-DE"/>
        </w:rPr>
        <w:t xml:space="preserve">Funktions-CAL für </w:t>
      </w:r>
      <w:r w:rsidRPr="00BB5519">
        <w:rPr>
          <w:rFonts w:cs="Tahoma"/>
          <w:color w:val="000000"/>
          <w:szCs w:val="18"/>
          <w:lang w:val="de-DE"/>
        </w:rPr>
        <w:t xml:space="preserve">Microsoft </w:t>
      </w:r>
      <w:r w:rsidRPr="00BB5519">
        <w:rPr>
          <w:rFonts w:cs="Tahoma"/>
          <w:color w:val="000000"/>
          <w:szCs w:val="20"/>
          <w:lang w:val="de-DE"/>
        </w:rPr>
        <w:t>Dynamics AX 2012 (Nutzer &amp; Gerät)</w:t>
      </w:r>
    </w:p>
    <w:p w:rsidR="00CB0262" w:rsidRPr="00BB5519" w:rsidRDefault="0095607F" w:rsidP="00EF4590">
      <w:pPr>
        <w:rPr>
          <w:lang w:val="de-DE"/>
        </w:rPr>
      </w:pPr>
      <w:r w:rsidRPr="00BB5519">
        <w:rPr>
          <w:lang w:val="de-DE"/>
        </w:rPr>
        <w:t xml:space="preserve">CAL für </w:t>
      </w:r>
      <w:r w:rsidRPr="00BB5519">
        <w:rPr>
          <w:rFonts w:cs="Tahoma"/>
          <w:color w:val="000000"/>
          <w:szCs w:val="18"/>
          <w:lang w:val="de-DE"/>
        </w:rPr>
        <w:t xml:space="preserve">Microsoft </w:t>
      </w:r>
      <w:r w:rsidRPr="00BB5519">
        <w:rPr>
          <w:rFonts w:cs="Tahoma"/>
          <w:color w:val="000000"/>
          <w:szCs w:val="20"/>
          <w:lang w:val="de-DE"/>
        </w:rPr>
        <w:t>Dynamics AX 2012 Self-Service (Nutzer &amp; Gerät)</w:t>
      </w:r>
    </w:p>
    <w:p w:rsidR="00CB0262" w:rsidRPr="00BB5519" w:rsidRDefault="0095607F" w:rsidP="00EF4590">
      <w:pPr>
        <w:rPr>
          <w:lang w:val="de-DE"/>
        </w:rPr>
      </w:pPr>
      <w:r w:rsidRPr="00BB5519">
        <w:rPr>
          <w:rFonts w:cs="Tahoma"/>
          <w:color w:val="000000"/>
          <w:szCs w:val="18"/>
          <w:lang w:val="de-DE"/>
        </w:rPr>
        <w:t xml:space="preserve">Microsoft </w:t>
      </w:r>
      <w:r w:rsidRPr="00BB5519">
        <w:rPr>
          <w:rFonts w:cs="Tahoma"/>
          <w:color w:val="000000"/>
          <w:szCs w:val="20"/>
          <w:lang w:val="de-DE"/>
        </w:rPr>
        <w:t>Dynamics AX 2012 Server</w:t>
      </w:r>
    </w:p>
    <w:p w:rsidR="00CB0262" w:rsidRPr="00BB5519" w:rsidRDefault="0095607F" w:rsidP="00EF4590">
      <w:pPr>
        <w:rPr>
          <w:lang w:val="de-DE"/>
        </w:rPr>
      </w:pPr>
      <w:r w:rsidRPr="00BB5519">
        <w:rPr>
          <w:lang w:val="de-DE"/>
        </w:rPr>
        <w:t xml:space="preserve">Zusätzliche Aufgaben-CAL für </w:t>
      </w:r>
      <w:r w:rsidRPr="00BB5519">
        <w:rPr>
          <w:rFonts w:cs="Tahoma"/>
          <w:color w:val="000000"/>
          <w:szCs w:val="18"/>
          <w:lang w:val="de-DE"/>
        </w:rPr>
        <w:t xml:space="preserve">Microsoft </w:t>
      </w:r>
      <w:r w:rsidRPr="00BB5519">
        <w:rPr>
          <w:rFonts w:cs="Tahoma"/>
          <w:color w:val="000000"/>
          <w:szCs w:val="20"/>
          <w:lang w:val="de-DE"/>
        </w:rPr>
        <w:t>Dynamics AX 2012 (Nutzer &amp; Gerät)</w:t>
      </w:r>
    </w:p>
    <w:p w:rsidR="00CB0262" w:rsidRPr="00BB5519" w:rsidRDefault="0095607F" w:rsidP="00EF4590">
      <w:pPr>
        <w:rPr>
          <w:lang w:val="de-DE"/>
        </w:rPr>
      </w:pPr>
      <w:r w:rsidRPr="00BB5519">
        <w:rPr>
          <w:lang w:val="de-DE"/>
        </w:rPr>
        <w:t xml:space="preserve">Aufgaben-CAL für </w:t>
      </w:r>
      <w:r w:rsidRPr="00BB5519">
        <w:rPr>
          <w:rFonts w:cs="Tahoma"/>
          <w:color w:val="000000"/>
          <w:szCs w:val="18"/>
          <w:lang w:val="de-DE"/>
        </w:rPr>
        <w:t xml:space="preserve">Microsoft </w:t>
      </w:r>
      <w:r w:rsidRPr="00BB5519">
        <w:rPr>
          <w:rFonts w:cs="Tahoma"/>
          <w:color w:val="000000"/>
          <w:szCs w:val="20"/>
          <w:lang w:val="de-DE"/>
        </w:rPr>
        <w:t>Dynamics AX 2012 (Nutzer &amp; Gerät)</w:t>
      </w:r>
    </w:p>
    <w:p w:rsidR="00CB0262" w:rsidRPr="00BB5519" w:rsidRDefault="00CB0262" w:rsidP="00EF4590">
      <w:r w:rsidRPr="00BB5519">
        <w:rPr>
          <w:rFonts w:cs="Tahoma"/>
          <w:color w:val="000000"/>
          <w:szCs w:val="20"/>
        </w:rPr>
        <w:t>Windows 8 Enterprise Sideloading</w:t>
      </w:r>
    </w:p>
    <w:p w:rsidR="00CB0262" w:rsidRPr="00BB5519" w:rsidRDefault="00CB0262" w:rsidP="00EF4590">
      <w:r w:rsidRPr="00BB5519">
        <w:rPr>
          <w:rFonts w:cs="Tahoma"/>
          <w:color w:val="000000"/>
          <w:szCs w:val="20"/>
        </w:rPr>
        <w:t>Windows 8 Pro-Upgrade</w:t>
      </w:r>
    </w:p>
    <w:p w:rsidR="00394D71" w:rsidRPr="00BB5519" w:rsidRDefault="00394D71" w:rsidP="00EF4590">
      <w:pPr>
        <w:rPr>
          <w:lang w:val="de-DE"/>
        </w:rPr>
      </w:pPr>
      <w:r w:rsidRPr="00BB5519">
        <w:rPr>
          <w:rFonts w:cs="Tahoma"/>
          <w:color w:val="000000"/>
          <w:szCs w:val="18"/>
          <w:lang w:val="de-DE"/>
        </w:rPr>
        <w:t>Windows 8 Pro mit MDOP</w:t>
      </w:r>
    </w:p>
    <w:p w:rsidR="00CB0262" w:rsidRPr="00BB5519" w:rsidRDefault="00CB0262" w:rsidP="00EF4590">
      <w:pPr>
        <w:rPr>
          <w:lang w:val="de-DE"/>
        </w:rPr>
      </w:pPr>
      <w:r w:rsidRPr="00BB5519">
        <w:rPr>
          <w:rFonts w:cs="Tahoma"/>
          <w:color w:val="000000"/>
          <w:szCs w:val="20"/>
          <w:lang w:val="de-DE"/>
        </w:rPr>
        <w:t>Vermietungsrechte für Windows</w:t>
      </w:r>
    </w:p>
    <w:p w:rsidR="00593FBD" w:rsidRPr="00BB5519" w:rsidRDefault="00593FBD" w:rsidP="00EF4590">
      <w:pPr>
        <w:rPr>
          <w:lang w:val="de-DE"/>
        </w:rPr>
      </w:pPr>
    </w:p>
    <w:p w:rsidR="00593FBD" w:rsidRPr="00BB5519" w:rsidRDefault="00593FBD" w:rsidP="003E606C">
      <w:pPr>
        <w:spacing w:after="60"/>
        <w:rPr>
          <w:lang w:val="de-DE"/>
        </w:rPr>
      </w:pPr>
      <w:r w:rsidRPr="00BB5519">
        <w:rPr>
          <w:b/>
          <w:lang w:val="de-DE"/>
        </w:rPr>
        <w:t>Promotions</w:t>
      </w:r>
    </w:p>
    <w:p w:rsidR="00F84628" w:rsidRPr="00BB5519" w:rsidRDefault="00F84628" w:rsidP="00F84628">
      <w:pPr>
        <w:rPr>
          <w:lang w:val="de-DE"/>
        </w:rPr>
      </w:pPr>
      <w:r w:rsidRPr="00BB5519">
        <w:rPr>
          <w:color w:val="000000"/>
          <w:lang w:val="de-DE"/>
        </w:rPr>
        <w:t>Die folgenden Promotions wurden hinzugefügt:</w:t>
      </w:r>
    </w:p>
    <w:p w:rsidR="00F84628" w:rsidRPr="00BB5519" w:rsidRDefault="00F84628" w:rsidP="00F84628">
      <w:r w:rsidRPr="00BB5519">
        <w:rPr>
          <w:rFonts w:eastAsia="Times New Roman" w:cs="Tahoma"/>
          <w:color w:val="000000"/>
          <w:szCs w:val="18"/>
        </w:rPr>
        <w:t>Windows Server Datacenter Step Up-Promotion</w:t>
      </w:r>
    </w:p>
    <w:p w:rsidR="00F84628" w:rsidRPr="00BB5519" w:rsidRDefault="00F84628" w:rsidP="00F84628">
      <w:pPr>
        <w:rPr>
          <w:lang w:val="de-DE"/>
        </w:rPr>
      </w:pPr>
      <w:r w:rsidRPr="00BB5519">
        <w:rPr>
          <w:rFonts w:eastAsia="Times New Roman" w:cs="Tahoma"/>
          <w:color w:val="000000"/>
          <w:szCs w:val="18"/>
          <w:lang w:val="de-DE"/>
        </w:rPr>
        <w:t xml:space="preserve">Forefront Online Protection für Exchange </w:t>
      </w:r>
    </w:p>
    <w:p w:rsidR="00F84628" w:rsidRPr="00BB5519" w:rsidRDefault="00F84628" w:rsidP="00F84628">
      <w:pPr>
        <w:rPr>
          <w:lang w:val="de-DE"/>
        </w:rPr>
      </w:pPr>
    </w:p>
    <w:p w:rsidR="00F84628" w:rsidRPr="00BB5519" w:rsidRDefault="00F84628" w:rsidP="00F84628">
      <w:pPr>
        <w:outlineLvl w:val="1"/>
        <w:rPr>
          <w:lang w:val="de-DE"/>
        </w:rPr>
      </w:pPr>
      <w:r w:rsidRPr="00BB5519">
        <w:rPr>
          <w:rFonts w:cs="Tahoma"/>
          <w:color w:val="000000"/>
          <w:szCs w:val="18"/>
          <w:lang w:val="de-DE"/>
        </w:rPr>
        <w:t>Die folgenden Promotions wurden gelöscht:</w:t>
      </w:r>
    </w:p>
    <w:p w:rsidR="00F84628" w:rsidRPr="00BB5519" w:rsidRDefault="00F84628" w:rsidP="00F84628">
      <w:pPr>
        <w:rPr>
          <w:lang w:val="de-DE"/>
        </w:rPr>
      </w:pPr>
      <w:r w:rsidRPr="00BB5519">
        <w:rPr>
          <w:color w:val="000000"/>
          <w:lang w:val="de-DE"/>
        </w:rPr>
        <w:t>Promotion für Beitritt für Core Infrastructure Standard Suite</w:t>
      </w:r>
    </w:p>
    <w:p w:rsidR="00F84628" w:rsidRPr="00BB5519" w:rsidRDefault="00F84628" w:rsidP="00F84628">
      <w:pPr>
        <w:outlineLvl w:val="1"/>
        <w:rPr>
          <w:lang w:val="de-DE"/>
        </w:rPr>
      </w:pPr>
    </w:p>
    <w:p w:rsidR="00593FBD" w:rsidRPr="00BB5519" w:rsidRDefault="00593FBD" w:rsidP="003E606C">
      <w:pPr>
        <w:spacing w:after="60"/>
        <w:rPr>
          <w:lang w:val="de-DE"/>
        </w:rPr>
      </w:pPr>
      <w:r w:rsidRPr="00BB5519">
        <w:rPr>
          <w:b/>
          <w:lang w:val="de-DE"/>
        </w:rPr>
        <w:t>Streichungen</w:t>
      </w:r>
    </w:p>
    <w:p w:rsidR="00B07E07" w:rsidRPr="00BB5519" w:rsidRDefault="00B07E07" w:rsidP="00EF4590">
      <w:pPr>
        <w:rPr>
          <w:lang w:val="de-DE"/>
        </w:rPr>
      </w:pPr>
      <w:r w:rsidRPr="00BB5519">
        <w:rPr>
          <w:rFonts w:cs="Tahoma"/>
          <w:color w:val="000000"/>
          <w:szCs w:val="20"/>
          <w:lang w:val="de-DE"/>
        </w:rPr>
        <w:t>Tellme Basic (Gebühr)</w:t>
      </w:r>
    </w:p>
    <w:p w:rsidR="00B07E07" w:rsidRPr="00BB5519" w:rsidRDefault="00B07E07" w:rsidP="00EF4590">
      <w:pPr>
        <w:rPr>
          <w:lang w:val="de-DE"/>
        </w:rPr>
      </w:pPr>
      <w:r w:rsidRPr="00BB5519">
        <w:rPr>
          <w:rFonts w:cs="Tahoma"/>
          <w:color w:val="000000"/>
          <w:szCs w:val="20"/>
          <w:lang w:val="de-DE"/>
        </w:rPr>
        <w:t>Tellme Standard (Gebühr)</w:t>
      </w:r>
    </w:p>
    <w:p w:rsidR="00B07E07" w:rsidRPr="00BB5519" w:rsidRDefault="00B07E07" w:rsidP="00EF4590">
      <w:pPr>
        <w:rPr>
          <w:lang w:val="de-DE"/>
        </w:rPr>
      </w:pPr>
      <w:r w:rsidRPr="00BB5519">
        <w:rPr>
          <w:rFonts w:cs="Tahoma"/>
          <w:color w:val="000000"/>
          <w:szCs w:val="20"/>
          <w:lang w:val="de-DE"/>
        </w:rPr>
        <w:t>Tellme Premium (Gebühr)</w:t>
      </w:r>
    </w:p>
    <w:p w:rsidR="00B07E07" w:rsidRPr="00BB5519" w:rsidRDefault="00B07E07" w:rsidP="00EF4590">
      <w:pPr>
        <w:rPr>
          <w:lang w:val="de-DE"/>
        </w:rPr>
      </w:pPr>
      <w:r w:rsidRPr="00BB5519">
        <w:rPr>
          <w:rFonts w:cs="Tahoma"/>
          <w:color w:val="000000"/>
          <w:szCs w:val="20"/>
          <w:lang w:val="de-DE"/>
        </w:rPr>
        <w:t>Tellme Basic (Dienste-AL)</w:t>
      </w:r>
    </w:p>
    <w:p w:rsidR="00B07E07" w:rsidRPr="00BB5519" w:rsidRDefault="00B07E07" w:rsidP="00EF4590">
      <w:pPr>
        <w:rPr>
          <w:lang w:val="de-DE"/>
        </w:rPr>
      </w:pPr>
      <w:r w:rsidRPr="00BB5519">
        <w:rPr>
          <w:rFonts w:cs="Tahoma"/>
          <w:color w:val="000000"/>
          <w:szCs w:val="20"/>
          <w:lang w:val="de-DE"/>
        </w:rPr>
        <w:t>Tellme Standard (Dienste-AL)</w:t>
      </w:r>
    </w:p>
    <w:p w:rsidR="00B07E07" w:rsidRPr="00BB5519" w:rsidRDefault="00B07E07" w:rsidP="00EF4590">
      <w:pPr>
        <w:rPr>
          <w:lang w:val="de-DE"/>
        </w:rPr>
      </w:pPr>
      <w:r w:rsidRPr="00BB5519">
        <w:rPr>
          <w:rFonts w:cs="Tahoma"/>
          <w:color w:val="000000"/>
          <w:szCs w:val="20"/>
          <w:lang w:val="de-DE"/>
        </w:rPr>
        <w:t>Tellme Premium (Dienste-AL)</w:t>
      </w:r>
    </w:p>
    <w:p w:rsidR="003F704E" w:rsidRPr="00BB5519" w:rsidRDefault="003F704E" w:rsidP="00EF4590">
      <w:pPr>
        <w:rPr>
          <w:lang w:val="de-DE"/>
        </w:rPr>
      </w:pPr>
      <w:r w:rsidRPr="00BB5519">
        <w:rPr>
          <w:rFonts w:cs="Tahoma"/>
          <w:color w:val="000000"/>
          <w:szCs w:val="20"/>
          <w:lang w:val="de-DE"/>
        </w:rPr>
        <w:t>Tellme Overage Minutes (Gebühr)</w:t>
      </w:r>
    </w:p>
    <w:p w:rsidR="00593FBD" w:rsidRPr="00BB5519" w:rsidRDefault="00CB0262" w:rsidP="00EF4590">
      <w:pPr>
        <w:rPr>
          <w:lang w:val="de-DE"/>
        </w:rPr>
      </w:pPr>
      <w:r w:rsidRPr="00BB5519">
        <w:rPr>
          <w:rFonts w:cs="Tahoma"/>
          <w:color w:val="000000"/>
          <w:szCs w:val="20"/>
          <w:lang w:val="de-DE"/>
        </w:rPr>
        <w:t>Visual Studio</w:t>
      </w:r>
      <w:r w:rsidRPr="00621662">
        <w:rPr>
          <w:rFonts w:cs="Tahoma"/>
          <w:color w:val="000000"/>
          <w:szCs w:val="20"/>
          <w:vertAlign w:val="superscript"/>
          <w:lang w:val="de-DE"/>
        </w:rPr>
        <w:t>®</w:t>
      </w:r>
      <w:r w:rsidRPr="00BB5519">
        <w:rPr>
          <w:rFonts w:cs="Tahoma"/>
          <w:color w:val="000000"/>
          <w:szCs w:val="20"/>
          <w:lang w:val="de-DE"/>
        </w:rPr>
        <w:t xml:space="preserve"> 2010 Professional</w:t>
      </w:r>
    </w:p>
    <w:p w:rsidR="00593FBD" w:rsidRPr="006F21F8" w:rsidRDefault="00CB0262" w:rsidP="00EF4590">
      <w:pPr>
        <w:rPr>
          <w:lang w:val="de-DE"/>
        </w:rPr>
      </w:pPr>
      <w:r w:rsidRPr="006F21F8">
        <w:rPr>
          <w:rFonts w:cs="Tahoma"/>
          <w:color w:val="000000"/>
          <w:szCs w:val="20"/>
          <w:lang w:val="de-DE"/>
        </w:rPr>
        <w:t>Visual Studio</w:t>
      </w:r>
      <w:r w:rsidRPr="006F21F8">
        <w:rPr>
          <w:rFonts w:cs="Tahoma"/>
          <w:color w:val="000000"/>
          <w:szCs w:val="20"/>
          <w:vertAlign w:val="superscript"/>
          <w:lang w:val="de-DE"/>
        </w:rPr>
        <w:t>®</w:t>
      </w:r>
      <w:r w:rsidRPr="006F21F8">
        <w:rPr>
          <w:rFonts w:cs="Tahoma"/>
          <w:color w:val="000000"/>
          <w:szCs w:val="20"/>
          <w:lang w:val="de-DE"/>
        </w:rPr>
        <w:t xml:space="preserve"> 2010 Professional mit MSDN</w:t>
      </w:r>
    </w:p>
    <w:p w:rsidR="00CB0262" w:rsidRPr="006F21F8" w:rsidRDefault="00CB0262" w:rsidP="00EF4590">
      <w:pPr>
        <w:rPr>
          <w:lang w:val="de-DE"/>
        </w:rPr>
      </w:pPr>
      <w:r w:rsidRPr="006F21F8">
        <w:rPr>
          <w:rFonts w:cs="Tahoma"/>
          <w:color w:val="000000"/>
          <w:szCs w:val="20"/>
          <w:lang w:val="de-DE"/>
        </w:rPr>
        <w:t>Visual Studio</w:t>
      </w:r>
      <w:r w:rsidRPr="006F21F8">
        <w:rPr>
          <w:rFonts w:cs="Tahoma"/>
          <w:color w:val="000000"/>
          <w:szCs w:val="20"/>
          <w:vertAlign w:val="superscript"/>
          <w:lang w:val="de-DE"/>
        </w:rPr>
        <w:t>®</w:t>
      </w:r>
      <w:r w:rsidRPr="006F21F8">
        <w:rPr>
          <w:rFonts w:cs="Tahoma"/>
          <w:color w:val="000000"/>
          <w:szCs w:val="20"/>
          <w:lang w:val="de-DE"/>
        </w:rPr>
        <w:t xml:space="preserve"> 2010 Professional mit MSDN Embedded</w:t>
      </w:r>
    </w:p>
    <w:p w:rsidR="00CB0262" w:rsidRPr="006F21F8" w:rsidRDefault="00CB0262" w:rsidP="00EF4590">
      <w:pPr>
        <w:rPr>
          <w:lang w:val="pt-BR"/>
        </w:rPr>
      </w:pPr>
      <w:r w:rsidRPr="006F21F8">
        <w:rPr>
          <w:rFonts w:cs="Tahoma"/>
          <w:color w:val="000000"/>
          <w:szCs w:val="20"/>
          <w:lang w:val="pt-BR"/>
        </w:rPr>
        <w:t>Visual Studio</w:t>
      </w:r>
      <w:r w:rsidRPr="006F21F8">
        <w:rPr>
          <w:rFonts w:cs="Tahoma"/>
          <w:color w:val="000000"/>
          <w:szCs w:val="20"/>
          <w:vertAlign w:val="superscript"/>
          <w:lang w:val="pt-BR"/>
        </w:rPr>
        <w:t>®</w:t>
      </w:r>
      <w:r w:rsidRPr="006F21F8">
        <w:rPr>
          <w:rFonts w:cs="Tahoma"/>
          <w:color w:val="000000"/>
          <w:szCs w:val="20"/>
          <w:lang w:val="pt-BR"/>
        </w:rPr>
        <w:t xml:space="preserve"> 2010 Premium</w:t>
      </w:r>
    </w:p>
    <w:p w:rsidR="00CB0262" w:rsidRPr="006F21F8" w:rsidRDefault="00CB0262" w:rsidP="00EF4590">
      <w:pPr>
        <w:rPr>
          <w:lang w:val="pt-BR"/>
        </w:rPr>
      </w:pPr>
      <w:r w:rsidRPr="006F21F8">
        <w:rPr>
          <w:rFonts w:cs="Tahoma"/>
          <w:color w:val="000000"/>
          <w:szCs w:val="20"/>
          <w:lang w:val="pt-BR"/>
        </w:rPr>
        <w:t>Visual Studio</w:t>
      </w:r>
      <w:r w:rsidRPr="006F21F8">
        <w:rPr>
          <w:rFonts w:cs="Tahoma"/>
          <w:color w:val="000000"/>
          <w:szCs w:val="20"/>
          <w:vertAlign w:val="superscript"/>
          <w:lang w:val="pt-BR"/>
        </w:rPr>
        <w:t>®</w:t>
      </w:r>
      <w:r w:rsidRPr="006F21F8">
        <w:rPr>
          <w:rFonts w:cs="Tahoma"/>
          <w:color w:val="000000"/>
          <w:szCs w:val="20"/>
          <w:lang w:val="pt-BR"/>
        </w:rPr>
        <w:t xml:space="preserve"> 2010 Premium mit MSDN</w:t>
      </w:r>
    </w:p>
    <w:p w:rsidR="00CB0262" w:rsidRPr="006F21F8" w:rsidRDefault="00CB0262" w:rsidP="00EF4590">
      <w:pPr>
        <w:rPr>
          <w:lang w:val="pt-BR"/>
        </w:rPr>
      </w:pPr>
      <w:r w:rsidRPr="006F21F8">
        <w:rPr>
          <w:rFonts w:cs="Tahoma"/>
          <w:color w:val="000000"/>
          <w:szCs w:val="20"/>
          <w:lang w:val="pt-BR"/>
        </w:rPr>
        <w:t>Visual Studio</w:t>
      </w:r>
      <w:r w:rsidRPr="006F21F8">
        <w:rPr>
          <w:rFonts w:cs="Tahoma"/>
          <w:color w:val="000000"/>
          <w:szCs w:val="20"/>
          <w:vertAlign w:val="superscript"/>
          <w:lang w:val="pt-BR"/>
        </w:rPr>
        <w:t>®</w:t>
      </w:r>
      <w:r w:rsidRPr="006F21F8">
        <w:rPr>
          <w:rFonts w:cs="Tahoma"/>
          <w:color w:val="000000"/>
          <w:szCs w:val="20"/>
          <w:lang w:val="pt-BR"/>
        </w:rPr>
        <w:t xml:space="preserve"> 2010 Ultimate</w:t>
      </w:r>
    </w:p>
    <w:p w:rsidR="00CB0262" w:rsidRPr="006F21F8" w:rsidRDefault="00CB0262" w:rsidP="00EF4590">
      <w:pPr>
        <w:rPr>
          <w:lang w:val="pt-BR"/>
        </w:rPr>
      </w:pPr>
      <w:r w:rsidRPr="006F21F8">
        <w:rPr>
          <w:rFonts w:cs="Tahoma"/>
          <w:color w:val="000000"/>
          <w:szCs w:val="20"/>
          <w:lang w:val="pt-BR"/>
        </w:rPr>
        <w:t>Visual Studio</w:t>
      </w:r>
      <w:r w:rsidRPr="006F21F8">
        <w:rPr>
          <w:rFonts w:cs="Tahoma"/>
          <w:color w:val="000000"/>
          <w:szCs w:val="20"/>
          <w:vertAlign w:val="superscript"/>
          <w:lang w:val="pt-BR"/>
        </w:rPr>
        <w:t>®</w:t>
      </w:r>
      <w:r w:rsidRPr="006F21F8">
        <w:rPr>
          <w:rFonts w:cs="Tahoma"/>
          <w:color w:val="000000"/>
          <w:szCs w:val="20"/>
          <w:lang w:val="pt-BR"/>
        </w:rPr>
        <w:t xml:space="preserve"> 2010 Ultimate mit MSDN</w:t>
      </w:r>
    </w:p>
    <w:p w:rsidR="00CB0262" w:rsidRPr="006F21F8" w:rsidRDefault="00CB0262" w:rsidP="00EF4590">
      <w:pPr>
        <w:rPr>
          <w:lang w:val="pt-BR"/>
        </w:rPr>
      </w:pPr>
      <w:r w:rsidRPr="006F21F8">
        <w:rPr>
          <w:rFonts w:cs="Tahoma"/>
          <w:color w:val="000000"/>
          <w:szCs w:val="20"/>
          <w:lang w:val="pt-BR"/>
        </w:rPr>
        <w:t>Visual Studio</w:t>
      </w:r>
      <w:r w:rsidRPr="006F21F8">
        <w:rPr>
          <w:rFonts w:cs="Tahoma"/>
          <w:color w:val="000000"/>
          <w:szCs w:val="20"/>
          <w:vertAlign w:val="superscript"/>
          <w:lang w:val="pt-BR"/>
        </w:rPr>
        <w:t>®</w:t>
      </w:r>
      <w:r w:rsidRPr="006F21F8">
        <w:rPr>
          <w:rFonts w:cs="Tahoma"/>
          <w:color w:val="000000"/>
          <w:szCs w:val="20"/>
          <w:lang w:val="pt-BR"/>
        </w:rPr>
        <w:t xml:space="preserve"> Test Professional 2010</w:t>
      </w:r>
    </w:p>
    <w:p w:rsidR="00CB0262" w:rsidRPr="006F21F8" w:rsidRDefault="00101CDD" w:rsidP="00EF4590">
      <w:pPr>
        <w:rPr>
          <w:lang w:val="pt-BR"/>
        </w:rPr>
      </w:pPr>
      <w:r w:rsidRPr="006F21F8">
        <w:rPr>
          <w:rFonts w:cs="Tahoma"/>
          <w:color w:val="000000"/>
          <w:szCs w:val="20"/>
          <w:lang w:val="pt-BR"/>
        </w:rPr>
        <w:t>Visual Studio</w:t>
      </w:r>
      <w:r w:rsidRPr="006F21F8">
        <w:rPr>
          <w:rFonts w:cs="Tahoma"/>
          <w:color w:val="000000"/>
          <w:szCs w:val="20"/>
          <w:vertAlign w:val="superscript"/>
          <w:lang w:val="pt-BR"/>
        </w:rPr>
        <w:t>®</w:t>
      </w:r>
      <w:r w:rsidRPr="006F21F8">
        <w:rPr>
          <w:rFonts w:cs="Tahoma"/>
          <w:color w:val="000000"/>
          <w:szCs w:val="20"/>
          <w:lang w:val="pt-BR"/>
        </w:rPr>
        <w:t xml:space="preserve"> Test Professional 2010 mit MSDN</w:t>
      </w:r>
    </w:p>
    <w:p w:rsidR="00CB0262" w:rsidRPr="006F21F8" w:rsidRDefault="00101CDD" w:rsidP="00EF4590">
      <w:pPr>
        <w:rPr>
          <w:lang w:val="pt-BR"/>
        </w:rPr>
      </w:pPr>
      <w:r w:rsidRPr="006F21F8">
        <w:rPr>
          <w:rFonts w:cs="Tahoma"/>
          <w:color w:val="000000"/>
          <w:szCs w:val="20"/>
          <w:lang w:val="pt-BR"/>
        </w:rPr>
        <w:t>Visual Studio</w:t>
      </w:r>
      <w:r w:rsidRPr="006F21F8">
        <w:rPr>
          <w:rFonts w:cs="Tahoma"/>
          <w:color w:val="000000"/>
          <w:szCs w:val="20"/>
          <w:vertAlign w:val="superscript"/>
          <w:lang w:val="pt-BR"/>
        </w:rPr>
        <w:t>®</w:t>
      </w:r>
      <w:r w:rsidRPr="006F21F8">
        <w:rPr>
          <w:rFonts w:cs="Tahoma"/>
          <w:color w:val="000000"/>
          <w:szCs w:val="20"/>
          <w:lang w:val="pt-BR"/>
        </w:rPr>
        <w:t xml:space="preserve"> LightSwitch 2011</w:t>
      </w:r>
    </w:p>
    <w:p w:rsidR="00CB0262" w:rsidRPr="00BB5519" w:rsidRDefault="00101CDD" w:rsidP="00EF4590">
      <w:r w:rsidRPr="00BB5519">
        <w:rPr>
          <w:rFonts w:cs="Tahoma"/>
          <w:color w:val="000000"/>
          <w:szCs w:val="20"/>
        </w:rPr>
        <w:t>Visual Studio</w:t>
      </w:r>
      <w:r w:rsidRPr="00621662">
        <w:rPr>
          <w:rFonts w:cs="Tahoma"/>
          <w:color w:val="000000"/>
          <w:szCs w:val="20"/>
          <w:vertAlign w:val="superscript"/>
        </w:rPr>
        <w:t>®</w:t>
      </w:r>
      <w:r w:rsidRPr="00BB5519">
        <w:rPr>
          <w:rFonts w:cs="Tahoma"/>
          <w:color w:val="000000"/>
          <w:szCs w:val="20"/>
        </w:rPr>
        <w:t xml:space="preserve"> Load Test Virtual User Pack 2010</w:t>
      </w:r>
    </w:p>
    <w:p w:rsidR="00CB0262" w:rsidRPr="00BB5519" w:rsidRDefault="00101CDD" w:rsidP="00EF4590">
      <w:r w:rsidRPr="00BB5519">
        <w:rPr>
          <w:rFonts w:cs="Tahoma"/>
          <w:color w:val="000000"/>
          <w:szCs w:val="20"/>
        </w:rPr>
        <w:t>Visual Studio</w:t>
      </w:r>
      <w:r w:rsidRPr="00621662">
        <w:rPr>
          <w:rFonts w:cs="Tahoma"/>
          <w:color w:val="000000"/>
          <w:szCs w:val="20"/>
          <w:vertAlign w:val="superscript"/>
        </w:rPr>
        <w:t>®</w:t>
      </w:r>
      <w:r w:rsidRPr="00BB5519">
        <w:rPr>
          <w:rFonts w:cs="Tahoma"/>
          <w:color w:val="000000"/>
          <w:szCs w:val="20"/>
        </w:rPr>
        <w:t xml:space="preserve"> Team Foundation Server 2010 mit SQL Server 2008-Technologie</w:t>
      </w:r>
    </w:p>
    <w:p w:rsidR="00CB0262" w:rsidRPr="00BB5519" w:rsidRDefault="00101CDD" w:rsidP="00EF4590">
      <w:r w:rsidRPr="00BB5519">
        <w:rPr>
          <w:rFonts w:cs="Tahoma"/>
          <w:color w:val="000000"/>
          <w:szCs w:val="20"/>
        </w:rPr>
        <w:t>Geräte-CAL für Visual Studio</w:t>
      </w:r>
      <w:r w:rsidRPr="00621662">
        <w:rPr>
          <w:rFonts w:cs="Tahoma"/>
          <w:color w:val="000000"/>
          <w:szCs w:val="20"/>
          <w:vertAlign w:val="superscript"/>
        </w:rPr>
        <w:t>®</w:t>
      </w:r>
      <w:r w:rsidRPr="00BB5519">
        <w:rPr>
          <w:rFonts w:cs="Tahoma"/>
          <w:color w:val="000000"/>
          <w:szCs w:val="20"/>
        </w:rPr>
        <w:t xml:space="preserve"> Team Foundation Server 2010</w:t>
      </w:r>
    </w:p>
    <w:p w:rsidR="00CB0262" w:rsidRPr="00BB5519" w:rsidRDefault="00101CDD" w:rsidP="00EF4590">
      <w:r w:rsidRPr="00BB5519">
        <w:rPr>
          <w:rFonts w:cs="Tahoma"/>
          <w:color w:val="000000"/>
          <w:szCs w:val="20"/>
        </w:rPr>
        <w:t>Nutzer-CAL für Visual Studio</w:t>
      </w:r>
      <w:r w:rsidRPr="00621662">
        <w:rPr>
          <w:rFonts w:cs="Tahoma"/>
          <w:color w:val="000000"/>
          <w:szCs w:val="20"/>
          <w:vertAlign w:val="superscript"/>
        </w:rPr>
        <w:t>®</w:t>
      </w:r>
      <w:r w:rsidRPr="00BB5519">
        <w:rPr>
          <w:rFonts w:cs="Tahoma"/>
          <w:color w:val="000000"/>
          <w:szCs w:val="20"/>
        </w:rPr>
        <w:t xml:space="preserve"> Team Foundation Server 2010</w:t>
      </w:r>
    </w:p>
    <w:p w:rsidR="00CB0262" w:rsidRPr="00BB5519" w:rsidRDefault="00101CDD" w:rsidP="00EF4590">
      <w:r w:rsidRPr="00BB5519">
        <w:rPr>
          <w:rFonts w:cs="Tahoma"/>
          <w:color w:val="000000"/>
          <w:szCs w:val="20"/>
        </w:rPr>
        <w:t>External Connector für Visual Studio</w:t>
      </w:r>
      <w:r w:rsidRPr="00621662">
        <w:rPr>
          <w:rFonts w:cs="Tahoma"/>
          <w:color w:val="000000"/>
          <w:szCs w:val="20"/>
          <w:vertAlign w:val="superscript"/>
        </w:rPr>
        <w:t>®</w:t>
      </w:r>
      <w:r w:rsidRPr="00BB5519">
        <w:rPr>
          <w:rFonts w:cs="Tahoma"/>
          <w:color w:val="000000"/>
          <w:szCs w:val="20"/>
        </w:rPr>
        <w:t xml:space="preserve"> Team Foundation Server 2010</w:t>
      </w:r>
    </w:p>
    <w:p w:rsidR="00101CDD" w:rsidRPr="00BB5519" w:rsidRDefault="00101CDD" w:rsidP="00EF4590">
      <w:pPr>
        <w:rPr>
          <w:lang w:val="de-DE"/>
        </w:rPr>
      </w:pPr>
      <w:r w:rsidRPr="00BB5519">
        <w:rPr>
          <w:rFonts w:cs="Tahoma"/>
          <w:color w:val="000000"/>
          <w:szCs w:val="20"/>
          <w:lang w:val="de-DE"/>
        </w:rPr>
        <w:t>CAL für Windows Server™ 2008 (Gerät &amp; Nutzer)</w:t>
      </w:r>
    </w:p>
    <w:p w:rsidR="00CB0262" w:rsidRPr="00BB5519" w:rsidRDefault="00101CDD" w:rsidP="00EF4590">
      <w:pPr>
        <w:rPr>
          <w:lang w:val="de-DE"/>
        </w:rPr>
      </w:pPr>
      <w:r w:rsidRPr="00BB5519">
        <w:rPr>
          <w:rFonts w:cs="Tahoma"/>
          <w:color w:val="000000"/>
          <w:szCs w:val="20"/>
          <w:lang w:val="de-DE"/>
        </w:rPr>
        <w:t>Windows Server™ 2008 R2 HPC Edition</w:t>
      </w:r>
    </w:p>
    <w:p w:rsidR="00101CDD" w:rsidRPr="00BB5519" w:rsidRDefault="00101CDD" w:rsidP="00EF4590">
      <w:pPr>
        <w:rPr>
          <w:lang w:val="de-DE"/>
        </w:rPr>
      </w:pPr>
      <w:r w:rsidRPr="00BB5519">
        <w:rPr>
          <w:rFonts w:cs="Tahoma"/>
          <w:color w:val="000000"/>
          <w:szCs w:val="20"/>
          <w:lang w:val="de-DE"/>
        </w:rPr>
        <w:t>Windows Server™ 2008 R2 Datacenter</w:t>
      </w:r>
    </w:p>
    <w:p w:rsidR="00CB0262" w:rsidRPr="00BB5519" w:rsidRDefault="00101CDD" w:rsidP="00EF4590">
      <w:pPr>
        <w:rPr>
          <w:lang w:val="de-DE"/>
        </w:rPr>
      </w:pPr>
      <w:r w:rsidRPr="00BB5519">
        <w:rPr>
          <w:rFonts w:cs="Tahoma"/>
          <w:color w:val="000000"/>
          <w:szCs w:val="20"/>
          <w:lang w:val="de-DE"/>
        </w:rPr>
        <w:t>Windows Server™ 2008 R2 Enterprise</w:t>
      </w:r>
    </w:p>
    <w:p w:rsidR="00101CDD" w:rsidRPr="00BB5519" w:rsidRDefault="00101CDD" w:rsidP="00EF4590">
      <w:pPr>
        <w:rPr>
          <w:lang w:val="de-DE"/>
        </w:rPr>
      </w:pPr>
      <w:r w:rsidRPr="00BB5519">
        <w:rPr>
          <w:rFonts w:cs="Tahoma"/>
          <w:color w:val="000000"/>
          <w:szCs w:val="20"/>
          <w:lang w:val="de-DE"/>
        </w:rPr>
        <w:t>Windows Server™ 2008 R2 für Itanium-basierte Systeme</w:t>
      </w:r>
    </w:p>
    <w:p w:rsidR="00101CDD" w:rsidRPr="00BB5519" w:rsidRDefault="00101CDD" w:rsidP="00EF4590">
      <w:r w:rsidRPr="00BB5519">
        <w:rPr>
          <w:rFonts w:cs="Tahoma"/>
          <w:color w:val="000000"/>
          <w:szCs w:val="20"/>
        </w:rPr>
        <w:t>Windows Server™ 2008 R2 Standard</w:t>
      </w:r>
    </w:p>
    <w:p w:rsidR="00CB0262" w:rsidRPr="00BB5519" w:rsidRDefault="00101CDD" w:rsidP="00EF4590">
      <w:r w:rsidRPr="00BB5519">
        <w:rPr>
          <w:rFonts w:cs="Tahoma"/>
          <w:color w:val="000000"/>
          <w:szCs w:val="20"/>
        </w:rPr>
        <w:t>Externer Connector für Windows Server™ 2008</w:t>
      </w:r>
    </w:p>
    <w:p w:rsidR="00CB0262" w:rsidRPr="00BB5519" w:rsidRDefault="00101CDD" w:rsidP="00EF4590">
      <w:r w:rsidRPr="00BB5519">
        <w:rPr>
          <w:rFonts w:cs="Tahoma"/>
          <w:color w:val="000000"/>
          <w:szCs w:val="20"/>
        </w:rPr>
        <w:t>CAL für Windows Server™ 2008-Remotedesktopdienste</w:t>
      </w:r>
    </w:p>
    <w:p w:rsidR="00101CDD" w:rsidRPr="00BB5519" w:rsidRDefault="00101CDD" w:rsidP="00EF4590">
      <w:r w:rsidRPr="00BB5519">
        <w:rPr>
          <w:rFonts w:cs="Tahoma"/>
          <w:color w:val="000000"/>
          <w:szCs w:val="20"/>
        </w:rPr>
        <w:t>Externer Connector für Windows Server™ 2008-Remotedesktopdienste</w:t>
      </w:r>
    </w:p>
    <w:p w:rsidR="00101CDD" w:rsidRPr="00BB5519" w:rsidRDefault="00101CDD" w:rsidP="00EF4590">
      <w:pPr>
        <w:rPr>
          <w:lang w:val="de-DE"/>
        </w:rPr>
      </w:pPr>
      <w:r w:rsidRPr="00BB5519">
        <w:rPr>
          <w:rFonts w:cs="Tahoma"/>
          <w:color w:val="000000"/>
          <w:szCs w:val="20"/>
          <w:lang w:val="de-DE"/>
        </w:rPr>
        <w:t>CAL für Windows Server™ 2008-Rechteverwaltungsdienste</w:t>
      </w:r>
    </w:p>
    <w:p w:rsidR="00101CDD" w:rsidRPr="00BB5519" w:rsidRDefault="00101CDD" w:rsidP="00EF4590">
      <w:pPr>
        <w:rPr>
          <w:lang w:val="de-DE"/>
        </w:rPr>
      </w:pPr>
      <w:r w:rsidRPr="00BB5519">
        <w:rPr>
          <w:rFonts w:cs="Tahoma"/>
          <w:color w:val="000000"/>
          <w:szCs w:val="20"/>
          <w:lang w:val="de-DE"/>
        </w:rPr>
        <w:lastRenderedPageBreak/>
        <w:t>Externer Connector für Windows Server™ 2008- Rechteverwaltungsdienste</w:t>
      </w:r>
    </w:p>
    <w:p w:rsidR="00101CDD" w:rsidRPr="00BB5519" w:rsidRDefault="00101CDD" w:rsidP="00EF4590">
      <w:pPr>
        <w:rPr>
          <w:lang w:val="de-DE"/>
        </w:rPr>
      </w:pPr>
      <w:r w:rsidRPr="00BB5519">
        <w:rPr>
          <w:rFonts w:cs="Tahoma"/>
          <w:color w:val="000000"/>
          <w:szCs w:val="20"/>
          <w:lang w:val="de-DE"/>
        </w:rPr>
        <w:t>Windows Web Server 2008 R2</w:t>
      </w:r>
    </w:p>
    <w:p w:rsidR="00101CDD" w:rsidRPr="00BB5519" w:rsidRDefault="00101CDD" w:rsidP="00EF4590">
      <w:pPr>
        <w:rPr>
          <w:lang w:val="de-DE"/>
        </w:rPr>
      </w:pPr>
      <w:r w:rsidRPr="00BB5519">
        <w:rPr>
          <w:rFonts w:cs="Tahoma"/>
          <w:color w:val="000000"/>
          <w:szCs w:val="20"/>
          <w:lang w:val="de-DE"/>
        </w:rPr>
        <w:t>HPC Pack 2008 R2 Enterprise</w:t>
      </w:r>
    </w:p>
    <w:p w:rsidR="00101CDD" w:rsidRPr="00BB5519" w:rsidRDefault="00101CDD" w:rsidP="00EF4590">
      <w:pPr>
        <w:rPr>
          <w:lang w:val="de-DE"/>
        </w:rPr>
      </w:pPr>
      <w:r w:rsidRPr="00BB5519">
        <w:rPr>
          <w:rFonts w:cs="Tahoma"/>
          <w:color w:val="000000"/>
          <w:szCs w:val="20"/>
          <w:lang w:val="de-DE"/>
        </w:rPr>
        <w:t>HPC Pack 2008 R2 für Workstation</w:t>
      </w:r>
    </w:p>
    <w:p w:rsidR="00101CDD" w:rsidRPr="00BB5519" w:rsidRDefault="00101CDD" w:rsidP="00EF4590">
      <w:r w:rsidRPr="00BB5519">
        <w:rPr>
          <w:rFonts w:cs="Tahoma"/>
          <w:color w:val="000000"/>
          <w:szCs w:val="20"/>
        </w:rPr>
        <w:t>Windows HPC Server 2008 R2 Suite</w:t>
      </w:r>
    </w:p>
    <w:p w:rsidR="00101CDD" w:rsidRPr="00BB5519" w:rsidRDefault="00101CDD" w:rsidP="00EF4590">
      <w:r w:rsidRPr="00BB5519">
        <w:rPr>
          <w:rFonts w:cs="Tahoma"/>
          <w:color w:val="000000"/>
          <w:szCs w:val="20"/>
        </w:rPr>
        <w:t>Win Starter 7</w:t>
      </w:r>
    </w:p>
    <w:p w:rsidR="00101CDD" w:rsidRPr="00BB5519" w:rsidRDefault="00101CDD" w:rsidP="00EF4590">
      <w:pPr>
        <w:rPr>
          <w:lang w:val="de-DE"/>
        </w:rPr>
      </w:pPr>
      <w:r w:rsidRPr="00BB5519">
        <w:rPr>
          <w:rFonts w:cs="Tahoma"/>
          <w:color w:val="000000"/>
          <w:szCs w:val="20"/>
          <w:lang w:val="de-DE"/>
        </w:rPr>
        <w:t>Win 7 Professional-Upgrade</w:t>
      </w:r>
    </w:p>
    <w:p w:rsidR="001253FF" w:rsidRDefault="001253FF" w:rsidP="00EF4590">
      <w:pPr>
        <w:rPr>
          <w:rFonts w:cs="Tahoma"/>
          <w:color w:val="000000"/>
          <w:szCs w:val="18"/>
          <w:lang w:val="de-DE"/>
        </w:rPr>
      </w:pPr>
      <w:r w:rsidRPr="00BB5519">
        <w:rPr>
          <w:rFonts w:cs="Tahoma"/>
          <w:color w:val="000000"/>
          <w:szCs w:val="18"/>
          <w:lang w:val="de-DE"/>
        </w:rPr>
        <w:t>Windows 7 Professional mit MDOP</w:t>
      </w:r>
    </w:p>
    <w:p w:rsidR="00E1724F" w:rsidRDefault="00E1724F" w:rsidP="00EF4590">
      <w:pPr>
        <w:rPr>
          <w:rFonts w:cs="Tahoma"/>
          <w:color w:val="000000"/>
          <w:szCs w:val="18"/>
          <w:lang w:val="de-DE"/>
        </w:rPr>
      </w:pPr>
    </w:p>
    <w:p w:rsidR="00E1724F" w:rsidRPr="00BB5519" w:rsidRDefault="00E1724F" w:rsidP="00EF4590">
      <w:pPr>
        <w:rPr>
          <w:lang w:val="de-DE"/>
        </w:rPr>
      </w:pPr>
    </w:p>
    <w:p w:rsidR="00EB4DA8" w:rsidRPr="00BB5519" w:rsidRDefault="00EB4DA8" w:rsidP="00CB1EDE">
      <w:pPr>
        <w:pStyle w:val="Heading2"/>
        <w:keepNext/>
        <w:keepLines/>
        <w:ind w:left="0"/>
        <w:jc w:val="both"/>
        <w:rPr>
          <w:lang w:val="de-DE"/>
        </w:rPr>
      </w:pPr>
      <w:bookmarkStart w:id="637" w:name="_Toc336338171"/>
      <w:bookmarkStart w:id="638" w:name="_Toc354054870"/>
      <w:r w:rsidRPr="00BB5519">
        <w:rPr>
          <w:rFonts w:ascii="Tahoma" w:hAnsi="Tahoma" w:cs="Tahoma"/>
          <w:color w:val="FF6600"/>
          <w:lang w:val="de-DE"/>
        </w:rPr>
        <w:t>ÄNDERUNGEN IM AUGUST 2012</w:t>
      </w:r>
      <w:bookmarkEnd w:id="637"/>
      <w:bookmarkEnd w:id="638"/>
    </w:p>
    <w:p w:rsidR="00EB4DA8" w:rsidRPr="00BB5519" w:rsidRDefault="00EB4DA8" w:rsidP="00CB1EDE">
      <w:pPr>
        <w:keepNext/>
        <w:keepLines/>
        <w:rPr>
          <w:lang w:val="de-DE"/>
        </w:rPr>
      </w:pPr>
    </w:p>
    <w:p w:rsidR="00EB4DA8" w:rsidRPr="00BB5519" w:rsidRDefault="00EB4DA8" w:rsidP="003E606C">
      <w:pPr>
        <w:spacing w:after="60"/>
        <w:rPr>
          <w:lang w:val="de-DE"/>
        </w:rPr>
      </w:pPr>
      <w:r w:rsidRPr="00BB5519">
        <w:rPr>
          <w:b/>
          <w:lang w:val="de-DE"/>
        </w:rPr>
        <w:t>Hinzufügungen</w:t>
      </w:r>
    </w:p>
    <w:p w:rsidR="00EB4DA8" w:rsidRPr="00BB5519" w:rsidRDefault="00EB4DA8" w:rsidP="00EB4DA8">
      <w:pPr>
        <w:rPr>
          <w:lang w:val="de-DE"/>
        </w:rPr>
      </w:pPr>
      <w:r w:rsidRPr="00BB5519">
        <w:rPr>
          <w:rFonts w:cs="Tahoma"/>
          <w:szCs w:val="18"/>
          <w:lang w:val="de-DE"/>
        </w:rPr>
        <w:t>MapPoint</w:t>
      </w:r>
      <w:r w:rsidRPr="00621662">
        <w:rPr>
          <w:rFonts w:cs="Tahoma"/>
          <w:szCs w:val="18"/>
          <w:vertAlign w:val="superscript"/>
          <w:lang w:val="de-DE"/>
        </w:rPr>
        <w:t>®</w:t>
      </w:r>
      <w:r w:rsidRPr="00BB5519">
        <w:rPr>
          <w:rFonts w:cs="Tahoma"/>
          <w:szCs w:val="18"/>
          <w:lang w:val="de-DE"/>
        </w:rPr>
        <w:t xml:space="preserve"> Fleet Edition 2013</w:t>
      </w:r>
    </w:p>
    <w:p w:rsidR="00EB4DA8" w:rsidRPr="00BB5519" w:rsidRDefault="00EB4DA8" w:rsidP="00EB4DA8">
      <w:pPr>
        <w:rPr>
          <w:lang w:val="de-DE"/>
        </w:rPr>
      </w:pPr>
      <w:r w:rsidRPr="00BB5519">
        <w:rPr>
          <w:rFonts w:cs="Tahoma"/>
          <w:szCs w:val="18"/>
          <w:lang w:val="de-DE"/>
        </w:rPr>
        <w:t>MapPoint</w:t>
      </w:r>
      <w:r w:rsidRPr="00621662">
        <w:rPr>
          <w:rFonts w:cs="Tahoma"/>
          <w:szCs w:val="18"/>
          <w:vertAlign w:val="superscript"/>
          <w:lang w:val="de-DE"/>
        </w:rPr>
        <w:t>®</w:t>
      </w:r>
      <w:r w:rsidRPr="00BB5519">
        <w:rPr>
          <w:rFonts w:cs="Tahoma"/>
          <w:szCs w:val="18"/>
          <w:lang w:val="de-DE"/>
        </w:rPr>
        <w:t xml:space="preserve"> 2013 für Windows </w:t>
      </w:r>
    </w:p>
    <w:p w:rsidR="00DA364B" w:rsidRPr="00BB5519" w:rsidRDefault="00DA364B" w:rsidP="00EB4DA8">
      <w:r w:rsidRPr="00BB5519">
        <w:rPr>
          <w:rFonts w:cs="Tahoma"/>
          <w:szCs w:val="18"/>
        </w:rPr>
        <w:t>Microsoft Translator API</w:t>
      </w:r>
    </w:p>
    <w:p w:rsidR="009E224B" w:rsidRPr="00BB5519" w:rsidRDefault="009E224B" w:rsidP="00EB4DA8">
      <w:r w:rsidRPr="00BB5519">
        <w:rPr>
          <w:rFonts w:cs="Tahoma"/>
          <w:szCs w:val="18"/>
        </w:rPr>
        <w:t>Office 365 Plan G1 – G4</w:t>
      </w:r>
    </w:p>
    <w:p w:rsidR="00EB4DA8" w:rsidRPr="00BB5519" w:rsidRDefault="00EB4DA8" w:rsidP="00EB4DA8">
      <w:pPr>
        <w:rPr>
          <w:lang w:val="de-DE"/>
        </w:rPr>
      </w:pPr>
      <w:r w:rsidRPr="00BB5519">
        <w:rPr>
          <w:rFonts w:cs="Tahoma"/>
          <w:szCs w:val="18"/>
          <w:lang w:val="de-DE"/>
        </w:rPr>
        <w:t>Streets and Trips 2013</w:t>
      </w:r>
      <w:r w:rsidRPr="00BB5519">
        <w:rPr>
          <w:rFonts w:cs="Tahoma"/>
          <w:szCs w:val="18"/>
          <w:lang w:val="de-DE"/>
        </w:rPr>
        <w:tab/>
      </w:r>
    </w:p>
    <w:p w:rsidR="00EB4DA8" w:rsidRPr="00BB5519" w:rsidRDefault="00EB4DA8" w:rsidP="00EB4DA8">
      <w:pPr>
        <w:rPr>
          <w:lang w:val="de-DE"/>
        </w:rPr>
      </w:pPr>
    </w:p>
    <w:p w:rsidR="00EB4DA8" w:rsidRPr="00BB5519" w:rsidRDefault="00EB4DA8" w:rsidP="003E606C">
      <w:pPr>
        <w:spacing w:after="60"/>
        <w:rPr>
          <w:lang w:val="de-DE"/>
        </w:rPr>
      </w:pPr>
      <w:r w:rsidRPr="00BB5519">
        <w:rPr>
          <w:b/>
          <w:lang w:val="de-DE"/>
        </w:rPr>
        <w:t>Promotions</w:t>
      </w:r>
    </w:p>
    <w:p w:rsidR="00EB4DA8" w:rsidRPr="00BB5519" w:rsidRDefault="00EB4DA8" w:rsidP="00EB4DA8">
      <w:pPr>
        <w:rPr>
          <w:lang w:val="de-DE"/>
        </w:rPr>
      </w:pPr>
      <w:r w:rsidRPr="00BB5519">
        <w:rPr>
          <w:rFonts w:cs="Tahoma"/>
          <w:color w:val="000000"/>
          <w:szCs w:val="18"/>
          <w:lang w:val="de-DE"/>
        </w:rPr>
        <w:t>Es gibt keine Hinzufügungen, Streichungen oder Abläufe bei Promotions.</w:t>
      </w:r>
    </w:p>
    <w:p w:rsidR="00EB4DA8" w:rsidRPr="00BB5519" w:rsidRDefault="00EB4DA8" w:rsidP="003E606C">
      <w:pPr>
        <w:spacing w:after="60"/>
        <w:rPr>
          <w:lang w:val="de-DE"/>
        </w:rPr>
      </w:pPr>
      <w:r w:rsidRPr="00BB5519">
        <w:rPr>
          <w:rFonts w:cs="Tahoma"/>
          <w:szCs w:val="18"/>
          <w:lang w:val="de-DE"/>
        </w:rPr>
        <w:br/>
      </w:r>
      <w:r w:rsidRPr="00BB5519">
        <w:rPr>
          <w:b/>
          <w:lang w:val="de-DE"/>
        </w:rPr>
        <w:t>Streichungen</w:t>
      </w:r>
    </w:p>
    <w:p w:rsidR="00EB4DA8" w:rsidRPr="00BB5519" w:rsidRDefault="00EB4DA8" w:rsidP="00EB4DA8">
      <w:pPr>
        <w:rPr>
          <w:lang w:val="de-DE"/>
        </w:rPr>
      </w:pPr>
      <w:r w:rsidRPr="00BB5519">
        <w:rPr>
          <w:rFonts w:cs="Tahoma"/>
          <w:szCs w:val="18"/>
          <w:lang w:val="de-DE"/>
        </w:rPr>
        <w:t>MapPoint</w:t>
      </w:r>
      <w:r w:rsidRPr="00621662">
        <w:rPr>
          <w:rFonts w:cs="Tahoma"/>
          <w:szCs w:val="18"/>
          <w:vertAlign w:val="superscript"/>
          <w:lang w:val="de-DE"/>
        </w:rPr>
        <w:t>®</w:t>
      </w:r>
      <w:r w:rsidRPr="00BB5519">
        <w:rPr>
          <w:rFonts w:cs="Tahoma"/>
          <w:szCs w:val="18"/>
          <w:lang w:val="de-DE"/>
        </w:rPr>
        <w:t xml:space="preserve"> Fleet Edition 2011</w:t>
      </w:r>
    </w:p>
    <w:p w:rsidR="00EB4DA8" w:rsidRPr="00BB5519" w:rsidRDefault="00EB4DA8" w:rsidP="00EB4DA8">
      <w:pPr>
        <w:rPr>
          <w:lang w:val="de-DE"/>
        </w:rPr>
      </w:pPr>
      <w:r w:rsidRPr="00BB5519">
        <w:rPr>
          <w:rFonts w:cs="Tahoma"/>
          <w:szCs w:val="18"/>
          <w:lang w:val="de-DE"/>
        </w:rPr>
        <w:t>MapPoint</w:t>
      </w:r>
      <w:r w:rsidRPr="00621662">
        <w:rPr>
          <w:rFonts w:cs="Tahoma"/>
          <w:szCs w:val="18"/>
          <w:vertAlign w:val="superscript"/>
          <w:lang w:val="de-DE"/>
        </w:rPr>
        <w:t>®</w:t>
      </w:r>
      <w:r w:rsidRPr="00BB5519">
        <w:rPr>
          <w:rFonts w:cs="Tahoma"/>
          <w:szCs w:val="18"/>
          <w:lang w:val="de-DE"/>
        </w:rPr>
        <w:t xml:space="preserve"> 2011 für Windows </w:t>
      </w:r>
    </w:p>
    <w:p w:rsidR="00EB4DA8" w:rsidRPr="00BB5519" w:rsidRDefault="00EB4DA8" w:rsidP="00EB4DA8">
      <w:pPr>
        <w:rPr>
          <w:lang w:val="de-DE"/>
        </w:rPr>
      </w:pPr>
      <w:r w:rsidRPr="00BB5519">
        <w:rPr>
          <w:rFonts w:cs="Tahoma"/>
          <w:szCs w:val="18"/>
          <w:lang w:val="de-DE"/>
        </w:rPr>
        <w:t>Streets and Trips 2011</w:t>
      </w:r>
      <w:r w:rsidRPr="00BB5519">
        <w:rPr>
          <w:rFonts w:cs="Tahoma"/>
          <w:szCs w:val="18"/>
          <w:lang w:val="de-DE"/>
        </w:rPr>
        <w:tab/>
      </w:r>
    </w:p>
    <w:p w:rsidR="000E7A8A" w:rsidRPr="00D15040" w:rsidRDefault="000E7A8A" w:rsidP="000E7A8A">
      <w:pPr>
        <w:rPr>
          <w:rFonts w:cs="Tahoma"/>
          <w:b/>
          <w:color w:val="000000"/>
          <w:szCs w:val="20"/>
          <w:lang w:val="de-DE"/>
        </w:rPr>
      </w:pPr>
      <w:bookmarkStart w:id="639" w:name="_Toc336338172"/>
    </w:p>
    <w:p w:rsidR="000E7A8A" w:rsidRPr="00D15040" w:rsidRDefault="000E7A8A" w:rsidP="000E7A8A">
      <w:pPr>
        <w:pStyle w:val="Heading2"/>
        <w:ind w:left="0"/>
        <w:jc w:val="both"/>
        <w:rPr>
          <w:rFonts w:ascii="Tahoma" w:hAnsi="Tahoma" w:cs="Tahoma"/>
          <w:color w:val="FF6600"/>
          <w:sz w:val="18"/>
          <w:lang w:val="de-DE"/>
        </w:rPr>
      </w:pPr>
    </w:p>
    <w:p w:rsidR="005A23F4" w:rsidRPr="00D15040" w:rsidRDefault="005A23F4" w:rsidP="005A23F4">
      <w:pPr>
        <w:pStyle w:val="Heading2"/>
        <w:ind w:left="0"/>
        <w:jc w:val="both"/>
        <w:rPr>
          <w:rFonts w:ascii="Tahoma" w:hAnsi="Tahoma" w:cs="Tahoma"/>
          <w:color w:val="FF6600"/>
          <w:lang w:val="de-DE"/>
        </w:rPr>
      </w:pPr>
      <w:bookmarkStart w:id="640" w:name="_Toc354054871"/>
      <w:r w:rsidRPr="00D15040">
        <w:rPr>
          <w:rFonts w:ascii="Tahoma" w:hAnsi="Tahoma" w:cs="Tahoma"/>
          <w:color w:val="FF6600"/>
          <w:lang w:val="de-DE"/>
        </w:rPr>
        <w:t>ÄNDERUNGEN IM JULI 2012</w:t>
      </w:r>
      <w:bookmarkEnd w:id="639"/>
      <w:bookmarkEnd w:id="640"/>
    </w:p>
    <w:p w:rsidR="000E7A8A" w:rsidRPr="00D15040" w:rsidRDefault="000E7A8A" w:rsidP="000E7A8A">
      <w:pPr>
        <w:rPr>
          <w:lang w:val="de-DE"/>
        </w:rPr>
      </w:pPr>
    </w:p>
    <w:p w:rsidR="00172CBA" w:rsidRPr="00D15040" w:rsidRDefault="00172CBA" w:rsidP="003E606C">
      <w:pPr>
        <w:spacing w:after="60"/>
        <w:rPr>
          <w:b/>
          <w:lang w:val="de-DE"/>
        </w:rPr>
      </w:pPr>
      <w:r w:rsidRPr="00D15040">
        <w:rPr>
          <w:b/>
          <w:lang w:val="de-DE"/>
        </w:rPr>
        <w:t>Hinzufügungen</w:t>
      </w:r>
    </w:p>
    <w:p w:rsidR="00856858" w:rsidRPr="00BB5519" w:rsidRDefault="00856858" w:rsidP="00FF73C5">
      <w:pPr>
        <w:rPr>
          <w:lang w:val="de-DE"/>
        </w:rPr>
      </w:pPr>
      <w:r w:rsidRPr="00BB5519">
        <w:rPr>
          <w:rFonts w:cs="Tahoma"/>
          <w:szCs w:val="18"/>
          <w:lang w:val="de-DE"/>
        </w:rPr>
        <w:t>Lync Online Plan 3</w:t>
      </w:r>
    </w:p>
    <w:p w:rsidR="00B1779F" w:rsidRPr="00BB5519" w:rsidRDefault="00B1779F" w:rsidP="00492E6C">
      <w:pPr>
        <w:rPr>
          <w:lang w:val="de-DE"/>
        </w:rPr>
      </w:pPr>
      <w:r w:rsidRPr="00BB5519">
        <w:rPr>
          <w:rFonts w:cs="Tahoma"/>
          <w:szCs w:val="18"/>
          <w:lang w:val="de-DE"/>
        </w:rPr>
        <w:t>Lync Online Plan 3A</w:t>
      </w:r>
    </w:p>
    <w:p w:rsidR="00856858" w:rsidRPr="00BB5519" w:rsidRDefault="00856858" w:rsidP="00DA364B">
      <w:r w:rsidRPr="00BB5519">
        <w:rPr>
          <w:rFonts w:cs="Tahoma"/>
          <w:szCs w:val="18"/>
        </w:rPr>
        <w:t>Office Web-Anwendungen mit SharePoint Plan 2A</w:t>
      </w:r>
    </w:p>
    <w:p w:rsidR="00172CBA" w:rsidRPr="00BB5519" w:rsidRDefault="00856858" w:rsidP="00543693">
      <w:r w:rsidRPr="00BB5519">
        <w:rPr>
          <w:rFonts w:cs="Tahoma"/>
          <w:szCs w:val="18"/>
        </w:rPr>
        <w:t xml:space="preserve">Learning Solutions IT Academy (Nutzer-AL) </w:t>
      </w:r>
    </w:p>
    <w:p w:rsidR="000E7A8A" w:rsidRDefault="000E7A8A" w:rsidP="000E7A8A">
      <w:pPr>
        <w:rPr>
          <w:rFonts w:cs="Tahoma"/>
          <w:szCs w:val="18"/>
        </w:rPr>
      </w:pPr>
    </w:p>
    <w:p w:rsidR="00172CBA" w:rsidRPr="00D15040" w:rsidRDefault="00172CBA" w:rsidP="003E606C">
      <w:pPr>
        <w:spacing w:after="60"/>
        <w:rPr>
          <w:b/>
          <w:lang w:val="de-DE"/>
        </w:rPr>
      </w:pPr>
      <w:r w:rsidRPr="00D15040">
        <w:rPr>
          <w:b/>
          <w:lang w:val="de-DE"/>
        </w:rPr>
        <w:t>Promotions</w:t>
      </w:r>
    </w:p>
    <w:p w:rsidR="00172CBA" w:rsidRPr="00BB5519" w:rsidRDefault="00172CBA" w:rsidP="002765CF">
      <w:pPr>
        <w:rPr>
          <w:lang w:val="de-DE"/>
        </w:rPr>
      </w:pPr>
      <w:bookmarkStart w:id="641" w:name="_Toc325609137"/>
      <w:r w:rsidRPr="00BB5519">
        <w:rPr>
          <w:rFonts w:cs="Tahoma"/>
          <w:color w:val="000000"/>
          <w:szCs w:val="18"/>
          <w:lang w:val="de-DE"/>
        </w:rPr>
        <w:t>Es gibt keine Hinzufügungen, Streichungen oder Abläufe bei Promotions.</w:t>
      </w:r>
      <w:bookmarkEnd w:id="641"/>
    </w:p>
    <w:p w:rsidR="00172CBA" w:rsidRPr="00BB5519" w:rsidRDefault="00172CBA" w:rsidP="003E606C">
      <w:pPr>
        <w:spacing w:after="60"/>
        <w:rPr>
          <w:lang w:val="de-DE"/>
        </w:rPr>
      </w:pPr>
      <w:r w:rsidRPr="00BB5519">
        <w:rPr>
          <w:rFonts w:cs="Tahoma"/>
          <w:szCs w:val="18"/>
          <w:lang w:val="de-DE"/>
        </w:rPr>
        <w:br/>
      </w:r>
      <w:r w:rsidRPr="00BB5519">
        <w:rPr>
          <w:b/>
          <w:lang w:val="de-DE"/>
        </w:rPr>
        <w:t>Streichungen</w:t>
      </w:r>
    </w:p>
    <w:p w:rsidR="00172CBA" w:rsidRPr="00BB5519" w:rsidRDefault="00172CBA" w:rsidP="00EB4DA8">
      <w:pPr>
        <w:rPr>
          <w:lang w:val="de-DE"/>
        </w:rPr>
      </w:pPr>
      <w:r w:rsidRPr="00BB5519">
        <w:rPr>
          <w:rFonts w:cs="Tahoma"/>
          <w:color w:val="000000"/>
          <w:szCs w:val="20"/>
          <w:lang w:val="de-DE"/>
        </w:rPr>
        <w:t>Es gibt keine Produktstreichungen.</w:t>
      </w:r>
    </w:p>
    <w:p w:rsidR="000E7A8A" w:rsidRPr="00D15040" w:rsidRDefault="000E7A8A" w:rsidP="000E7A8A">
      <w:pPr>
        <w:rPr>
          <w:rFonts w:cs="Tahoma"/>
          <w:color w:val="000000"/>
          <w:szCs w:val="20"/>
          <w:lang w:val="de-DE"/>
        </w:rPr>
      </w:pPr>
    </w:p>
    <w:p w:rsidR="00B1779F" w:rsidRPr="00D15040" w:rsidRDefault="00B1779F" w:rsidP="003E606C">
      <w:pPr>
        <w:spacing w:after="60"/>
        <w:rPr>
          <w:b/>
          <w:lang w:val="de-DE"/>
        </w:rPr>
      </w:pPr>
      <w:r w:rsidRPr="00D15040">
        <w:rPr>
          <w:b/>
          <w:lang w:val="de-DE"/>
        </w:rPr>
        <w:t>Sonstige Änderungen</w:t>
      </w:r>
    </w:p>
    <w:p w:rsidR="00B1779F" w:rsidRPr="00BB5519" w:rsidRDefault="00B1779F" w:rsidP="00EB4DA8">
      <w:pPr>
        <w:rPr>
          <w:lang w:val="de-DE"/>
        </w:rPr>
      </w:pPr>
      <w:r w:rsidRPr="00BB5519">
        <w:rPr>
          <w:rFonts w:cs="Tahoma"/>
          <w:color w:val="000000"/>
          <w:szCs w:val="20"/>
          <w:lang w:val="de-DE"/>
        </w:rPr>
        <w:t xml:space="preserve">Die Abschnitte 3 bis 5 wurden zur besseren Handhabung in die Abschnitte 3 bis 9 gegliedert. </w:t>
      </w:r>
    </w:p>
    <w:p w:rsidR="000E7A8A" w:rsidRPr="00D15040" w:rsidRDefault="000E7A8A" w:rsidP="000E7A8A">
      <w:pPr>
        <w:ind w:right="720"/>
        <w:rPr>
          <w:rFonts w:cs="Tahoma"/>
          <w:b/>
          <w:color w:val="000000"/>
          <w:szCs w:val="20"/>
          <w:lang w:val="de-DE"/>
        </w:rPr>
      </w:pPr>
      <w:bookmarkStart w:id="642" w:name="_Toc336338173"/>
    </w:p>
    <w:p w:rsidR="000E7A8A" w:rsidRPr="00D15040" w:rsidRDefault="000E7A8A" w:rsidP="000E7A8A">
      <w:pPr>
        <w:pStyle w:val="Heading2"/>
        <w:ind w:left="0"/>
        <w:jc w:val="both"/>
        <w:rPr>
          <w:rFonts w:ascii="Tahoma" w:hAnsi="Tahoma" w:cs="Tahoma"/>
          <w:color w:val="FF6600"/>
          <w:sz w:val="18"/>
          <w:lang w:val="de-DE"/>
        </w:rPr>
      </w:pPr>
    </w:p>
    <w:p w:rsidR="00BB6A1F" w:rsidRPr="00D15040" w:rsidRDefault="00E702AC" w:rsidP="00BB6A1F">
      <w:pPr>
        <w:pStyle w:val="Heading2"/>
        <w:ind w:left="0"/>
        <w:jc w:val="both"/>
        <w:rPr>
          <w:rFonts w:ascii="Tahoma" w:hAnsi="Tahoma" w:cs="Tahoma"/>
          <w:color w:val="FF6600"/>
          <w:lang w:val="de-DE"/>
        </w:rPr>
      </w:pPr>
      <w:bookmarkStart w:id="643" w:name="_Toc354054872"/>
      <w:r w:rsidRPr="00D15040">
        <w:rPr>
          <w:rFonts w:ascii="Tahoma" w:hAnsi="Tahoma" w:cs="Tahoma"/>
          <w:color w:val="FF6600"/>
          <w:lang w:val="de-DE"/>
        </w:rPr>
        <w:t>ÄNDERUNGEN IM JUNI 2012</w:t>
      </w:r>
      <w:bookmarkEnd w:id="642"/>
      <w:bookmarkEnd w:id="643"/>
    </w:p>
    <w:p w:rsidR="000E7A8A" w:rsidRPr="00D15040" w:rsidRDefault="000E7A8A" w:rsidP="000E7A8A">
      <w:pPr>
        <w:rPr>
          <w:b/>
          <w:lang w:val="de-DE"/>
        </w:rPr>
      </w:pPr>
    </w:p>
    <w:p w:rsidR="00BB6A1F" w:rsidRPr="00D15040" w:rsidRDefault="00BB6A1F" w:rsidP="003E606C">
      <w:pPr>
        <w:spacing w:after="60"/>
        <w:rPr>
          <w:b/>
          <w:lang w:val="de-DE"/>
        </w:rPr>
      </w:pPr>
      <w:r w:rsidRPr="00D15040">
        <w:rPr>
          <w:b/>
          <w:lang w:val="de-DE"/>
        </w:rPr>
        <w:t>Hinzufügungen</w:t>
      </w:r>
    </w:p>
    <w:p w:rsidR="00B435C3" w:rsidRPr="00BB5519" w:rsidRDefault="00B435C3" w:rsidP="00BA3004">
      <w:pPr>
        <w:rPr>
          <w:lang w:val="de-DE"/>
        </w:rPr>
      </w:pPr>
      <w:r w:rsidRPr="00BB5519">
        <w:rPr>
          <w:rFonts w:cs="Tahoma"/>
          <w:szCs w:val="18"/>
          <w:lang w:val="de-DE"/>
        </w:rPr>
        <w:t>Dynamics CRM Mobile (Online, pro Nutzer)</w:t>
      </w:r>
    </w:p>
    <w:p w:rsidR="00B435C3" w:rsidRPr="00BB5519" w:rsidRDefault="00B435C3" w:rsidP="00BA3004">
      <w:pPr>
        <w:rPr>
          <w:lang w:val="de-DE"/>
        </w:rPr>
      </w:pPr>
      <w:r w:rsidRPr="00BB5519">
        <w:rPr>
          <w:rFonts w:cs="Tahoma"/>
          <w:szCs w:val="18"/>
          <w:lang w:val="de-DE"/>
        </w:rPr>
        <w:t>Dynamics CRM Onprem Mobile</w:t>
      </w:r>
    </w:p>
    <w:p w:rsidR="004945FA" w:rsidRPr="00BB5519" w:rsidRDefault="004945FA" w:rsidP="00BA3004">
      <w:pPr>
        <w:rPr>
          <w:lang w:val="de-DE"/>
        </w:rPr>
      </w:pPr>
      <w:r w:rsidRPr="00BB5519">
        <w:rPr>
          <w:rFonts w:eastAsia="Calibri" w:cs="Tahoma"/>
          <w:color w:val="000000"/>
          <w:szCs w:val="18"/>
          <w:lang w:val="de-DE"/>
        </w:rPr>
        <w:t>Exchange Online-Archivierung für Exchange Server A (Nutzer-AL)</w:t>
      </w:r>
    </w:p>
    <w:p w:rsidR="00AD5DCD" w:rsidRPr="00BB5519" w:rsidRDefault="00AD5DCD" w:rsidP="00BA3004">
      <w:pPr>
        <w:rPr>
          <w:lang w:val="de-DE"/>
        </w:rPr>
      </w:pPr>
      <w:r w:rsidRPr="00BB5519">
        <w:rPr>
          <w:rFonts w:cs="Tahoma"/>
          <w:color w:val="000000"/>
          <w:szCs w:val="18"/>
          <w:lang w:val="de-DE"/>
        </w:rPr>
        <w:t>Exchange Online Plan 1A für Alumni</w:t>
      </w:r>
    </w:p>
    <w:p w:rsidR="00AD5DCD" w:rsidRPr="00BB5519" w:rsidRDefault="00AD5DCD" w:rsidP="00BA3004">
      <w:pPr>
        <w:rPr>
          <w:lang w:val="de-DE"/>
        </w:rPr>
      </w:pPr>
      <w:r w:rsidRPr="00BB5519">
        <w:rPr>
          <w:rFonts w:cs="Tahoma"/>
          <w:color w:val="000000"/>
          <w:szCs w:val="18"/>
          <w:lang w:val="de-DE"/>
        </w:rPr>
        <w:t>Exchange Online Plan 2A</w:t>
      </w:r>
    </w:p>
    <w:p w:rsidR="007B4641" w:rsidRPr="00BB5519" w:rsidRDefault="007B4641" w:rsidP="00BA3004">
      <w:pPr>
        <w:rPr>
          <w:lang w:val="de-DE"/>
        </w:rPr>
      </w:pPr>
      <w:r w:rsidRPr="00BB5519">
        <w:rPr>
          <w:rFonts w:cs="Tahoma"/>
          <w:color w:val="000000"/>
          <w:szCs w:val="20"/>
          <w:lang w:val="de-DE"/>
        </w:rPr>
        <w:t>CAL für Forefront Identity Manager 2010 R2 (nur Nutzer)</w:t>
      </w:r>
    </w:p>
    <w:p w:rsidR="004945FA" w:rsidRPr="00BB5519" w:rsidRDefault="004945FA" w:rsidP="00BA3004">
      <w:r w:rsidRPr="00BB5519">
        <w:rPr>
          <w:rFonts w:cs="Tahoma"/>
          <w:color w:val="000000"/>
          <w:szCs w:val="20"/>
        </w:rPr>
        <w:t>Externer Connector für Forefront Identity Manager 2010 R2</w:t>
      </w:r>
    </w:p>
    <w:p w:rsidR="004945FA" w:rsidRPr="00BB5519" w:rsidRDefault="004945FA" w:rsidP="00BA3004">
      <w:r w:rsidRPr="00BB5519">
        <w:rPr>
          <w:rFonts w:cs="Tahoma"/>
          <w:color w:val="000000"/>
          <w:szCs w:val="20"/>
        </w:rPr>
        <w:lastRenderedPageBreak/>
        <w:t>Forefront Identity Manager 2010 R2 Server</w:t>
      </w:r>
    </w:p>
    <w:p w:rsidR="004945FA" w:rsidRPr="00BB5519" w:rsidRDefault="004945FA" w:rsidP="00BA3004">
      <w:r w:rsidRPr="00BB5519">
        <w:rPr>
          <w:rFonts w:cs="Tahoma"/>
          <w:color w:val="000000"/>
          <w:szCs w:val="20"/>
        </w:rPr>
        <w:t>Forefront Identity Manager 2010 R2 – Windows Live Edition</w:t>
      </w:r>
    </w:p>
    <w:p w:rsidR="00834000" w:rsidRPr="00BB5519" w:rsidRDefault="00834000" w:rsidP="00BA3004">
      <w:pPr>
        <w:rPr>
          <w:lang w:val="it-IT"/>
        </w:rPr>
      </w:pPr>
      <w:r w:rsidRPr="00BB5519">
        <w:rPr>
          <w:rFonts w:cs="Tahoma"/>
          <w:color w:val="000000"/>
          <w:szCs w:val="20"/>
          <w:lang w:val="it-IT"/>
        </w:rPr>
        <w:t>Office 365 A2 – A4 (Nutzer-AL)</w:t>
      </w:r>
    </w:p>
    <w:p w:rsidR="00834000" w:rsidRPr="00BB5519" w:rsidRDefault="00834000" w:rsidP="00BA3004">
      <w:pPr>
        <w:rPr>
          <w:lang w:val="fr-FR"/>
        </w:rPr>
      </w:pPr>
      <w:r w:rsidRPr="00BB5519">
        <w:rPr>
          <w:rFonts w:cs="Tahoma"/>
          <w:color w:val="000000"/>
          <w:szCs w:val="20"/>
          <w:lang w:val="fr-FR"/>
        </w:rPr>
        <w:t>Office Professional Plus-</w:t>
      </w:r>
      <w:r w:rsidRPr="00BB5519">
        <w:rPr>
          <w:rFonts w:cs="Tahoma"/>
          <w:color w:val="000000"/>
          <w:szCs w:val="18"/>
          <w:lang w:val="fr-FR"/>
        </w:rPr>
        <w:t>Abonnement A (Nutzer-AL)</w:t>
      </w:r>
    </w:p>
    <w:p w:rsidR="00834000" w:rsidRPr="00BB5519" w:rsidRDefault="00834000" w:rsidP="00BA3004">
      <w:pPr>
        <w:rPr>
          <w:lang w:val="de-DE"/>
        </w:rPr>
      </w:pPr>
      <w:r w:rsidRPr="00BB5519">
        <w:rPr>
          <w:rFonts w:cs="Tahoma"/>
          <w:color w:val="000000"/>
          <w:szCs w:val="18"/>
          <w:lang w:val="de-DE"/>
        </w:rPr>
        <w:t>Office-Webanwendungen A (Nutzer-AL)</w:t>
      </w:r>
    </w:p>
    <w:p w:rsidR="00D82FA6" w:rsidRPr="00BB5519" w:rsidRDefault="00A862BA" w:rsidP="00BA3004">
      <w:r w:rsidRPr="00BB5519">
        <w:rPr>
          <w:rFonts w:cs="Tahoma"/>
          <w:color w:val="000000"/>
          <w:szCs w:val="18"/>
        </w:rPr>
        <w:t>SharePoint™ Online Extra Storage 1 GB A (Add-On-AL)</w:t>
      </w:r>
    </w:p>
    <w:p w:rsidR="000E7A8A" w:rsidRDefault="000E7A8A" w:rsidP="000E7A8A">
      <w:pPr>
        <w:rPr>
          <w:rFonts w:cs="Tahoma"/>
          <w:szCs w:val="18"/>
        </w:rPr>
      </w:pPr>
    </w:p>
    <w:p w:rsidR="00BB6A1F" w:rsidRPr="00D15040" w:rsidRDefault="00BB6A1F" w:rsidP="000E3562">
      <w:pPr>
        <w:keepNext/>
        <w:keepLines/>
        <w:spacing w:after="60"/>
        <w:rPr>
          <w:b/>
          <w:lang w:val="de-DE"/>
        </w:rPr>
      </w:pPr>
      <w:r w:rsidRPr="00D15040">
        <w:rPr>
          <w:b/>
          <w:lang w:val="de-DE"/>
        </w:rPr>
        <w:t>Promotions</w:t>
      </w:r>
    </w:p>
    <w:p w:rsidR="00BB6A1F" w:rsidRPr="00BB5519" w:rsidRDefault="00751573" w:rsidP="000E3562">
      <w:pPr>
        <w:keepNext/>
        <w:keepLines/>
        <w:rPr>
          <w:lang w:val="de-DE"/>
        </w:rPr>
      </w:pPr>
      <w:bookmarkStart w:id="644" w:name="_Toc323034103"/>
      <w:bookmarkStart w:id="645" w:name="_Toc325609139"/>
      <w:bookmarkStart w:id="646" w:name="_Toc328145933"/>
      <w:r w:rsidRPr="00BB5519">
        <w:rPr>
          <w:rFonts w:cs="Tahoma"/>
          <w:color w:val="000000"/>
          <w:szCs w:val="18"/>
          <w:lang w:val="de-DE"/>
        </w:rPr>
        <w:t>Es gibt keine Hinzufügungen, Streichungen oder Abläufe bei Promotions.</w:t>
      </w:r>
      <w:bookmarkEnd w:id="644"/>
      <w:bookmarkEnd w:id="645"/>
      <w:bookmarkEnd w:id="646"/>
    </w:p>
    <w:p w:rsidR="00BB6A1F" w:rsidRPr="00BB5519" w:rsidRDefault="00BB6A1F" w:rsidP="00CB1EDE">
      <w:pPr>
        <w:keepNext/>
        <w:keepLines/>
        <w:spacing w:after="60"/>
        <w:rPr>
          <w:lang w:val="de-DE"/>
        </w:rPr>
      </w:pPr>
      <w:r w:rsidRPr="00BB5519">
        <w:rPr>
          <w:rFonts w:cs="Tahoma"/>
          <w:szCs w:val="18"/>
          <w:lang w:val="de-DE"/>
        </w:rPr>
        <w:br/>
      </w:r>
      <w:r w:rsidRPr="00BB5519">
        <w:rPr>
          <w:b/>
          <w:lang w:val="de-DE"/>
        </w:rPr>
        <w:t>Streichungen</w:t>
      </w:r>
    </w:p>
    <w:p w:rsidR="00BB6A1F" w:rsidRPr="00BB5519" w:rsidRDefault="007B4641" w:rsidP="00BA3004">
      <w:pPr>
        <w:rPr>
          <w:lang w:val="de-DE"/>
        </w:rPr>
      </w:pPr>
      <w:r w:rsidRPr="00BB5519">
        <w:rPr>
          <w:rFonts w:cs="Tahoma"/>
          <w:color w:val="000000"/>
          <w:szCs w:val="20"/>
          <w:lang w:val="de-DE"/>
        </w:rPr>
        <w:t>CAL für Forefront Identity Manager 2010 (nur Nutzer)</w:t>
      </w:r>
    </w:p>
    <w:p w:rsidR="004945FA" w:rsidRPr="00BB5519" w:rsidRDefault="004945FA" w:rsidP="00BA3004">
      <w:r w:rsidRPr="00BB5519">
        <w:rPr>
          <w:rFonts w:cs="Tahoma"/>
          <w:color w:val="000000"/>
          <w:szCs w:val="20"/>
        </w:rPr>
        <w:t>Externer Connector für Forefront Identity Manager 2010</w:t>
      </w:r>
    </w:p>
    <w:p w:rsidR="004945FA" w:rsidRPr="00BB5519" w:rsidRDefault="004945FA" w:rsidP="00BA3004">
      <w:r w:rsidRPr="00BB5519">
        <w:rPr>
          <w:rFonts w:cs="Tahoma"/>
          <w:color w:val="000000"/>
          <w:szCs w:val="20"/>
        </w:rPr>
        <w:t>Forefront Identity Manager 2010 Server</w:t>
      </w:r>
    </w:p>
    <w:p w:rsidR="00E9432A" w:rsidRPr="00BB5519" w:rsidRDefault="004945FA" w:rsidP="00D57D2B">
      <w:r w:rsidRPr="00BB5519">
        <w:rPr>
          <w:rFonts w:cs="Tahoma"/>
          <w:color w:val="000000"/>
          <w:szCs w:val="20"/>
        </w:rPr>
        <w:t>Forefront Identity Manager 2010 – Windows Live Edition</w:t>
      </w:r>
    </w:p>
    <w:p w:rsidR="00023FE7" w:rsidRPr="00BB5519" w:rsidRDefault="00EF4590" w:rsidP="00B939A4">
      <w:pPr>
        <w:rPr>
          <w:lang w:val="de-DE"/>
        </w:rPr>
      </w:pPr>
      <w:r w:rsidRPr="000B4D37">
        <w:rPr>
          <w:rStyle w:val="Heading1Char"/>
          <w:lang w:val="de-DE"/>
        </w:rPr>
        <w:br w:type="page"/>
      </w:r>
      <w:bookmarkStart w:id="647" w:name="_Toc336338180"/>
      <w:bookmarkStart w:id="648" w:name="_Toc354054873"/>
      <w:r w:rsidRPr="00D15040">
        <w:rPr>
          <w:rStyle w:val="Heading1Char"/>
          <w:lang w:val="de-DE"/>
        </w:rPr>
        <w:lastRenderedPageBreak/>
        <w:t>ABSCHNITT 2 – ProduKtPromotions</w:t>
      </w:r>
      <w:bookmarkEnd w:id="647"/>
      <w:bookmarkEnd w:id="648"/>
    </w:p>
    <w:p w:rsidR="000E7A8A" w:rsidRPr="00D15040" w:rsidRDefault="000E7A8A" w:rsidP="000E7A8A">
      <w:pPr>
        <w:ind w:right="720"/>
        <w:rPr>
          <w:rFonts w:cs="Tahoma"/>
          <w:color w:val="000000"/>
          <w:sz w:val="24"/>
          <w:lang w:val="de-DE"/>
        </w:rPr>
      </w:pPr>
      <w:bookmarkStart w:id="649" w:name="_Toc336338181"/>
    </w:p>
    <w:p w:rsidR="00187499" w:rsidRPr="00EC2A0D" w:rsidRDefault="00187499" w:rsidP="00187499">
      <w:pPr>
        <w:pStyle w:val="Heading2"/>
        <w:ind w:left="0"/>
        <w:rPr>
          <w:rFonts w:ascii="Tahoma" w:hAnsi="Tahoma" w:cs="Tahoma"/>
          <w:color w:val="FF9429"/>
          <w:lang w:val="de-DE"/>
        </w:rPr>
      </w:pPr>
      <w:bookmarkStart w:id="650" w:name="_Toc354054874"/>
      <w:r w:rsidRPr="00EC2A0D">
        <w:rPr>
          <w:rFonts w:ascii="Tahoma" w:hAnsi="Tahoma" w:cs="Tahoma"/>
          <w:color w:val="FF9429"/>
          <w:lang w:val="de-DE"/>
        </w:rPr>
        <w:t>Microsoft Dynamics AX 2012 R2 – Eine Enterprise-CAL kaufen, eine Funktions-CAL dazu</w:t>
      </w:r>
      <w:bookmarkEnd w:id="650"/>
    </w:p>
    <w:bookmarkEnd w:id="649"/>
    <w:p w:rsidR="000E7A8A" w:rsidRPr="00EC2A0D" w:rsidRDefault="000E7A8A" w:rsidP="000E7A8A">
      <w:pPr>
        <w:rPr>
          <w:lang w:val="de-DE"/>
        </w:rPr>
      </w:pPr>
    </w:p>
    <w:p w:rsidR="00187499" w:rsidRPr="00BB5519" w:rsidRDefault="007177A5" w:rsidP="00E85D10">
      <w:pPr>
        <w:spacing w:after="200" w:line="276" w:lineRule="auto"/>
        <w:ind w:right="-90"/>
        <w:rPr>
          <w:lang w:val="de-DE"/>
        </w:rPr>
      </w:pPr>
      <w:r w:rsidRPr="00BB5519">
        <w:rPr>
          <w:lang w:val="de-DE"/>
        </w:rPr>
        <w:t>Als zeitlich beschränktes Angebot vom 1. März 2013 bis zum 28. Juni 2013 bietet Microsoft eine (1) Funktions-CAL pro</w:t>
      </w:r>
      <w:r w:rsidR="00E85D10">
        <w:rPr>
          <w:lang w:val="de-DE"/>
        </w:rPr>
        <w:t> </w:t>
      </w:r>
      <w:r w:rsidRPr="00BB5519">
        <w:rPr>
          <w:lang w:val="de-DE"/>
        </w:rPr>
        <w:t xml:space="preserve">im Promotionszeitraum erworbener Enterprise-CAL. Diese Promotion wird unter den folgenden Lizenzprogrammen auf der Preisliste angeboten: Konzernvertrag, Microsoft Konzern-Abonnement-Vertrag, US-Verwaltungs- und -Campus-Vertrag sowie School-Vertrag für Enterprise-Bildungslösungen. Es sind mindestens 30 Enterprise CALs von der angegebenen Promotions-SKU zu erwerben. Alle im Rahmen dieses Angebots gewährten Lizenzen umfassen das Abonnement oder Software Assurance. Diese gilt bis zum Ablauf von Software Assurance für die qualifizierenden Lizenzen. Danach können die Kunden Software Assurance oder das Abonnement für die ILM-Lizenz verlängern. </w:t>
      </w:r>
      <w:bookmarkStart w:id="651" w:name="_Toc336338182"/>
    </w:p>
    <w:p w:rsidR="00187499" w:rsidRPr="00EC2A0D" w:rsidRDefault="00187499" w:rsidP="00187499">
      <w:pPr>
        <w:pStyle w:val="Heading2"/>
        <w:ind w:left="0"/>
        <w:rPr>
          <w:rFonts w:ascii="Tahoma" w:hAnsi="Tahoma" w:cs="Tahoma"/>
          <w:color w:val="FF9429"/>
          <w:lang w:val="de-DE"/>
        </w:rPr>
      </w:pPr>
      <w:bookmarkStart w:id="652" w:name="_Toc354054875"/>
      <w:r w:rsidRPr="00EC2A0D">
        <w:rPr>
          <w:rFonts w:ascii="Tahoma" w:hAnsi="Tahoma" w:cs="Tahoma"/>
          <w:color w:val="FF9429"/>
          <w:lang w:val="de-DE"/>
        </w:rPr>
        <w:t>Microsoft Dynamics AX 2012 R2 – EA Starter-Promotion</w:t>
      </w:r>
      <w:bookmarkEnd w:id="652"/>
    </w:p>
    <w:bookmarkEnd w:id="651"/>
    <w:p w:rsidR="000E7A8A" w:rsidRPr="00EC2A0D" w:rsidRDefault="000E7A8A" w:rsidP="000E7A8A">
      <w:pPr>
        <w:rPr>
          <w:lang w:val="de-DE"/>
        </w:rPr>
      </w:pPr>
    </w:p>
    <w:p w:rsidR="001D214E" w:rsidRPr="00BB5519" w:rsidRDefault="001D214E" w:rsidP="001D214E">
      <w:pPr>
        <w:spacing w:after="200" w:line="276" w:lineRule="auto"/>
        <w:rPr>
          <w:lang w:val="de-DE"/>
        </w:rPr>
      </w:pPr>
      <w:r w:rsidRPr="00BB5519">
        <w:rPr>
          <w:lang w:val="de-DE"/>
        </w:rPr>
        <w:t xml:space="preserve">Als zeitlich beschränktes Angebot vom </w:t>
      </w:r>
      <w:r w:rsidRPr="00BB5519">
        <w:rPr>
          <w:rFonts w:eastAsia="Calibri" w:cs="Tahoma"/>
          <w:szCs w:val="18"/>
          <w:lang w:val="de-DE"/>
        </w:rPr>
        <w:t>1. März 2013 bis zum 28. Juni 2013 bietet Microsoft beim Kauf der ersten Lizenz für Microsoft Dynamics AX</w:t>
      </w:r>
      <w:r w:rsidRPr="00BB5519">
        <w:rPr>
          <w:lang w:val="de-DE"/>
        </w:rPr>
        <w:t xml:space="preserve"> 2012 </w:t>
      </w:r>
      <w:r w:rsidRPr="00BB5519">
        <w:rPr>
          <w:rFonts w:eastAsia="Calibri" w:cs="Tahoma"/>
          <w:szCs w:val="18"/>
          <w:lang w:val="de-DE"/>
        </w:rPr>
        <w:t>R2 Server 3 (drei) Enterprise CALs und 50 (fünfzig) Self-Serve-CALs.</w:t>
      </w:r>
      <w:r w:rsidR="009E4976" w:rsidRPr="00BB5519">
        <w:rPr>
          <w:lang w:val="de-DE"/>
        </w:rPr>
        <w:t xml:space="preserve"> </w:t>
      </w:r>
      <w:r w:rsidRPr="00BB5519">
        <w:rPr>
          <w:lang w:val="de-DE"/>
        </w:rPr>
        <w:t xml:space="preserve">Diese Promotion wird </w:t>
      </w:r>
      <w:r w:rsidRPr="00BB5519">
        <w:rPr>
          <w:rFonts w:eastAsia="Calibri" w:cs="Tahoma"/>
          <w:szCs w:val="18"/>
          <w:lang w:val="de-DE"/>
        </w:rPr>
        <w:t xml:space="preserve">ausschließlich </w:t>
      </w:r>
      <w:r w:rsidRPr="00BB5519">
        <w:rPr>
          <w:lang w:val="de-DE"/>
        </w:rPr>
        <w:t>unter dem Konzernvertrag-</w:t>
      </w:r>
      <w:r w:rsidRPr="00BB5519">
        <w:rPr>
          <w:rFonts w:eastAsia="Calibri" w:cs="Tahoma"/>
          <w:szCs w:val="18"/>
          <w:lang w:val="de-DE"/>
        </w:rPr>
        <w:t xml:space="preserve">Lizenzprogramm angeboten. </w:t>
      </w:r>
    </w:p>
    <w:p w:rsidR="00187499" w:rsidRPr="00BB5519" w:rsidRDefault="00187499" w:rsidP="00AE12F6">
      <w:pPr>
        <w:spacing w:after="200" w:line="276" w:lineRule="auto"/>
        <w:rPr>
          <w:lang w:val="de-DE"/>
        </w:rPr>
      </w:pPr>
      <w:r w:rsidRPr="00BB5519">
        <w:rPr>
          <w:rFonts w:eastAsia="Calibri" w:cs="Tahoma"/>
          <w:szCs w:val="18"/>
          <w:lang w:val="de-DE"/>
        </w:rPr>
        <w:t>Alle im Rahmen dieses Angebots gewährten Lizenzen umfassen Software Assurance. Diese gilt bis zum Ablauf von</w:t>
      </w:r>
      <w:r w:rsidR="000E7A8A">
        <w:rPr>
          <w:rFonts w:eastAsia="Calibri" w:cs="Tahoma"/>
          <w:szCs w:val="18"/>
          <w:lang w:val="de-DE"/>
        </w:rPr>
        <w:t> </w:t>
      </w:r>
      <w:r w:rsidRPr="00BB5519">
        <w:rPr>
          <w:rFonts w:eastAsia="Calibri" w:cs="Tahoma"/>
          <w:szCs w:val="18"/>
          <w:lang w:val="de-DE"/>
        </w:rPr>
        <w:t xml:space="preserve">Software Assurance für die qualifizierenden Lizenzen. Danach können die Kunden Software Assurance für die gewährten Lizenzen verlängern. </w:t>
      </w:r>
      <w:bookmarkStart w:id="653" w:name="_Toc336338183"/>
      <w:r w:rsidRPr="00BB5519">
        <w:rPr>
          <w:rFonts w:eastAsia="Calibri" w:cs="Tahoma"/>
          <w:szCs w:val="18"/>
          <w:lang w:val="de-DE"/>
        </w:rPr>
        <w:t>Das Recht zur Nutzung der gewährten Software gilt bis zum Ablauf des Rechts zur Nutzung der Software unter der qualifizierenden Lizenz für Microsoft Dynamics AX 2012 R2 Server. Der Nachweis der</w:t>
      </w:r>
      <w:r w:rsidR="000E7A8A">
        <w:rPr>
          <w:rFonts w:eastAsia="Calibri" w:cs="Tahoma"/>
          <w:szCs w:val="18"/>
          <w:lang w:val="de-DE"/>
        </w:rPr>
        <w:t> </w:t>
      </w:r>
      <w:r w:rsidRPr="00BB5519">
        <w:rPr>
          <w:rFonts w:eastAsia="Calibri" w:cs="Tahoma"/>
          <w:szCs w:val="18"/>
          <w:lang w:val="de-DE"/>
        </w:rPr>
        <w:t>qualifizierenden Serverlizenz und dieser Produkthinweis belegen das Recht des Kunden, Lizenzen für Microsoft</w:t>
      </w:r>
      <w:r w:rsidR="00AE12F6">
        <w:rPr>
          <w:rFonts w:eastAsia="Calibri" w:cs="Tahoma"/>
          <w:szCs w:val="18"/>
          <w:lang w:val="de-DE"/>
        </w:rPr>
        <w:t> </w:t>
      </w:r>
      <w:r w:rsidRPr="00BB5519">
        <w:rPr>
          <w:rFonts w:eastAsia="Calibri" w:cs="Tahoma"/>
          <w:szCs w:val="18"/>
          <w:lang w:val="de-DE"/>
        </w:rPr>
        <w:t>Dynamics AX 2012 R2 unter den Bestimmungen dieses Angebots zu verwenden. Im Rahmen dieses Angebots gewährte Lizenzen dürfen nicht getrennt von den zugehörigen qualifizierenden Lizenzen übertragen</w:t>
      </w:r>
      <w:r w:rsidR="00AE12F6">
        <w:rPr>
          <w:rFonts w:eastAsia="Calibri" w:cs="Tahoma"/>
          <w:szCs w:val="18"/>
          <w:lang w:val="de-DE"/>
        </w:rPr>
        <w:t> </w:t>
      </w:r>
      <w:r w:rsidRPr="00BB5519">
        <w:rPr>
          <w:rFonts w:eastAsia="Calibri" w:cs="Tahoma"/>
          <w:szCs w:val="18"/>
          <w:lang w:val="de-DE"/>
        </w:rPr>
        <w:t>werden.</w:t>
      </w:r>
    </w:p>
    <w:p w:rsidR="005D1BAF" w:rsidRPr="00AE12F6" w:rsidRDefault="005D1BAF" w:rsidP="005D1BAF">
      <w:pPr>
        <w:pStyle w:val="Heading2"/>
        <w:ind w:left="0"/>
        <w:rPr>
          <w:rFonts w:ascii="Tahoma" w:eastAsia="Times New Roman" w:hAnsi="Tahoma" w:cs="Tahoma"/>
          <w:color w:val="FF9429"/>
        </w:rPr>
      </w:pPr>
      <w:bookmarkStart w:id="654" w:name="_Toc354054876"/>
      <w:r w:rsidRPr="00AE12F6">
        <w:rPr>
          <w:rFonts w:ascii="Tahoma" w:eastAsia="Times New Roman" w:hAnsi="Tahoma" w:cs="Tahoma"/>
          <w:color w:val="FF9429"/>
        </w:rPr>
        <w:t>Windows Server Datacenter Step Up-Promotion</w:t>
      </w:r>
      <w:bookmarkEnd w:id="653"/>
      <w:bookmarkEnd w:id="654"/>
    </w:p>
    <w:p w:rsidR="00AE12F6" w:rsidRDefault="00AE12F6" w:rsidP="00AE12F6">
      <w:pPr>
        <w:spacing w:line="276" w:lineRule="auto"/>
        <w:rPr>
          <w:color w:val="000000"/>
        </w:rPr>
      </w:pPr>
    </w:p>
    <w:p w:rsidR="005D1BAF" w:rsidRPr="00BB5519" w:rsidRDefault="005D1BAF" w:rsidP="005D1BAF">
      <w:pPr>
        <w:spacing w:after="200" w:line="276" w:lineRule="auto"/>
        <w:rPr>
          <w:lang w:val="de-DE"/>
        </w:rPr>
      </w:pPr>
      <w:r w:rsidRPr="00BB5519">
        <w:rPr>
          <w:color w:val="000000"/>
          <w:lang w:val="de-DE"/>
        </w:rPr>
        <w:t>Als zeitlich beschränktes Angebot vom 1. September 2012 bis zum 31. März 2013 bietet Microsoft einen Preisnachlass von bis zu 20 % auf den Preis von Lizenz und Software Assurance für Windows Server DC Edition.</w:t>
      </w:r>
      <w:r w:rsidR="009E4976" w:rsidRPr="00BB5519">
        <w:rPr>
          <w:color w:val="000000"/>
          <w:lang w:val="de-DE"/>
        </w:rPr>
        <w:t xml:space="preserve"> </w:t>
      </w:r>
      <w:r w:rsidRPr="00BB5519">
        <w:rPr>
          <w:color w:val="000000"/>
          <w:lang w:val="de-DE"/>
        </w:rPr>
        <w:t>Diese Promotion ist unter dem Microsoft Konzernvertrag, dem Beitritt zur Anwendungsplattform, Beitritt für Core Infrastructure, Microsoft Select Plus und Microsoft Open Value (alles vertikale Programme) verfügbar.</w:t>
      </w:r>
    </w:p>
    <w:p w:rsidR="005D1BAF" w:rsidRPr="00EC2A0D" w:rsidRDefault="005D1BAF" w:rsidP="005D1BAF">
      <w:pPr>
        <w:pStyle w:val="Heading2"/>
        <w:ind w:left="0"/>
        <w:rPr>
          <w:rFonts w:ascii="Tahoma" w:eastAsia="Times New Roman" w:hAnsi="Tahoma" w:cs="Tahoma"/>
          <w:color w:val="FF9429"/>
          <w:lang w:val="de-DE"/>
        </w:rPr>
      </w:pPr>
      <w:bookmarkStart w:id="655" w:name="_Toc336338184"/>
      <w:bookmarkStart w:id="656" w:name="_Toc354054877"/>
      <w:r w:rsidRPr="00EC2A0D">
        <w:rPr>
          <w:rFonts w:ascii="Tahoma" w:eastAsia="Times New Roman" w:hAnsi="Tahoma" w:cs="Tahoma"/>
          <w:color w:val="FF9429"/>
          <w:lang w:val="de-DE"/>
        </w:rPr>
        <w:t>Forefront Online Protection für Exchange</w:t>
      </w:r>
      <w:bookmarkEnd w:id="655"/>
      <w:bookmarkEnd w:id="656"/>
      <w:r w:rsidRPr="00EC2A0D">
        <w:rPr>
          <w:rFonts w:ascii="Tahoma" w:eastAsia="Times New Roman" w:hAnsi="Tahoma" w:cs="Tahoma"/>
          <w:color w:val="FF9429"/>
          <w:lang w:val="de-DE"/>
        </w:rPr>
        <w:t xml:space="preserve"> </w:t>
      </w:r>
    </w:p>
    <w:p w:rsidR="00AE12F6" w:rsidRPr="00D15040" w:rsidRDefault="00AE12F6" w:rsidP="00AE12F6">
      <w:pPr>
        <w:rPr>
          <w:color w:val="000000"/>
          <w:lang w:val="de-DE"/>
        </w:rPr>
      </w:pPr>
    </w:p>
    <w:p w:rsidR="00BC10BD" w:rsidRPr="00BB5519" w:rsidRDefault="005D1BAF" w:rsidP="00AE12F6">
      <w:pPr>
        <w:spacing w:after="200" w:line="276" w:lineRule="auto"/>
        <w:rPr>
          <w:lang w:val="de-DE"/>
        </w:rPr>
      </w:pPr>
      <w:r w:rsidRPr="00BB5519">
        <w:rPr>
          <w:color w:val="000000"/>
          <w:lang w:val="de-DE"/>
        </w:rPr>
        <w:t>Als zeitlich beschränktes Angebot vom 1. September 2011 bis zum 31. Dezember 2012 bietet Microsoft einen Preisnachlass von bis zu 40 % auf den Preis des Monatsabonnements von Forefront Online Protection für Exchange.</w:t>
      </w:r>
      <w:r w:rsidR="00AE12F6">
        <w:rPr>
          <w:color w:val="000000"/>
          <w:lang w:val="de-DE"/>
        </w:rPr>
        <w:t> </w:t>
      </w:r>
      <w:r w:rsidRPr="00BB5519">
        <w:rPr>
          <w:color w:val="000000"/>
          <w:lang w:val="de-DE"/>
        </w:rPr>
        <w:t>Diese Promotion wird unter den Volumenlizenzprogrammen Microsoft Select Plus, Open Value, Open</w:t>
      </w:r>
      <w:r w:rsidR="00AE12F6">
        <w:rPr>
          <w:color w:val="000000"/>
          <w:lang w:val="de-DE"/>
        </w:rPr>
        <w:t> </w:t>
      </w:r>
      <w:r w:rsidRPr="00BB5519">
        <w:rPr>
          <w:color w:val="000000"/>
          <w:lang w:val="de-DE"/>
        </w:rPr>
        <w:t>Value</w:t>
      </w:r>
      <w:r w:rsidR="00AE12F6">
        <w:rPr>
          <w:color w:val="000000"/>
          <w:lang w:val="de-DE"/>
        </w:rPr>
        <w:t> </w:t>
      </w:r>
      <w:r w:rsidRPr="00BB5519">
        <w:rPr>
          <w:color w:val="000000"/>
          <w:lang w:val="de-DE"/>
        </w:rPr>
        <w:t xml:space="preserve">Subscription und Partner für die Verwaltung Weltweit angeboten. </w:t>
      </w:r>
    </w:p>
    <w:p w:rsidR="00D24E3C" w:rsidRPr="00D15040" w:rsidRDefault="00D24E3C" w:rsidP="00D24E3C">
      <w:pPr>
        <w:pStyle w:val="Heading2"/>
        <w:ind w:left="0"/>
        <w:rPr>
          <w:rFonts w:ascii="Tahoma" w:eastAsia="Times New Roman" w:hAnsi="Tahoma" w:cs="Tahoma"/>
          <w:color w:val="FF9429"/>
          <w:lang w:val="de-DE"/>
        </w:rPr>
      </w:pPr>
      <w:bookmarkStart w:id="657" w:name="_SECTION_3_–"/>
      <w:bookmarkStart w:id="658" w:name="_Toc336338185"/>
      <w:bookmarkStart w:id="659" w:name="_Toc354054878"/>
      <w:bookmarkEnd w:id="657"/>
      <w:r w:rsidRPr="00D15040">
        <w:rPr>
          <w:rFonts w:ascii="Tahoma" w:eastAsia="Times New Roman" w:hAnsi="Tahoma" w:cs="Tahoma"/>
          <w:color w:val="FF9429"/>
          <w:lang w:val="de-DE"/>
        </w:rPr>
        <w:t>30 % Nachlass bei Upgrade auf Visual Studio Premium mit MSDN</w:t>
      </w:r>
      <w:bookmarkEnd w:id="658"/>
      <w:bookmarkEnd w:id="659"/>
      <w:r w:rsidRPr="00D15040">
        <w:rPr>
          <w:rFonts w:ascii="Tahoma" w:eastAsia="Times New Roman" w:hAnsi="Tahoma" w:cs="Tahoma"/>
          <w:color w:val="FF9429"/>
          <w:lang w:val="de-DE"/>
        </w:rPr>
        <w:t xml:space="preserve"> </w:t>
      </w:r>
    </w:p>
    <w:p w:rsidR="00AE12F6" w:rsidRPr="00D15040" w:rsidRDefault="00AE12F6" w:rsidP="00AE12F6">
      <w:pPr>
        <w:rPr>
          <w:color w:val="000000"/>
          <w:lang w:val="de-DE"/>
        </w:rPr>
      </w:pPr>
    </w:p>
    <w:p w:rsidR="000C2842" w:rsidRPr="00BB5519" w:rsidRDefault="00D24E3C" w:rsidP="00AE12F6">
      <w:pPr>
        <w:spacing w:after="200" w:line="276" w:lineRule="auto"/>
        <w:rPr>
          <w:lang w:val="de-DE"/>
        </w:rPr>
      </w:pPr>
      <w:r w:rsidRPr="00BB5519">
        <w:rPr>
          <w:color w:val="000000"/>
          <w:lang w:val="de-DE"/>
        </w:rPr>
        <w:t>Als zeitlich beschränktes Angebot vom 1. Oktober 2012 bis zum 31. März 2013 bietet Microsoft einen Preisnachlass von 30 % auf Visual Studio Premium mit MSDN für Kunden mit aktiver SA für Visual Studio Prefessional mit MSDN. Diese Promotion wird unter den Programmen Microsoft Enterprise, USG, EAP, Select Plus, Open und Open Value</w:t>
      </w:r>
      <w:r w:rsidR="00AE12F6">
        <w:rPr>
          <w:color w:val="000000"/>
          <w:lang w:val="de-DE"/>
        </w:rPr>
        <w:t> </w:t>
      </w:r>
      <w:r w:rsidRPr="00BB5519">
        <w:rPr>
          <w:color w:val="000000"/>
          <w:lang w:val="de-DE"/>
        </w:rPr>
        <w:t xml:space="preserve">angeboten. </w:t>
      </w:r>
    </w:p>
    <w:p w:rsidR="0064651F" w:rsidRPr="00BB5519" w:rsidRDefault="0064651F">
      <w:pPr>
        <w:rPr>
          <w:lang w:val="de-DE"/>
        </w:rPr>
      </w:pPr>
      <w:bookmarkStart w:id="660" w:name="_Toc336338186"/>
      <w:r w:rsidRPr="00BB5519">
        <w:rPr>
          <w:rFonts w:eastAsia="Times New Roman" w:cs="Tahoma"/>
          <w:color w:val="FF9429"/>
          <w:lang w:val="de-DE"/>
        </w:rPr>
        <w:br w:type="page"/>
      </w:r>
    </w:p>
    <w:p w:rsidR="00D24E3C" w:rsidRPr="00D15040" w:rsidRDefault="00D24E3C" w:rsidP="00D24E3C">
      <w:pPr>
        <w:pStyle w:val="Heading2"/>
        <w:ind w:left="0"/>
        <w:rPr>
          <w:rFonts w:ascii="Tahoma" w:eastAsia="Times New Roman" w:hAnsi="Tahoma" w:cs="Tahoma"/>
          <w:color w:val="FF9429"/>
          <w:lang w:val="de-DE"/>
        </w:rPr>
      </w:pPr>
      <w:bookmarkStart w:id="661" w:name="_Toc354054879"/>
      <w:r w:rsidRPr="00D15040">
        <w:rPr>
          <w:rFonts w:ascii="Tahoma" w:eastAsia="Times New Roman" w:hAnsi="Tahoma" w:cs="Tahoma"/>
          <w:color w:val="FF9429"/>
          <w:lang w:val="de-DE"/>
        </w:rPr>
        <w:lastRenderedPageBreak/>
        <w:t>Step Up zu Windows 8 mit SA</w:t>
      </w:r>
      <w:bookmarkEnd w:id="660"/>
      <w:bookmarkEnd w:id="661"/>
    </w:p>
    <w:p w:rsidR="0037504D" w:rsidRPr="00D15040" w:rsidRDefault="0037504D" w:rsidP="0037504D">
      <w:pPr>
        <w:rPr>
          <w:color w:val="000000"/>
          <w:lang w:val="de-DE"/>
        </w:rPr>
      </w:pPr>
    </w:p>
    <w:p w:rsidR="00D24E3C" w:rsidRPr="00BB5519" w:rsidRDefault="00D24E3C" w:rsidP="00F27BD2">
      <w:pPr>
        <w:spacing w:after="200" w:line="276" w:lineRule="auto"/>
        <w:rPr>
          <w:lang w:val="de-DE"/>
        </w:rPr>
      </w:pPr>
      <w:r w:rsidRPr="00BB5519">
        <w:rPr>
          <w:color w:val="000000"/>
          <w:lang w:val="de-DE"/>
        </w:rPr>
        <w:t>Vom 1. November 2012 bis zum 31. Januar 2013 bietet Microsoft einen Preisnachlass von 40 % auf Upgrade-Lizenzen für Open mit Software Assurance (Open-Lizenz oder Open Value-Programme) und einen Preisnachlass von</w:t>
      </w:r>
      <w:r w:rsidR="00F27BD2">
        <w:rPr>
          <w:color w:val="000000"/>
          <w:lang w:val="de-DE"/>
        </w:rPr>
        <w:t> </w:t>
      </w:r>
      <w:r w:rsidRPr="00BB5519">
        <w:rPr>
          <w:color w:val="000000"/>
          <w:lang w:val="de-DE"/>
        </w:rPr>
        <w:t>15 % auf Upgrade-Lizenzen für Open. Die Promotionen gelten für den Erwerb von bis zu 150 Lizenzen.</w:t>
      </w:r>
    </w:p>
    <w:p w:rsidR="00491DAC" w:rsidRPr="0037504D" w:rsidRDefault="00491DAC" w:rsidP="007B1734">
      <w:pPr>
        <w:pStyle w:val="Heading2"/>
        <w:ind w:left="0"/>
        <w:rPr>
          <w:rFonts w:ascii="Tahoma" w:eastAsia="Times New Roman" w:hAnsi="Tahoma" w:cs="Tahoma"/>
          <w:color w:val="FF9429"/>
        </w:rPr>
      </w:pPr>
      <w:bookmarkStart w:id="662" w:name="_Toc354054880"/>
      <w:r w:rsidRPr="00BB5519">
        <w:rPr>
          <w:rFonts w:ascii="Tahoma" w:eastAsia="Times New Roman" w:hAnsi="Tahoma" w:cs="Tahoma"/>
          <w:color w:val="FF9429"/>
        </w:rPr>
        <w:t>15 % Preisnachlass auf Project/Visio-Step Ups</w:t>
      </w:r>
      <w:bookmarkEnd w:id="662"/>
      <w:r w:rsidRPr="00BB5519">
        <w:rPr>
          <w:rFonts w:ascii="Tahoma" w:eastAsia="Times New Roman" w:hAnsi="Tahoma" w:cs="Tahoma"/>
          <w:color w:val="FF9429"/>
        </w:rPr>
        <w:t xml:space="preserve"> </w:t>
      </w:r>
    </w:p>
    <w:p w:rsidR="0037504D" w:rsidRPr="007B1734" w:rsidRDefault="0037504D" w:rsidP="0037504D">
      <w:pPr>
        <w:tabs>
          <w:tab w:val="left" w:pos="2385"/>
        </w:tabs>
      </w:pPr>
    </w:p>
    <w:p w:rsidR="00491DAC" w:rsidRPr="00BB5519" w:rsidRDefault="00491DAC" w:rsidP="00491DAC">
      <w:pPr>
        <w:spacing w:after="200" w:line="276" w:lineRule="auto"/>
        <w:rPr>
          <w:lang w:val="de-DE"/>
        </w:rPr>
      </w:pPr>
      <w:r w:rsidRPr="00BB5519">
        <w:rPr>
          <w:color w:val="000000"/>
          <w:lang w:val="de-DE"/>
        </w:rPr>
        <w:t>Als zeitlich beschränktes Angebot vom 1. Dezember 2012 bis zum 30. Juni 2013 bietet Microsoft einen Preisnachlass von 15 % auf ein Step Up zu Project Professional für Project Standard unter Software Assurance sowie einen Preisnachlass von 15 % auf ein Step Up zu Visio Professional für Visio Standard unter Software Assurance an. Diese Promotion wird unter den Programmen Microsoft Enterprise, Konzern-Abonnement, Select Plus, EAP, ECI und Open Value angeboten.</w:t>
      </w:r>
    </w:p>
    <w:p w:rsidR="00B7048F" w:rsidRPr="00D15040" w:rsidRDefault="00B7048F" w:rsidP="00E85D10">
      <w:pPr>
        <w:pStyle w:val="Heading2"/>
        <w:ind w:left="0"/>
        <w:rPr>
          <w:rFonts w:ascii="Tahoma" w:eastAsia="Times New Roman" w:hAnsi="Tahoma" w:cs="Tahoma"/>
          <w:color w:val="FF9429"/>
          <w:lang w:val="de-DE"/>
        </w:rPr>
      </w:pPr>
      <w:bookmarkStart w:id="663" w:name="_Toc354054881"/>
      <w:r w:rsidRPr="00D15040">
        <w:rPr>
          <w:rFonts w:ascii="Tahoma" w:eastAsia="Times New Roman" w:hAnsi="Tahoma" w:cs="Tahoma"/>
          <w:color w:val="FF9429"/>
          <w:lang w:val="de-DE"/>
        </w:rPr>
        <w:t>55 % Preisnachlass auf CAL für Project Server bei Unternehmensweitem</w:t>
      </w:r>
      <w:r w:rsidR="00E85D10">
        <w:rPr>
          <w:rFonts w:ascii="Tahoma" w:eastAsia="Times New Roman" w:hAnsi="Tahoma" w:cs="Tahoma"/>
          <w:color w:val="FF9429"/>
          <w:lang w:val="de-DE"/>
        </w:rPr>
        <w:t> </w:t>
      </w:r>
      <w:r w:rsidRPr="00D15040">
        <w:rPr>
          <w:rFonts w:ascii="Tahoma" w:eastAsia="Times New Roman" w:hAnsi="Tahoma" w:cs="Tahoma"/>
          <w:color w:val="FF9429"/>
          <w:lang w:val="de-DE"/>
        </w:rPr>
        <w:t>Kauf</w:t>
      </w:r>
      <w:bookmarkEnd w:id="663"/>
    </w:p>
    <w:p w:rsidR="0037504D" w:rsidRPr="00D15040" w:rsidRDefault="0037504D" w:rsidP="0037504D">
      <w:pPr>
        <w:rPr>
          <w:lang w:val="de-DE"/>
        </w:rPr>
      </w:pPr>
    </w:p>
    <w:p w:rsidR="00676723" w:rsidRPr="00BB5519" w:rsidRDefault="00B7048F" w:rsidP="00D24E3C">
      <w:pPr>
        <w:spacing w:after="200" w:line="276" w:lineRule="auto"/>
        <w:rPr>
          <w:lang w:val="de-DE"/>
        </w:rPr>
      </w:pPr>
      <w:r w:rsidRPr="00BB5519">
        <w:rPr>
          <w:color w:val="000000"/>
          <w:lang w:val="de-DE"/>
        </w:rPr>
        <w:t xml:space="preserve">Als zeitlich beschränktes Angebot vom 1. Dezember 2012 bis zum 30. Juni 2013 bietet Microsoft einen Preisnachlass von 55 % auf CAL für Project Server an, sofern diese unternehmensweit erworben wird. Diese Promotion wird unter den Programmen Microsoft Enterprise, Konzern-Abonnement und EAP angeboten. </w:t>
      </w:r>
    </w:p>
    <w:p w:rsidR="00676723" w:rsidRPr="00BB5519" w:rsidRDefault="00676723">
      <w:pPr>
        <w:rPr>
          <w:lang w:val="de-DE"/>
        </w:rPr>
      </w:pPr>
      <w:r w:rsidRPr="00BB5519">
        <w:rPr>
          <w:color w:val="000000"/>
          <w:lang w:val="de-DE"/>
        </w:rPr>
        <w:br w:type="page"/>
      </w:r>
    </w:p>
    <w:p w:rsidR="00023FE7" w:rsidRPr="00EC2A0D" w:rsidRDefault="00714962" w:rsidP="00B0065F">
      <w:pPr>
        <w:pStyle w:val="Heading1"/>
        <w:rPr>
          <w:lang w:val="de-DE"/>
        </w:rPr>
      </w:pPr>
      <w:bookmarkStart w:id="664" w:name="_Toc336338188"/>
      <w:bookmarkStart w:id="665" w:name="_Toc354054882"/>
      <w:r w:rsidRPr="00EC2A0D">
        <w:rPr>
          <w:lang w:val="de-DE"/>
        </w:rPr>
        <w:lastRenderedPageBreak/>
        <w:t>Abschnitt 3 – Bestimmungen des Volumenlizenzprogramms</w:t>
      </w:r>
      <w:bookmarkEnd w:id="664"/>
      <w:bookmarkEnd w:id="665"/>
    </w:p>
    <w:p w:rsidR="0037504D" w:rsidRPr="00D15040" w:rsidRDefault="0037504D" w:rsidP="0037504D">
      <w:pPr>
        <w:pStyle w:val="Heading3"/>
        <w:ind w:right="720"/>
        <w:rPr>
          <w:rFonts w:ascii="Tahoma" w:hAnsi="Tahoma" w:cs="Tahoma"/>
          <w:sz w:val="24"/>
          <w:szCs w:val="22"/>
          <w:lang w:val="de-DE"/>
        </w:rPr>
      </w:pPr>
      <w:bookmarkStart w:id="666" w:name="_Toc336338189"/>
      <w:bookmarkStart w:id="667" w:name="_Toc323159724"/>
    </w:p>
    <w:p w:rsidR="00456002" w:rsidRPr="00EC2A0D" w:rsidRDefault="00456002" w:rsidP="003E606C">
      <w:pPr>
        <w:pStyle w:val="Heading3"/>
        <w:ind w:right="720"/>
        <w:rPr>
          <w:rFonts w:ascii="Tahoma" w:hAnsi="Tahoma" w:cs="Tahoma"/>
          <w:sz w:val="24"/>
          <w:szCs w:val="22"/>
          <w:lang w:val="de-DE"/>
        </w:rPr>
      </w:pPr>
      <w:bookmarkStart w:id="668" w:name="_Toc354054883"/>
      <w:r w:rsidRPr="00EC2A0D">
        <w:rPr>
          <w:rFonts w:ascii="Tahoma" w:hAnsi="Tahoma" w:cs="Tahoma"/>
          <w:sz w:val="24"/>
          <w:szCs w:val="22"/>
          <w:lang w:val="de-DE"/>
        </w:rPr>
        <w:t>Anwendbare Volumenlizenzprogramme</w:t>
      </w:r>
      <w:bookmarkEnd w:id="666"/>
      <w:bookmarkEnd w:id="668"/>
      <w:r w:rsidRPr="00EC2A0D">
        <w:rPr>
          <w:rFonts w:ascii="Tahoma" w:hAnsi="Tahoma" w:cs="Tahoma"/>
          <w:sz w:val="24"/>
          <w:szCs w:val="22"/>
          <w:lang w:val="de-DE"/>
        </w:rPr>
        <w:t xml:space="preserve"> </w:t>
      </w:r>
      <w:bookmarkEnd w:id="667"/>
    </w:p>
    <w:p w:rsidR="0037504D" w:rsidRPr="00D15040" w:rsidRDefault="0037504D" w:rsidP="0037504D">
      <w:pPr>
        <w:rPr>
          <w:rFonts w:cs="Tahoma"/>
          <w:lang w:val="de-DE" w:eastAsia="ja-JP"/>
        </w:rPr>
      </w:pPr>
    </w:p>
    <w:p w:rsidR="00456002" w:rsidRPr="00BB5519" w:rsidRDefault="00456002" w:rsidP="00456002">
      <w:pPr>
        <w:rPr>
          <w:lang w:val="de-DE"/>
        </w:rPr>
      </w:pPr>
      <w:r w:rsidRPr="00BB5519">
        <w:rPr>
          <w:rFonts w:cs="Tahoma"/>
          <w:lang w:val="de-DE"/>
        </w:rPr>
        <w:t>Dieser Abschnitt gilt für die folgenden Volumenlizenzprogramme, einschließlich, sofern verfügbar, der Versionen Forschung &amp; Lehre, Charity und Verwaltung:</w:t>
      </w:r>
    </w:p>
    <w:p w:rsidR="0037504D" w:rsidRPr="00D15040" w:rsidRDefault="0037504D" w:rsidP="0037504D">
      <w:pPr>
        <w:pStyle w:val="ListParagraph"/>
        <w:ind w:left="1440" w:hanging="1449"/>
        <w:rPr>
          <w:rFonts w:cs="Tahoma"/>
          <w:lang w:val="de-DE"/>
        </w:rPr>
      </w:pPr>
    </w:p>
    <w:p w:rsidR="00456002" w:rsidRPr="00BB5519" w:rsidRDefault="00456002" w:rsidP="00822871">
      <w:pPr>
        <w:numPr>
          <w:ilvl w:val="0"/>
          <w:numId w:val="19"/>
        </w:numPr>
        <w:spacing w:after="60"/>
      </w:pPr>
      <w:r w:rsidRPr="00BB5519">
        <w:rPr>
          <w:rFonts w:cs="Tahoma"/>
        </w:rPr>
        <w:t>Open-Lizenz</w:t>
      </w:r>
    </w:p>
    <w:p w:rsidR="00456002" w:rsidRPr="00BB5519" w:rsidRDefault="00456002" w:rsidP="00822871">
      <w:pPr>
        <w:numPr>
          <w:ilvl w:val="0"/>
          <w:numId w:val="19"/>
        </w:numPr>
        <w:spacing w:after="60"/>
      </w:pPr>
      <w:r w:rsidRPr="00BB5519">
        <w:rPr>
          <w:rFonts w:cs="Tahoma"/>
        </w:rPr>
        <w:t xml:space="preserve">Open Value </w:t>
      </w:r>
    </w:p>
    <w:p w:rsidR="00456002" w:rsidRPr="00BB5519" w:rsidRDefault="00456002" w:rsidP="00822871">
      <w:pPr>
        <w:numPr>
          <w:ilvl w:val="0"/>
          <w:numId w:val="19"/>
        </w:numPr>
        <w:spacing w:after="60"/>
      </w:pPr>
      <w:r w:rsidRPr="00BB5519">
        <w:rPr>
          <w:rFonts w:cs="Tahoma"/>
        </w:rPr>
        <w:t xml:space="preserve">Open Value Subscription </w:t>
      </w:r>
    </w:p>
    <w:p w:rsidR="00456002" w:rsidRPr="00BB5519" w:rsidRDefault="00456002" w:rsidP="00822871">
      <w:pPr>
        <w:numPr>
          <w:ilvl w:val="0"/>
          <w:numId w:val="19"/>
        </w:numPr>
        <w:spacing w:after="60"/>
      </w:pPr>
      <w:r w:rsidRPr="00BB5519">
        <w:rPr>
          <w:rFonts w:cs="Tahoma"/>
        </w:rPr>
        <w:t xml:space="preserve">Select </w:t>
      </w:r>
    </w:p>
    <w:p w:rsidR="00456002" w:rsidRPr="00BB5519" w:rsidRDefault="00456002" w:rsidP="00822871">
      <w:pPr>
        <w:numPr>
          <w:ilvl w:val="0"/>
          <w:numId w:val="19"/>
        </w:numPr>
        <w:spacing w:after="60"/>
      </w:pPr>
      <w:r w:rsidRPr="00BB5519">
        <w:rPr>
          <w:rFonts w:cs="Tahoma"/>
        </w:rPr>
        <w:t xml:space="preserve">Select Plus </w:t>
      </w:r>
    </w:p>
    <w:p w:rsidR="0091793D" w:rsidRPr="00BB5519" w:rsidRDefault="00F84FA6" w:rsidP="00822871">
      <w:pPr>
        <w:numPr>
          <w:ilvl w:val="0"/>
          <w:numId w:val="19"/>
        </w:numPr>
        <w:spacing w:after="60"/>
      </w:pPr>
      <w:r w:rsidRPr="00BB5519">
        <w:rPr>
          <w:rFonts w:cs="Tahoma"/>
          <w:szCs w:val="18"/>
        </w:rPr>
        <w:t xml:space="preserve">Konzernvertrag </w:t>
      </w:r>
    </w:p>
    <w:p w:rsidR="0091793D" w:rsidRPr="00BB5519" w:rsidRDefault="00F84FA6" w:rsidP="00822871">
      <w:pPr>
        <w:numPr>
          <w:ilvl w:val="0"/>
          <w:numId w:val="19"/>
        </w:numPr>
        <w:spacing w:after="60"/>
      </w:pPr>
      <w:r w:rsidRPr="00BB5519">
        <w:rPr>
          <w:rFonts w:cs="Tahoma"/>
          <w:szCs w:val="18"/>
        </w:rPr>
        <w:t>Konzern-Abonnement-Vertrag</w:t>
      </w:r>
      <w:r w:rsidRPr="00BB5519">
        <w:rPr>
          <w:rFonts w:cs="Tahoma"/>
          <w:color w:val="000000"/>
          <w:szCs w:val="18"/>
        </w:rPr>
        <w:t xml:space="preserve"> </w:t>
      </w:r>
    </w:p>
    <w:p w:rsidR="0037504D" w:rsidRPr="009C0DC9" w:rsidRDefault="0037504D" w:rsidP="0037504D">
      <w:pPr>
        <w:pStyle w:val="Heading3"/>
        <w:ind w:right="720"/>
        <w:rPr>
          <w:rFonts w:ascii="Tahoma" w:hAnsi="Tahoma" w:cs="Tahoma"/>
          <w:b w:val="0"/>
          <w:sz w:val="18"/>
          <w:szCs w:val="22"/>
        </w:rPr>
      </w:pPr>
      <w:bookmarkStart w:id="669" w:name="_Toc336338190"/>
    </w:p>
    <w:p w:rsidR="0091793D" w:rsidRPr="0037504D" w:rsidRDefault="0091793D" w:rsidP="003E606C">
      <w:pPr>
        <w:pStyle w:val="Heading3"/>
        <w:ind w:right="720"/>
        <w:rPr>
          <w:rFonts w:ascii="Tahoma" w:hAnsi="Tahoma" w:cs="Tahoma"/>
          <w:sz w:val="24"/>
          <w:szCs w:val="22"/>
        </w:rPr>
      </w:pPr>
      <w:bookmarkStart w:id="670" w:name="_Toc354054884"/>
      <w:r w:rsidRPr="0037504D">
        <w:rPr>
          <w:rFonts w:ascii="Tahoma" w:hAnsi="Tahoma" w:cs="Tahoma"/>
          <w:sz w:val="24"/>
          <w:szCs w:val="22"/>
        </w:rPr>
        <w:t>Punkte und Mindestbestellmengen</w:t>
      </w:r>
      <w:bookmarkEnd w:id="669"/>
      <w:bookmarkEnd w:id="670"/>
    </w:p>
    <w:p w:rsidR="0037504D" w:rsidRPr="00BA4C27" w:rsidRDefault="0037504D" w:rsidP="0037504D"/>
    <w:p w:rsidR="00BA4C27" w:rsidRPr="00BB5519" w:rsidRDefault="00BA4C27" w:rsidP="0037504D">
      <w:pPr>
        <w:pStyle w:val="AppendixBodyText"/>
        <w:rPr>
          <w:lang w:val="de-DE"/>
        </w:rPr>
      </w:pPr>
      <w:r w:rsidRPr="00BB5519">
        <w:rPr>
          <w:rFonts w:ascii="Tahoma" w:hAnsi="Tahoma" w:cs="Tahoma"/>
          <w:sz w:val="18"/>
          <w:lang w:val="de-DE"/>
        </w:rPr>
        <w:t>Für Select, Select Plus und Open-Lizenz gilt eine „Punktzahl“, die den von Microsoft zugewiesenen Punktwert für jede Lizenz angibt. Mit diesen Punktzahlen wird das Volumenpreislevel für den Vertrag eines Kunden berechnet. Wenn einem bestimmten Produkt die Punktzahl „0“ zugewiesen ist, bedeutet dies, dass das Produkt im angegebenen Programm angeboten wird, aber den Punktwert null hat.</w:t>
      </w:r>
      <w:r w:rsidR="009E4976" w:rsidRPr="00BB5519">
        <w:rPr>
          <w:rFonts w:ascii="Tahoma" w:hAnsi="Tahoma" w:cs="Tahoma"/>
          <w:sz w:val="18"/>
          <w:lang w:val="de-DE"/>
        </w:rPr>
        <w:t xml:space="preserve"> </w:t>
      </w:r>
      <w:r w:rsidRPr="00BB5519">
        <w:rPr>
          <w:rFonts w:ascii="Tahoma" w:hAnsi="Tahoma" w:cs="Tahoma"/>
          <w:sz w:val="18"/>
          <w:lang w:val="de-DE"/>
        </w:rPr>
        <w:t>Nachfolgend ist die Zuordnung der Punktzahlen zu den Lizenzen aufgeführt:</w:t>
      </w:r>
    </w:p>
    <w:p w:rsidR="00E64551" w:rsidRPr="00BB5519" w:rsidRDefault="00E64551" w:rsidP="00E64551">
      <w:pPr>
        <w:pStyle w:val="AppendixBodyText"/>
        <w:ind w:right="720"/>
        <w:rPr>
          <w:highlight w:val="yellow"/>
          <w:lang w:val="de-DE"/>
        </w:rPr>
      </w:pPr>
    </w:p>
    <w:p w:rsidR="00456002" w:rsidRPr="00BB5519" w:rsidRDefault="00456002" w:rsidP="00822871">
      <w:pPr>
        <w:numPr>
          <w:ilvl w:val="0"/>
          <w:numId w:val="19"/>
        </w:numPr>
        <w:spacing w:after="60"/>
      </w:pPr>
      <w:r w:rsidRPr="00BB5519">
        <w:rPr>
          <w:rFonts w:cs="Tahoma"/>
        </w:rPr>
        <w:t xml:space="preserve">Standardlizenz: 1 Lizenz </w:t>
      </w:r>
    </w:p>
    <w:p w:rsidR="00456002" w:rsidRPr="00BB5519" w:rsidRDefault="00456002" w:rsidP="00822871">
      <w:pPr>
        <w:numPr>
          <w:ilvl w:val="0"/>
          <w:numId w:val="19"/>
        </w:numPr>
        <w:spacing w:after="60"/>
      </w:pPr>
      <w:r w:rsidRPr="00BB5519">
        <w:rPr>
          <w:rFonts w:cs="Tahoma"/>
        </w:rPr>
        <w:t xml:space="preserve">Upgrade: 1 Lizenz </w:t>
      </w:r>
    </w:p>
    <w:p w:rsidR="00456002" w:rsidRPr="00BB5519" w:rsidRDefault="00456002" w:rsidP="00822871">
      <w:pPr>
        <w:numPr>
          <w:ilvl w:val="0"/>
          <w:numId w:val="19"/>
        </w:numPr>
        <w:spacing w:after="60"/>
      </w:pPr>
      <w:r w:rsidRPr="00BB5519">
        <w:rPr>
          <w:rFonts w:cs="Tahoma"/>
        </w:rPr>
        <w:t xml:space="preserve">Software Assurance: 1 Lizenz </w:t>
      </w:r>
    </w:p>
    <w:p w:rsidR="00456002" w:rsidRPr="00BB5519" w:rsidRDefault="00456002" w:rsidP="00822871">
      <w:pPr>
        <w:numPr>
          <w:ilvl w:val="0"/>
          <w:numId w:val="19"/>
        </w:numPr>
        <w:spacing w:after="60"/>
      </w:pPr>
      <w:r w:rsidRPr="00BB5519">
        <w:rPr>
          <w:rFonts w:cs="Tahoma"/>
        </w:rPr>
        <w:t xml:space="preserve">Lizenz und Software Assurance: 2 Lizenzen </w:t>
      </w:r>
    </w:p>
    <w:p w:rsidR="00456002" w:rsidRPr="00BB5519" w:rsidRDefault="00456002" w:rsidP="00822871">
      <w:pPr>
        <w:numPr>
          <w:ilvl w:val="0"/>
          <w:numId w:val="19"/>
        </w:numPr>
        <w:spacing w:after="60"/>
      </w:pPr>
      <w:r w:rsidRPr="00BB5519">
        <w:rPr>
          <w:rFonts w:cs="Tahoma"/>
        </w:rPr>
        <w:t>Upgrade und Software Assurance: 2 Lizenzen</w:t>
      </w:r>
    </w:p>
    <w:p w:rsidR="00456002" w:rsidRPr="00BB5519" w:rsidRDefault="00456002" w:rsidP="00822871">
      <w:pPr>
        <w:numPr>
          <w:ilvl w:val="0"/>
          <w:numId w:val="19"/>
        </w:numPr>
        <w:spacing w:after="60"/>
      </w:pPr>
      <w:r w:rsidRPr="00BB5519">
        <w:rPr>
          <w:rFonts w:cs="Tahoma"/>
        </w:rPr>
        <w:t xml:space="preserve">Work-at-Home-Lizenz: 1 Lizenz </w:t>
      </w:r>
    </w:p>
    <w:p w:rsidR="00456002" w:rsidRPr="00BB5519" w:rsidRDefault="00456002" w:rsidP="00822871">
      <w:pPr>
        <w:numPr>
          <w:ilvl w:val="0"/>
          <w:numId w:val="19"/>
        </w:numPr>
        <w:spacing w:after="60"/>
      </w:pPr>
      <w:r w:rsidRPr="00BB5519">
        <w:rPr>
          <w:rFonts w:cs="Tahoma"/>
        </w:rPr>
        <w:t>Step Up-Lizenz: 1 Lizenz</w:t>
      </w:r>
    </w:p>
    <w:p w:rsidR="00456002" w:rsidRPr="00BB5519" w:rsidRDefault="00456002" w:rsidP="00822871">
      <w:pPr>
        <w:numPr>
          <w:ilvl w:val="0"/>
          <w:numId w:val="19"/>
        </w:numPr>
        <w:spacing w:after="60"/>
      </w:pPr>
      <w:r w:rsidRPr="00BB5519">
        <w:rPr>
          <w:rFonts w:cs="Tahoma"/>
        </w:rPr>
        <w:t xml:space="preserve">Lizenz: 1 Lizenz </w:t>
      </w:r>
    </w:p>
    <w:p w:rsidR="00456002" w:rsidRPr="00BB5519" w:rsidRDefault="00456002" w:rsidP="00822871">
      <w:pPr>
        <w:numPr>
          <w:ilvl w:val="0"/>
          <w:numId w:val="19"/>
        </w:numPr>
        <w:spacing w:after="60"/>
      </w:pPr>
      <w:r w:rsidRPr="00BB5519">
        <w:rPr>
          <w:rFonts w:cs="Tahoma"/>
        </w:rPr>
        <w:t>Abonnementlizenz: 1 Lizenz</w:t>
      </w:r>
    </w:p>
    <w:p w:rsidR="0037504D" w:rsidRPr="003E606C" w:rsidRDefault="0037504D" w:rsidP="0037504D">
      <w:pPr>
        <w:pStyle w:val="Heading2"/>
        <w:ind w:left="0"/>
        <w:rPr>
          <w:rFonts w:ascii="Tahoma" w:hAnsi="Tahoma" w:cs="Tahoma"/>
          <w:b w:val="0"/>
          <w:sz w:val="18"/>
        </w:rPr>
      </w:pPr>
      <w:bookmarkStart w:id="671" w:name="_Toc336338191"/>
      <w:bookmarkStart w:id="672" w:name="_Toc323159726"/>
    </w:p>
    <w:p w:rsidR="00E64551" w:rsidRPr="0037504D" w:rsidRDefault="00456002" w:rsidP="009C0DC9">
      <w:pPr>
        <w:pStyle w:val="Heading2"/>
        <w:ind w:left="0"/>
        <w:rPr>
          <w:rFonts w:ascii="Tahoma" w:hAnsi="Tahoma" w:cs="Tahoma"/>
        </w:rPr>
      </w:pPr>
      <w:bookmarkStart w:id="673" w:name="_Toc354054885"/>
      <w:r w:rsidRPr="00BB5519">
        <w:rPr>
          <w:rFonts w:ascii="Tahoma" w:hAnsi="Tahoma" w:cs="Tahoma"/>
        </w:rPr>
        <w:t>Mindestbestellanforderungen</w:t>
      </w:r>
      <w:bookmarkEnd w:id="671"/>
      <w:bookmarkEnd w:id="673"/>
    </w:p>
    <w:bookmarkEnd w:id="672"/>
    <w:p w:rsidR="00456002" w:rsidRPr="00BB5519"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6516"/>
      </w:tblGrid>
      <w:tr w:rsidR="00456002" w:rsidRPr="00BB5519" w:rsidTr="00F61178">
        <w:trPr>
          <w:tblHeader/>
        </w:trPr>
        <w:tc>
          <w:tcPr>
            <w:tcW w:w="2700" w:type="dxa"/>
            <w:shd w:val="clear" w:color="auto" w:fill="FABF8F"/>
          </w:tcPr>
          <w:p w:rsidR="00456002" w:rsidRPr="00BB5519" w:rsidRDefault="00456002" w:rsidP="005C647E">
            <w:pPr>
              <w:pStyle w:val="AppendixBodyText"/>
              <w:ind w:right="720"/>
              <w:jc w:val="center"/>
              <w:rPr>
                <w:rFonts w:ascii="Tahoma" w:hAnsi="Tahoma" w:cs="Tahoma"/>
                <w:b/>
                <w:color w:val="000000"/>
                <w:sz w:val="22"/>
                <w:szCs w:val="18"/>
                <w:lang w:eastAsia="ja-JP"/>
              </w:rPr>
            </w:pPr>
            <w:r w:rsidRPr="00BB5519">
              <w:rPr>
                <w:rFonts w:ascii="Tahoma" w:hAnsi="Tahoma" w:cs="Tahoma"/>
                <w:b/>
                <w:color w:val="000000"/>
                <w:sz w:val="22"/>
                <w:szCs w:val="18"/>
              </w:rPr>
              <w:t>Programme</w:t>
            </w:r>
          </w:p>
        </w:tc>
        <w:tc>
          <w:tcPr>
            <w:tcW w:w="6516" w:type="dxa"/>
            <w:shd w:val="clear" w:color="auto" w:fill="FABF8F"/>
          </w:tcPr>
          <w:p w:rsidR="00456002" w:rsidRPr="00BB5519" w:rsidRDefault="00456002" w:rsidP="005C647E">
            <w:pPr>
              <w:pStyle w:val="AppendixBodyText"/>
              <w:ind w:right="720"/>
              <w:jc w:val="center"/>
              <w:rPr>
                <w:rFonts w:ascii="Tahoma" w:hAnsi="Tahoma" w:cs="Tahoma"/>
                <w:b/>
                <w:color w:val="000000"/>
                <w:sz w:val="22"/>
                <w:szCs w:val="18"/>
                <w:lang w:eastAsia="ja-JP"/>
              </w:rPr>
            </w:pPr>
            <w:r w:rsidRPr="00BB5519">
              <w:rPr>
                <w:rFonts w:ascii="Tahoma" w:hAnsi="Tahoma" w:cs="Tahoma"/>
                <w:b/>
                <w:color w:val="000000"/>
                <w:sz w:val="22"/>
                <w:szCs w:val="18"/>
              </w:rPr>
              <w:t>Mindestbestellanforderungen</w:t>
            </w:r>
          </w:p>
        </w:tc>
      </w:tr>
      <w:tr w:rsidR="00456002" w:rsidRPr="006F21F8" w:rsidTr="00F61178">
        <w:tc>
          <w:tcPr>
            <w:tcW w:w="2700" w:type="dxa"/>
            <w:shd w:val="clear" w:color="auto" w:fill="auto"/>
          </w:tcPr>
          <w:p w:rsidR="00456002" w:rsidRPr="00BB5519" w:rsidRDefault="00456002" w:rsidP="0037504D">
            <w:pPr>
              <w:pStyle w:val="AppendixBodyText"/>
              <w:spacing w:before="60"/>
              <w:ind w:right="720"/>
              <w:rPr>
                <w:rFonts w:ascii="Tahoma" w:hAnsi="Tahoma" w:cs="Tahoma"/>
                <w:b/>
                <w:color w:val="000000"/>
                <w:sz w:val="18"/>
                <w:szCs w:val="18"/>
                <w:lang w:eastAsia="ja-JP"/>
              </w:rPr>
            </w:pPr>
            <w:r w:rsidRPr="00BB5519">
              <w:rPr>
                <w:rFonts w:ascii="Tahoma" w:hAnsi="Tahoma" w:cs="Tahoma"/>
                <w:b/>
                <w:color w:val="000000"/>
                <w:szCs w:val="18"/>
              </w:rPr>
              <w:t>Open-Lizenz, Open Value und</w:t>
            </w:r>
            <w:r w:rsidR="0037504D">
              <w:rPr>
                <w:rFonts w:ascii="Tahoma" w:hAnsi="Tahoma" w:cs="Tahoma"/>
                <w:b/>
                <w:color w:val="000000"/>
                <w:szCs w:val="18"/>
              </w:rPr>
              <w:t> </w:t>
            </w:r>
            <w:r w:rsidRPr="00BB5519">
              <w:rPr>
                <w:rFonts w:ascii="Tahoma" w:hAnsi="Tahoma" w:cs="Tahoma"/>
                <w:b/>
                <w:color w:val="000000"/>
                <w:szCs w:val="18"/>
              </w:rPr>
              <w:t>Open Value Subscription (Co</w:t>
            </w:r>
            <w:r w:rsidR="00F27BD2">
              <w:rPr>
                <w:rFonts w:ascii="Tahoma" w:hAnsi="Tahoma" w:cs="Tahoma"/>
                <w:b/>
                <w:color w:val="000000"/>
                <w:szCs w:val="18"/>
              </w:rPr>
              <w:t xml:space="preserve">mmercial </w:t>
            </w:r>
            <w:r w:rsidRPr="00BB5519">
              <w:rPr>
                <w:rFonts w:ascii="Tahoma" w:hAnsi="Tahoma" w:cs="Tahoma"/>
                <w:b/>
                <w:color w:val="000000"/>
                <w:szCs w:val="18"/>
              </w:rPr>
              <w:t>und</w:t>
            </w:r>
            <w:r w:rsidR="0037504D">
              <w:rPr>
                <w:rFonts w:ascii="Tahoma" w:hAnsi="Tahoma" w:cs="Tahoma"/>
                <w:b/>
                <w:color w:val="000000"/>
                <w:szCs w:val="18"/>
              </w:rPr>
              <w:t> </w:t>
            </w:r>
            <w:r w:rsidRPr="00BB5519">
              <w:rPr>
                <w:rFonts w:ascii="Tahoma" w:hAnsi="Tahoma" w:cs="Tahoma"/>
                <w:b/>
                <w:color w:val="000000"/>
                <w:szCs w:val="18"/>
              </w:rPr>
              <w:t>Verwaltung)</w:t>
            </w:r>
          </w:p>
        </w:tc>
        <w:tc>
          <w:tcPr>
            <w:tcW w:w="6516" w:type="dxa"/>
            <w:shd w:val="clear" w:color="auto" w:fill="auto"/>
          </w:tcPr>
          <w:p w:rsidR="00456002" w:rsidRPr="00BB5519" w:rsidRDefault="004B6D8C" w:rsidP="00A70464">
            <w:pPr>
              <w:pStyle w:val="AppendixBodyText"/>
              <w:spacing w:before="60"/>
              <w:ind w:right="720"/>
            </w:pPr>
            <w:r w:rsidRPr="00BB5519">
              <w:rPr>
                <w:rFonts w:ascii="Tahoma" w:hAnsi="Tahoma" w:cs="Tahoma"/>
                <w:b/>
                <w:sz w:val="18"/>
              </w:rPr>
              <w:t>Open-Lizenz</w:t>
            </w:r>
          </w:p>
          <w:p w:rsidR="00456002" w:rsidRPr="00BB5519" w:rsidRDefault="00456002" w:rsidP="00F27BD2">
            <w:pPr>
              <w:pStyle w:val="AppendixBodyText"/>
              <w:ind w:right="18"/>
              <w:rPr>
                <w:lang w:val="de-DE"/>
              </w:rPr>
            </w:pPr>
            <w:r w:rsidRPr="00BB5519">
              <w:rPr>
                <w:rFonts w:ascii="Tahoma" w:hAnsi="Tahoma" w:cs="Tahoma"/>
                <w:sz w:val="18"/>
                <w:lang w:val="de-DE"/>
              </w:rPr>
              <w:t>Für Open-Lizenz ist eine Mindestbestellung von 5 Lizenzen, 5 SA oder eine Kombination aus beidem erforderlich, um eine Autorisierungsnummer zu erhalten.</w:t>
            </w:r>
            <w:r w:rsidR="009E4976" w:rsidRPr="00BB5519">
              <w:rPr>
                <w:rFonts w:ascii="Tahoma" w:hAnsi="Tahoma" w:cs="Tahoma"/>
                <w:sz w:val="18"/>
                <w:lang w:val="de-DE"/>
              </w:rPr>
              <w:t xml:space="preserve"> </w:t>
            </w:r>
            <w:r w:rsidRPr="00BB5519">
              <w:rPr>
                <w:rFonts w:ascii="Tahoma" w:hAnsi="Tahoma" w:cs="Tahoma"/>
                <w:sz w:val="18"/>
                <w:lang w:val="de-DE"/>
              </w:rPr>
              <w:t xml:space="preserve">Beispiel: 2 Lizenzen und Software Assurance und 1 Standardlizenz würden die für die Teilnahme an einem der Programme erforderliche Mindestbestellmenge von 5 Lizenzen erfüllen. </w:t>
            </w:r>
          </w:p>
          <w:p w:rsidR="00456002" w:rsidRDefault="00456002" w:rsidP="003E606C">
            <w:pPr>
              <w:pStyle w:val="AppendixBodyText"/>
              <w:spacing w:after="0"/>
              <w:ind w:right="720"/>
              <w:rPr>
                <w:sz w:val="16"/>
                <w:szCs w:val="16"/>
                <w:lang w:val="de-DE"/>
              </w:rPr>
            </w:pPr>
          </w:p>
          <w:p w:rsidR="00E1724F" w:rsidRDefault="00E1724F" w:rsidP="003E606C">
            <w:pPr>
              <w:pStyle w:val="AppendixBodyText"/>
              <w:spacing w:after="0"/>
              <w:ind w:right="720"/>
              <w:rPr>
                <w:sz w:val="16"/>
                <w:szCs w:val="16"/>
                <w:lang w:val="de-DE"/>
              </w:rPr>
            </w:pPr>
          </w:p>
          <w:p w:rsidR="00E1724F" w:rsidRDefault="00E1724F" w:rsidP="003E606C">
            <w:pPr>
              <w:pStyle w:val="AppendixBodyText"/>
              <w:spacing w:after="0"/>
              <w:ind w:right="720"/>
              <w:rPr>
                <w:sz w:val="16"/>
                <w:szCs w:val="16"/>
                <w:lang w:val="de-DE"/>
              </w:rPr>
            </w:pPr>
          </w:p>
          <w:p w:rsidR="00E1724F" w:rsidRDefault="00E1724F" w:rsidP="003E606C">
            <w:pPr>
              <w:pStyle w:val="AppendixBodyText"/>
              <w:spacing w:after="0"/>
              <w:ind w:right="720"/>
              <w:rPr>
                <w:sz w:val="16"/>
                <w:szCs w:val="16"/>
                <w:lang w:val="de-DE"/>
              </w:rPr>
            </w:pPr>
          </w:p>
          <w:p w:rsidR="00E1724F" w:rsidRDefault="00E1724F" w:rsidP="003E606C">
            <w:pPr>
              <w:pStyle w:val="AppendixBodyText"/>
              <w:spacing w:after="0"/>
              <w:ind w:right="720"/>
              <w:rPr>
                <w:sz w:val="16"/>
                <w:szCs w:val="16"/>
                <w:lang w:val="de-DE"/>
              </w:rPr>
            </w:pPr>
          </w:p>
          <w:p w:rsidR="004B6D8C" w:rsidRPr="00BB5519" w:rsidRDefault="00456002" w:rsidP="0037504D">
            <w:pPr>
              <w:pStyle w:val="AppendixBodyText"/>
              <w:keepNext/>
              <w:keepLines/>
              <w:pageBreakBefore/>
              <w:ind w:right="720"/>
            </w:pPr>
            <w:r w:rsidRPr="00BB5519">
              <w:rPr>
                <w:rFonts w:ascii="Tahoma" w:hAnsi="Tahoma" w:cs="Tahoma"/>
                <w:b/>
                <w:sz w:val="18"/>
              </w:rPr>
              <w:lastRenderedPageBreak/>
              <w:t>Open Value und Open Value Subscription</w:t>
            </w:r>
          </w:p>
          <w:p w:rsidR="00456002" w:rsidRPr="00BB5519" w:rsidRDefault="00456002" w:rsidP="0037504D">
            <w:pPr>
              <w:pStyle w:val="AppendixBodyText"/>
              <w:keepNext/>
              <w:keepLines/>
              <w:pageBreakBefore/>
              <w:ind w:right="378"/>
              <w:rPr>
                <w:lang w:val="de-DE"/>
              </w:rPr>
            </w:pPr>
            <w:r w:rsidRPr="00BB5519">
              <w:rPr>
                <w:rFonts w:ascii="Tahoma" w:hAnsi="Tahoma" w:cs="Tahoma"/>
                <w:sz w:val="18"/>
                <w:lang w:val="de-DE"/>
              </w:rPr>
              <w:t>Für Open Value-Lizenz ist eine Mindestbestellung von 5 U&amp;SA, 5 L&amp;SA, 5</w:t>
            </w:r>
            <w:r w:rsidR="0037504D">
              <w:rPr>
                <w:rFonts w:ascii="Tahoma" w:hAnsi="Tahoma" w:cs="Tahoma"/>
                <w:sz w:val="18"/>
                <w:lang w:val="de-DE"/>
              </w:rPr>
              <w:t> </w:t>
            </w:r>
            <w:r w:rsidRPr="00BB5519">
              <w:rPr>
                <w:rFonts w:ascii="Tahoma" w:hAnsi="Tahoma" w:cs="Tahoma"/>
                <w:sz w:val="18"/>
                <w:lang w:val="de-DE"/>
              </w:rPr>
              <w:t xml:space="preserve">SA, 5 Abonnementlizenzen oder eine Kombination daraus erforderlich, um einen Vertrag zu schließen. </w:t>
            </w:r>
          </w:p>
          <w:p w:rsidR="0037504D" w:rsidRPr="00D15040" w:rsidRDefault="0037504D" w:rsidP="0037504D">
            <w:pPr>
              <w:pStyle w:val="AppendixBodyText"/>
              <w:spacing w:after="0"/>
              <w:ind w:right="720"/>
              <w:rPr>
                <w:rFonts w:ascii="Tahoma" w:hAnsi="Tahoma" w:cs="Tahoma"/>
                <w:sz w:val="18"/>
                <w:lang w:val="de-DE" w:eastAsia="ja-JP"/>
              </w:rPr>
            </w:pPr>
          </w:p>
          <w:p w:rsidR="00456002" w:rsidRPr="00BB5519" w:rsidRDefault="00456002" w:rsidP="00F27BD2">
            <w:pPr>
              <w:pStyle w:val="AppendixBodyText"/>
              <w:spacing w:after="0"/>
              <w:ind w:right="198"/>
              <w:rPr>
                <w:lang w:val="de-DE"/>
              </w:rPr>
            </w:pPr>
            <w:r w:rsidRPr="00BB5519">
              <w:rPr>
                <w:rFonts w:ascii="Tahoma" w:hAnsi="Tahoma" w:cs="Tahoma"/>
                <w:b/>
                <w:sz w:val="18"/>
                <w:lang w:val="de-DE"/>
              </w:rPr>
              <w:t>Anmerkung:</w:t>
            </w:r>
            <w:r w:rsidRPr="00BB5519">
              <w:rPr>
                <w:rFonts w:ascii="Tahoma" w:hAnsi="Tahoma" w:cs="Tahoma"/>
                <w:sz w:val="18"/>
                <w:lang w:val="de-DE"/>
              </w:rPr>
              <w:t xml:space="preserve"> Für bestimmte Produkte in Open und Open Value genügt eine einzelne Lizenz der Mindestanforderung von 5 Lizenzen.</w:t>
            </w:r>
            <w:r w:rsidR="009E4976" w:rsidRPr="00BB5519">
              <w:rPr>
                <w:rFonts w:ascii="Tahoma" w:hAnsi="Tahoma" w:cs="Tahoma"/>
                <w:sz w:val="18"/>
                <w:lang w:val="de-DE"/>
              </w:rPr>
              <w:t xml:space="preserve"> </w:t>
            </w:r>
            <w:r w:rsidRPr="00BB5519">
              <w:rPr>
                <w:rFonts w:ascii="Tahoma" w:hAnsi="Tahoma" w:cs="Tahoma"/>
                <w:sz w:val="18"/>
                <w:lang w:val="de-DE"/>
              </w:rPr>
              <w:t>Welche Produkte für diese Ausnahme qualifiziert sind, erfahren Sie in den einzelnen Produkthinweisen.</w:t>
            </w:r>
          </w:p>
          <w:p w:rsidR="00A51838" w:rsidRPr="0037504D" w:rsidRDefault="00A51838" w:rsidP="00A51838">
            <w:pPr>
              <w:pStyle w:val="AppendixBodyText"/>
              <w:spacing w:after="0"/>
              <w:ind w:right="720"/>
              <w:rPr>
                <w:rFonts w:ascii="Tahoma" w:hAnsi="Tahoma" w:cs="Tahoma"/>
                <w:sz w:val="14"/>
                <w:szCs w:val="14"/>
                <w:lang w:val="de-DE" w:eastAsia="ja-JP"/>
              </w:rPr>
            </w:pPr>
          </w:p>
        </w:tc>
      </w:tr>
      <w:tr w:rsidR="00456002" w:rsidRPr="006F21F8" w:rsidTr="00F61178">
        <w:tc>
          <w:tcPr>
            <w:tcW w:w="2700" w:type="dxa"/>
            <w:shd w:val="clear" w:color="auto" w:fill="auto"/>
          </w:tcPr>
          <w:p w:rsidR="00456002" w:rsidRPr="00BB5519" w:rsidRDefault="00456002" w:rsidP="00A70464">
            <w:pPr>
              <w:pStyle w:val="AppendixBodyText"/>
              <w:spacing w:before="60"/>
              <w:ind w:right="720"/>
              <w:rPr>
                <w:rFonts w:ascii="Tahoma" w:hAnsi="Tahoma" w:cs="Tahoma"/>
                <w:b/>
                <w:color w:val="000000"/>
                <w:szCs w:val="18"/>
                <w:lang w:eastAsia="ja-JP"/>
              </w:rPr>
            </w:pPr>
            <w:r w:rsidRPr="00BB5519">
              <w:rPr>
                <w:rFonts w:ascii="Tahoma" w:hAnsi="Tahoma" w:cs="Tahoma"/>
                <w:b/>
                <w:color w:val="000000"/>
                <w:szCs w:val="18"/>
              </w:rPr>
              <w:lastRenderedPageBreak/>
              <w:t>Open Value Subscription – ES</w:t>
            </w:r>
          </w:p>
        </w:tc>
        <w:tc>
          <w:tcPr>
            <w:tcW w:w="6516" w:type="dxa"/>
            <w:shd w:val="clear" w:color="auto" w:fill="auto"/>
          </w:tcPr>
          <w:p w:rsidR="00456002" w:rsidRPr="00BB5519" w:rsidRDefault="00456002" w:rsidP="00F27BD2">
            <w:pPr>
              <w:spacing w:before="60"/>
              <w:ind w:right="-162"/>
              <w:rPr>
                <w:lang w:val="de-DE"/>
              </w:rPr>
            </w:pPr>
            <w:r w:rsidRPr="00BB5519">
              <w:rPr>
                <w:rFonts w:cs="Tahoma"/>
                <w:szCs w:val="18"/>
                <w:lang w:val="de-DE"/>
              </w:rPr>
              <w:t>Für Open Value Subscription – ES erfordert mindestens ein Desktop-Plattformprodukt für eine Organisationsweite Anzahl von mindestens 5 ODER mindestens ein Desktop-Plattformprodukt für eine Studentenanzahl von mindestens 5.</w:t>
            </w:r>
          </w:p>
          <w:p w:rsidR="00230E01" w:rsidRPr="00F27BD2" w:rsidRDefault="00230E01" w:rsidP="00230E01">
            <w:pPr>
              <w:rPr>
                <w:rFonts w:cs="Tahoma"/>
                <w:sz w:val="14"/>
                <w:szCs w:val="14"/>
                <w:lang w:val="de-DE"/>
              </w:rPr>
            </w:pPr>
          </w:p>
        </w:tc>
      </w:tr>
      <w:tr w:rsidR="00456002" w:rsidRPr="006F21F8" w:rsidTr="00F61178">
        <w:tc>
          <w:tcPr>
            <w:tcW w:w="2700" w:type="dxa"/>
            <w:shd w:val="clear" w:color="auto" w:fill="auto"/>
          </w:tcPr>
          <w:p w:rsidR="00456002" w:rsidRPr="00BB5519" w:rsidRDefault="00456002" w:rsidP="00A70464">
            <w:pPr>
              <w:pStyle w:val="AppendixBodyText"/>
              <w:spacing w:before="60"/>
              <w:ind w:right="720"/>
              <w:rPr>
                <w:rFonts w:ascii="Tahoma" w:hAnsi="Tahoma" w:cs="Tahoma"/>
                <w:b/>
                <w:color w:val="000000"/>
                <w:szCs w:val="18"/>
                <w:lang w:eastAsia="ja-JP"/>
              </w:rPr>
            </w:pPr>
            <w:r w:rsidRPr="00BB5519">
              <w:rPr>
                <w:rFonts w:ascii="Tahoma" w:hAnsi="Tahoma" w:cs="Tahoma"/>
                <w:b/>
                <w:color w:val="000000"/>
                <w:szCs w:val="18"/>
              </w:rPr>
              <w:t>Select</w:t>
            </w:r>
          </w:p>
        </w:tc>
        <w:tc>
          <w:tcPr>
            <w:tcW w:w="6516" w:type="dxa"/>
            <w:shd w:val="clear" w:color="auto" w:fill="auto"/>
          </w:tcPr>
          <w:p w:rsidR="00456002" w:rsidRPr="00BB5519" w:rsidRDefault="00456002" w:rsidP="00F27BD2">
            <w:pPr>
              <w:pStyle w:val="AppendixBodyText"/>
              <w:spacing w:before="60" w:after="0"/>
              <w:ind w:right="108"/>
              <w:rPr>
                <w:lang w:val="de-DE"/>
              </w:rPr>
            </w:pPr>
            <w:r w:rsidRPr="00BB5519">
              <w:rPr>
                <w:rFonts w:ascii="Tahoma" w:hAnsi="Tahoma" w:cs="Tahoma"/>
                <w:color w:val="000000"/>
                <w:sz w:val="18"/>
                <w:szCs w:val="18"/>
                <w:lang w:val="de-DE"/>
              </w:rPr>
              <w:t>Für Select ist eine Mindestbestellung von 1.500 Punkten pro Pool über die Vertragslaufzeit erforderlich.</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Wenn ein qualifizierender Vertrag bereitgestellt wird, kann auf Mindestbestellanforderungen verzichtet werden.</w:t>
            </w:r>
          </w:p>
          <w:p w:rsidR="00230E01" w:rsidRPr="00F27BD2" w:rsidRDefault="00230E01" w:rsidP="00230E01">
            <w:pPr>
              <w:pStyle w:val="AppendixBodyText"/>
              <w:spacing w:after="0"/>
              <w:ind w:right="720"/>
              <w:rPr>
                <w:rFonts w:ascii="Tahoma" w:hAnsi="Tahoma" w:cs="Tahoma"/>
                <w:color w:val="000000"/>
                <w:sz w:val="14"/>
                <w:szCs w:val="14"/>
                <w:lang w:val="de-DE" w:eastAsia="ja-JP"/>
              </w:rPr>
            </w:pPr>
          </w:p>
        </w:tc>
      </w:tr>
      <w:tr w:rsidR="00456002" w:rsidRPr="006F21F8" w:rsidTr="00F61178">
        <w:tc>
          <w:tcPr>
            <w:tcW w:w="2700" w:type="dxa"/>
            <w:shd w:val="clear" w:color="auto" w:fill="auto"/>
          </w:tcPr>
          <w:p w:rsidR="00456002" w:rsidRPr="00BB5519" w:rsidRDefault="00456002" w:rsidP="00A70464">
            <w:pPr>
              <w:pStyle w:val="AppendixBodyText"/>
              <w:spacing w:before="60"/>
              <w:ind w:right="720"/>
              <w:rPr>
                <w:rFonts w:ascii="Tahoma" w:hAnsi="Tahoma" w:cs="Tahoma"/>
                <w:b/>
                <w:color w:val="000000"/>
                <w:szCs w:val="18"/>
                <w:lang w:eastAsia="ja-JP"/>
              </w:rPr>
            </w:pPr>
            <w:r w:rsidRPr="00BB5519">
              <w:rPr>
                <w:rFonts w:ascii="Tahoma" w:hAnsi="Tahoma" w:cs="Tahoma"/>
                <w:b/>
                <w:color w:val="000000"/>
                <w:szCs w:val="18"/>
              </w:rPr>
              <w:t>Select Plus</w:t>
            </w:r>
          </w:p>
        </w:tc>
        <w:tc>
          <w:tcPr>
            <w:tcW w:w="6516" w:type="dxa"/>
            <w:shd w:val="clear" w:color="auto" w:fill="auto"/>
          </w:tcPr>
          <w:p w:rsidR="00456002" w:rsidRPr="00BB5519" w:rsidRDefault="00456002" w:rsidP="0037504D">
            <w:pPr>
              <w:pStyle w:val="AppendixBodyText"/>
              <w:spacing w:before="60"/>
              <w:ind w:right="288"/>
              <w:rPr>
                <w:lang w:val="de-DE"/>
              </w:rPr>
            </w:pPr>
            <w:r w:rsidRPr="00BB5519">
              <w:rPr>
                <w:rFonts w:ascii="Tahoma" w:hAnsi="Tahoma" w:cs="Tahoma"/>
                <w:color w:val="000000"/>
                <w:sz w:val="18"/>
                <w:szCs w:val="18"/>
                <w:lang w:val="de-DE"/>
              </w:rPr>
              <w:t>Für Select Plus ist während des ersten Jahres eine Mindestbestellmenge von 500 Punkten pro Pool erforderlich.</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Wenn ein qualifizierender Vertrag bereitgestellt wird, kann auf diese Mindestbestellmenge verzichtet werden.</w:t>
            </w:r>
          </w:p>
          <w:p w:rsidR="0037504D" w:rsidRPr="00D15040" w:rsidRDefault="0037504D" w:rsidP="0037504D">
            <w:pPr>
              <w:pStyle w:val="AppendixBodyText"/>
              <w:spacing w:after="0"/>
              <w:ind w:right="720"/>
              <w:rPr>
                <w:rFonts w:ascii="Tahoma" w:hAnsi="Tahoma" w:cs="Tahoma"/>
                <w:color w:val="000000"/>
                <w:sz w:val="18"/>
                <w:szCs w:val="18"/>
                <w:lang w:val="de-DE" w:eastAsia="ja-JP"/>
              </w:rPr>
            </w:pPr>
          </w:p>
          <w:p w:rsidR="00456002" w:rsidRPr="00D15040" w:rsidRDefault="00456002" w:rsidP="004B6D8C">
            <w:pPr>
              <w:spacing w:after="60"/>
              <w:rPr>
                <w:b/>
                <w:lang w:val="de-DE"/>
              </w:rPr>
            </w:pPr>
            <w:bookmarkStart w:id="674" w:name="_Toc323159727"/>
            <w:r w:rsidRPr="00D15040">
              <w:rPr>
                <w:b/>
                <w:lang w:val="de-DE"/>
              </w:rPr>
              <w:t>Preislevels für Select Plus</w:t>
            </w:r>
            <w:bookmarkEnd w:id="674"/>
          </w:p>
          <w:p w:rsidR="00456002" w:rsidRPr="00BB5519" w:rsidRDefault="00456002" w:rsidP="005C647E">
            <w:pPr>
              <w:rPr>
                <w:lang w:val="de-DE"/>
              </w:rPr>
            </w:pPr>
            <w:r w:rsidRPr="00BB5519">
              <w:rPr>
                <w:rFonts w:cs="Tahoma"/>
                <w:szCs w:val="18"/>
                <w:lang w:val="de-DE"/>
              </w:rPr>
              <w:t xml:space="preserve">Kunden sind für das Select Plus-Programm qualifiziert, wenn sie eines der drei folgenden Kriterien erfüllen: </w:t>
            </w:r>
          </w:p>
          <w:p w:rsidR="0037504D" w:rsidRPr="00D15040" w:rsidRDefault="0037504D" w:rsidP="0037504D">
            <w:pPr>
              <w:rPr>
                <w:rFonts w:cs="Tahoma"/>
                <w:szCs w:val="18"/>
                <w:lang w:val="de-DE"/>
              </w:rPr>
            </w:pPr>
          </w:p>
          <w:p w:rsidR="00456002" w:rsidRPr="00BB5519" w:rsidRDefault="00456002" w:rsidP="004B6D8C">
            <w:pPr>
              <w:numPr>
                <w:ilvl w:val="0"/>
                <w:numId w:val="82"/>
              </w:numPr>
              <w:spacing w:after="60"/>
              <w:rPr>
                <w:lang w:val="de-DE"/>
              </w:rPr>
            </w:pPr>
            <w:r w:rsidRPr="00BB5519">
              <w:rPr>
                <w:lang w:val="de-DE"/>
              </w:rPr>
              <w:t>Der Kunde verfügt über einen aktiven Konzernbeitritt unter einem separaten Konzernvertrag oder einen Konzern-Abonnement-Beitritt unter einem Konzern-Abonnement-Vertrag (Kunden aus Forschung &amp; Lehre können einen aktiven Campus- oder School-Vertrag oder einen aktiven Beitritt für Bildungslösungen als qualifizierenden Vertrag verwenden).</w:t>
            </w:r>
          </w:p>
          <w:p w:rsidR="00456002" w:rsidRPr="00BB5519" w:rsidRDefault="00456002" w:rsidP="004B6D8C">
            <w:pPr>
              <w:numPr>
                <w:ilvl w:val="0"/>
                <w:numId w:val="82"/>
              </w:numPr>
              <w:spacing w:after="60"/>
              <w:rPr>
                <w:lang w:val="de-DE"/>
              </w:rPr>
            </w:pPr>
            <w:r w:rsidRPr="00BB5519">
              <w:rPr>
                <w:lang w:val="de-DE"/>
              </w:rPr>
              <w:t xml:space="preserve">Der Kunde gibt eine Bestellung ab, die für jeden vom Kunden während des ersten Jahres ausgewählten Produktpool mindestens 500 Punkten entspricht. </w:t>
            </w:r>
          </w:p>
          <w:p w:rsidR="00456002" w:rsidRPr="00BB5519" w:rsidRDefault="00456002" w:rsidP="004B6D8C">
            <w:pPr>
              <w:numPr>
                <w:ilvl w:val="0"/>
                <w:numId w:val="82"/>
              </w:numPr>
              <w:spacing w:after="60"/>
              <w:rPr>
                <w:lang w:val="de-DE"/>
              </w:rPr>
            </w:pPr>
            <w:r w:rsidRPr="00BB5519">
              <w:rPr>
                <w:lang w:val="de-DE"/>
              </w:rPr>
              <w:t xml:space="preserve">Der Kunde gibt einen Vertrag an, bei dem während der 12 Monate vor dem Wirksamkeitsdatum des Select Plus-Vertrages des Kunden die Mindestbestellmenge erfüllt war. </w:t>
            </w:r>
          </w:p>
          <w:p w:rsidR="0037504D" w:rsidRPr="00D15040" w:rsidRDefault="0037504D" w:rsidP="0037504D">
            <w:pPr>
              <w:rPr>
                <w:color w:val="1F497D"/>
                <w:lang w:val="de-DE"/>
              </w:rPr>
            </w:pPr>
          </w:p>
          <w:p w:rsidR="00456002" w:rsidRPr="00BB5519" w:rsidRDefault="00456002" w:rsidP="0037504D">
            <w:pPr>
              <w:rPr>
                <w:lang w:val="de-DE"/>
              </w:rPr>
            </w:pPr>
            <w:r w:rsidRPr="00BB5519">
              <w:rPr>
                <w:rFonts w:cs="Tahoma"/>
                <w:szCs w:val="18"/>
                <w:lang w:val="de-DE"/>
              </w:rPr>
              <w:t>Bei den Optionen 2 und 3 oben ist der Kunde verpflichtet, zum Zeitpunkt der</w:t>
            </w:r>
            <w:r w:rsidR="0037504D">
              <w:rPr>
                <w:rFonts w:cs="Tahoma"/>
                <w:szCs w:val="18"/>
                <w:lang w:val="de-DE"/>
              </w:rPr>
              <w:t> </w:t>
            </w:r>
            <w:r w:rsidRPr="00BB5519">
              <w:rPr>
                <w:rFonts w:cs="Tahoma"/>
                <w:szCs w:val="18"/>
                <w:lang w:val="de-DE"/>
              </w:rPr>
              <w:t xml:space="preserve">Einhaltungsprüfung in jedem vom Kunden gewählten Produktpool über mindestens 500 Punkte zu verfügen. </w:t>
            </w:r>
          </w:p>
          <w:p w:rsidR="0037504D" w:rsidRPr="0037504D" w:rsidRDefault="0037504D" w:rsidP="0037504D">
            <w:pPr>
              <w:rPr>
                <w:rFonts w:cs="Tahoma"/>
                <w:szCs w:val="18"/>
                <w:lang w:val="de-DE"/>
              </w:rPr>
            </w:pPr>
          </w:p>
          <w:p w:rsidR="00456002" w:rsidRDefault="00456002" w:rsidP="005C647E">
            <w:pPr>
              <w:rPr>
                <w:rFonts w:cs="Tahoma"/>
                <w:szCs w:val="18"/>
                <w:lang w:val="de-DE"/>
              </w:rPr>
            </w:pPr>
            <w:r w:rsidRPr="00BB5519">
              <w:rPr>
                <w:rFonts w:cs="Tahoma"/>
                <w:szCs w:val="18"/>
                <w:lang w:val="de-DE"/>
              </w:rPr>
              <w:t>Die Preise des Kunden basieren auf einem Vertrag zwischen dem Kunden und dem Handelspartner des Kunden.</w:t>
            </w:r>
            <w:r w:rsidR="009E4976" w:rsidRPr="00BB5519">
              <w:rPr>
                <w:rFonts w:cs="Tahoma"/>
                <w:szCs w:val="18"/>
                <w:lang w:val="de-DE"/>
              </w:rPr>
              <w:t xml:space="preserve"> </w:t>
            </w:r>
            <w:r w:rsidRPr="00BB5519">
              <w:rPr>
                <w:rFonts w:cs="Tahoma"/>
                <w:szCs w:val="18"/>
                <w:lang w:val="de-DE"/>
              </w:rPr>
              <w:t>Microsoft stellt jedoch dem Handelspartner die folgenden Kriterien für Preise und Punkte als Orientierungshilfe für Endkundenpreise zur Verfügung:</w:t>
            </w:r>
            <w:r w:rsidR="009E4976" w:rsidRPr="00BB5519">
              <w:rPr>
                <w:rFonts w:cs="Tahoma"/>
                <w:szCs w:val="18"/>
                <w:lang w:val="de-DE"/>
              </w:rPr>
              <w:t xml:space="preserve"> </w:t>
            </w:r>
          </w:p>
          <w:p w:rsidR="0037504D" w:rsidRDefault="0037504D" w:rsidP="005C647E">
            <w:pPr>
              <w:rPr>
                <w:rFonts w:cs="Tahoma"/>
                <w:szCs w:val="18"/>
                <w:lang w:val="de-DE"/>
              </w:rPr>
            </w:pPr>
          </w:p>
          <w:p w:rsidR="0037504D" w:rsidRDefault="0037504D" w:rsidP="005C647E">
            <w:pPr>
              <w:rPr>
                <w:rFonts w:cs="Tahoma"/>
                <w:szCs w:val="18"/>
                <w:lang w:val="de-DE"/>
              </w:rPr>
            </w:pPr>
          </w:p>
          <w:p w:rsidR="0037504D" w:rsidRDefault="0037504D" w:rsidP="005C647E">
            <w:pPr>
              <w:rPr>
                <w:rFonts w:cs="Tahoma"/>
                <w:szCs w:val="18"/>
                <w:lang w:val="de-DE"/>
              </w:rPr>
            </w:pPr>
          </w:p>
          <w:p w:rsidR="00E85D10" w:rsidRDefault="00E85D10" w:rsidP="005C647E">
            <w:pPr>
              <w:rPr>
                <w:rFonts w:cs="Tahoma"/>
                <w:szCs w:val="18"/>
                <w:lang w:val="de-DE"/>
              </w:rPr>
            </w:pPr>
          </w:p>
          <w:p w:rsidR="00E85D10" w:rsidRDefault="00E85D10" w:rsidP="005C647E">
            <w:pPr>
              <w:rPr>
                <w:rFonts w:cs="Tahoma"/>
                <w:szCs w:val="18"/>
                <w:lang w:val="de-DE"/>
              </w:rPr>
            </w:pPr>
          </w:p>
          <w:p w:rsidR="0037504D" w:rsidRDefault="0037504D" w:rsidP="005C647E">
            <w:pPr>
              <w:rPr>
                <w:rFonts w:cs="Tahoma"/>
                <w:szCs w:val="18"/>
                <w:lang w:val="de-DE"/>
              </w:rPr>
            </w:pPr>
          </w:p>
          <w:p w:rsidR="0037504D" w:rsidRDefault="0037504D" w:rsidP="005C647E">
            <w:pPr>
              <w:rPr>
                <w:rFonts w:cs="Tahoma"/>
                <w:szCs w:val="18"/>
                <w:lang w:val="de-DE"/>
              </w:rPr>
            </w:pPr>
          </w:p>
          <w:p w:rsidR="0037504D" w:rsidRPr="00E1724F" w:rsidRDefault="0037504D" w:rsidP="005C647E">
            <w:pPr>
              <w:rPr>
                <w:rFonts w:cs="Tahoma"/>
                <w:sz w:val="12"/>
                <w:szCs w:val="12"/>
                <w:lang w:val="de-DE"/>
              </w:rPr>
            </w:pPr>
          </w:p>
          <w:tbl>
            <w:tblPr>
              <w:tblW w:w="0" w:type="auto"/>
              <w:jc w:val="center"/>
              <w:tblCellMar>
                <w:left w:w="0" w:type="dxa"/>
                <w:right w:w="0" w:type="dxa"/>
              </w:tblCellMar>
              <w:tblLook w:val="04A0" w:firstRow="1" w:lastRow="0" w:firstColumn="1" w:lastColumn="0" w:noHBand="0" w:noVBand="1"/>
            </w:tblPr>
            <w:tblGrid>
              <w:gridCol w:w="2710"/>
              <w:gridCol w:w="3204"/>
            </w:tblGrid>
            <w:tr w:rsidR="0037504D" w:rsidRPr="006F21F8" w:rsidTr="00BF451C">
              <w:trPr>
                <w:trHeight w:hRule="exact" w:val="81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7504D" w:rsidRPr="00F61178" w:rsidRDefault="0037504D" w:rsidP="00BF451C">
                  <w:pPr>
                    <w:jc w:val="center"/>
                    <w:rPr>
                      <w:rFonts w:cs="Tahoma"/>
                      <w:b/>
                      <w:sz w:val="20"/>
                      <w:szCs w:val="18"/>
                      <w:lang w:val="de-DE"/>
                    </w:rPr>
                  </w:pPr>
                  <w:r w:rsidRPr="00F61178">
                    <w:rPr>
                      <w:rFonts w:cs="Tahoma"/>
                      <w:b/>
                      <w:sz w:val="20"/>
                      <w:szCs w:val="18"/>
                      <w:lang w:val="de-DE"/>
                    </w:rPr>
                    <w:t>Select Plus-Preislevel –Commercial</w:t>
                  </w:r>
                </w:p>
              </w:tc>
              <w:tc>
                <w:tcPr>
                  <w:tcW w:w="320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7504D" w:rsidRPr="00F61178" w:rsidRDefault="0037504D" w:rsidP="00BF451C">
                  <w:pPr>
                    <w:jc w:val="center"/>
                    <w:rPr>
                      <w:rFonts w:cs="Tahoma"/>
                      <w:b/>
                      <w:sz w:val="20"/>
                      <w:szCs w:val="18"/>
                      <w:lang w:val="de-DE"/>
                    </w:rPr>
                  </w:pPr>
                  <w:r w:rsidRPr="00F61178">
                    <w:rPr>
                      <w:rFonts w:cs="Tahoma"/>
                      <w:b/>
                      <w:sz w:val="20"/>
                      <w:szCs w:val="18"/>
                      <w:lang w:val="de-DE"/>
                    </w:rPr>
                    <w:t>Jährliche Mindestpunktanzahl pro Pool</w:t>
                  </w:r>
                </w:p>
              </w:tc>
            </w:tr>
            <w:tr w:rsidR="0037504D" w:rsidRPr="006F21F8" w:rsidTr="00BF451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504D" w:rsidRPr="00F61178" w:rsidRDefault="0037504D" w:rsidP="00BF451C">
                  <w:pPr>
                    <w:jc w:val="center"/>
                    <w:rPr>
                      <w:rFonts w:cs="Tahoma"/>
                      <w:szCs w:val="18"/>
                      <w:lang w:val="de-DE"/>
                    </w:rPr>
                  </w:pPr>
                  <w:r w:rsidRPr="00F61178">
                    <w:rPr>
                      <w:rFonts w:cs="Tahoma"/>
                      <w:szCs w:val="18"/>
                      <w:lang w:val="de-DE"/>
                    </w:rPr>
                    <w:t>A</w:t>
                  </w:r>
                </w:p>
              </w:tc>
              <w:tc>
                <w:tcPr>
                  <w:tcW w:w="320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504D" w:rsidRPr="00F61178" w:rsidRDefault="0037504D" w:rsidP="00BF451C">
                  <w:pPr>
                    <w:jc w:val="center"/>
                    <w:rPr>
                      <w:rFonts w:cs="Tahoma"/>
                      <w:szCs w:val="18"/>
                      <w:lang w:val="de-DE"/>
                    </w:rPr>
                  </w:pPr>
                  <w:r w:rsidRPr="00F61178">
                    <w:rPr>
                      <w:rFonts w:cs="Tahoma"/>
                      <w:szCs w:val="18"/>
                      <w:lang w:val="de-DE"/>
                    </w:rPr>
                    <w:t>500</w:t>
                  </w:r>
                </w:p>
              </w:tc>
            </w:tr>
            <w:tr w:rsidR="0037504D" w:rsidRPr="006F21F8" w:rsidTr="00BF451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504D" w:rsidRPr="00F61178" w:rsidRDefault="0037504D" w:rsidP="00BF451C">
                  <w:pPr>
                    <w:jc w:val="center"/>
                    <w:rPr>
                      <w:rFonts w:cs="Tahoma"/>
                      <w:szCs w:val="18"/>
                      <w:lang w:val="de-DE"/>
                    </w:rPr>
                  </w:pPr>
                  <w:r w:rsidRPr="00F61178">
                    <w:rPr>
                      <w:rFonts w:cs="Tahoma"/>
                      <w:szCs w:val="18"/>
                      <w:lang w:val="de-DE"/>
                    </w:rPr>
                    <w:t>B</w:t>
                  </w:r>
                </w:p>
              </w:tc>
              <w:tc>
                <w:tcPr>
                  <w:tcW w:w="320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504D" w:rsidRPr="00F61178" w:rsidRDefault="0037504D" w:rsidP="000E3562">
                  <w:pPr>
                    <w:jc w:val="center"/>
                    <w:rPr>
                      <w:rFonts w:cs="Tahoma"/>
                      <w:szCs w:val="18"/>
                      <w:lang w:val="de-DE"/>
                    </w:rPr>
                  </w:pPr>
                  <w:r w:rsidRPr="00F61178">
                    <w:rPr>
                      <w:rFonts w:cs="Tahoma"/>
                      <w:szCs w:val="18"/>
                      <w:lang w:val="de-DE"/>
                    </w:rPr>
                    <w:t>4</w:t>
                  </w:r>
                  <w:r w:rsidR="000E3562">
                    <w:rPr>
                      <w:rFonts w:cs="Tahoma"/>
                      <w:szCs w:val="18"/>
                      <w:lang w:val="de-DE"/>
                    </w:rPr>
                    <w:t>.</w:t>
                  </w:r>
                  <w:r w:rsidRPr="00F61178">
                    <w:rPr>
                      <w:rFonts w:cs="Tahoma"/>
                      <w:szCs w:val="18"/>
                      <w:lang w:val="de-DE"/>
                    </w:rPr>
                    <w:t>000</w:t>
                  </w:r>
                </w:p>
              </w:tc>
            </w:tr>
            <w:tr w:rsidR="0037504D" w:rsidRPr="006F21F8" w:rsidTr="00BF451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504D" w:rsidRPr="00F61178" w:rsidRDefault="0037504D" w:rsidP="00BF451C">
                  <w:pPr>
                    <w:jc w:val="center"/>
                    <w:rPr>
                      <w:rFonts w:cs="Tahoma"/>
                      <w:szCs w:val="18"/>
                      <w:lang w:val="de-DE"/>
                    </w:rPr>
                  </w:pPr>
                  <w:r w:rsidRPr="00F61178">
                    <w:rPr>
                      <w:rFonts w:cs="Tahoma"/>
                      <w:szCs w:val="18"/>
                      <w:lang w:val="de-DE"/>
                    </w:rPr>
                    <w:t>C</w:t>
                  </w:r>
                </w:p>
              </w:tc>
              <w:tc>
                <w:tcPr>
                  <w:tcW w:w="320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504D" w:rsidRPr="00F61178" w:rsidRDefault="0037504D" w:rsidP="000E3562">
                  <w:pPr>
                    <w:jc w:val="center"/>
                    <w:rPr>
                      <w:rFonts w:cs="Tahoma"/>
                      <w:szCs w:val="18"/>
                      <w:lang w:val="de-DE"/>
                    </w:rPr>
                  </w:pPr>
                  <w:r w:rsidRPr="00F61178">
                    <w:rPr>
                      <w:rFonts w:cs="Tahoma"/>
                      <w:szCs w:val="18"/>
                      <w:lang w:val="de-DE"/>
                    </w:rPr>
                    <w:t>10</w:t>
                  </w:r>
                  <w:r w:rsidR="000E3562">
                    <w:rPr>
                      <w:rFonts w:cs="Tahoma"/>
                      <w:szCs w:val="18"/>
                      <w:lang w:val="de-DE"/>
                    </w:rPr>
                    <w:t>.</w:t>
                  </w:r>
                  <w:r w:rsidRPr="00F61178">
                    <w:rPr>
                      <w:rFonts w:cs="Tahoma"/>
                      <w:szCs w:val="18"/>
                      <w:lang w:val="de-DE"/>
                    </w:rPr>
                    <w:t>000</w:t>
                  </w:r>
                </w:p>
              </w:tc>
            </w:tr>
            <w:tr w:rsidR="0037504D" w:rsidRPr="006F21F8" w:rsidTr="00BF451C">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7504D" w:rsidRPr="00F61178" w:rsidRDefault="0037504D" w:rsidP="00BF451C">
                  <w:pPr>
                    <w:jc w:val="center"/>
                    <w:rPr>
                      <w:rFonts w:cs="Tahoma"/>
                      <w:szCs w:val="18"/>
                      <w:lang w:val="de-DE"/>
                    </w:rPr>
                  </w:pPr>
                  <w:r w:rsidRPr="00F61178">
                    <w:rPr>
                      <w:rFonts w:cs="Tahoma"/>
                      <w:szCs w:val="18"/>
                      <w:lang w:val="de-DE"/>
                    </w:rPr>
                    <w:t>D</w:t>
                  </w:r>
                </w:p>
              </w:tc>
              <w:tc>
                <w:tcPr>
                  <w:tcW w:w="320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7504D" w:rsidRPr="00F61178" w:rsidRDefault="0037504D" w:rsidP="000E3562">
                  <w:pPr>
                    <w:jc w:val="center"/>
                    <w:rPr>
                      <w:rFonts w:cs="Tahoma"/>
                      <w:szCs w:val="18"/>
                      <w:lang w:val="de-DE"/>
                    </w:rPr>
                  </w:pPr>
                  <w:r w:rsidRPr="00F61178">
                    <w:rPr>
                      <w:rFonts w:cs="Tahoma"/>
                      <w:szCs w:val="18"/>
                      <w:lang w:val="de-DE"/>
                    </w:rPr>
                    <w:t>25</w:t>
                  </w:r>
                  <w:r w:rsidR="000E3562">
                    <w:rPr>
                      <w:rFonts w:cs="Tahoma"/>
                      <w:szCs w:val="18"/>
                      <w:lang w:val="de-DE"/>
                    </w:rPr>
                    <w:t>.</w:t>
                  </w:r>
                  <w:r w:rsidRPr="00F61178">
                    <w:rPr>
                      <w:rFonts w:cs="Tahoma"/>
                      <w:szCs w:val="18"/>
                      <w:lang w:val="de-DE"/>
                    </w:rPr>
                    <w:t>000</w:t>
                  </w:r>
                </w:p>
              </w:tc>
            </w:tr>
          </w:tbl>
          <w:p w:rsidR="00456002" w:rsidRPr="00BB5519" w:rsidRDefault="005B6712" w:rsidP="00E1724F">
            <w:pPr>
              <w:pStyle w:val="AppendixBodyText"/>
              <w:spacing w:after="0"/>
              <w:ind w:left="432" w:right="468"/>
              <w:rPr>
                <w:lang w:val="de-DE"/>
              </w:rPr>
            </w:pPr>
            <w:r w:rsidRPr="00BB5519">
              <w:rPr>
                <w:rFonts w:ascii="Tahoma" w:hAnsi="Tahoma" w:cs="Times New Roman"/>
                <w:i/>
                <w:sz w:val="16"/>
                <w:lang w:val="de-DE"/>
              </w:rPr>
              <w:t>Anmerkung: Wenn der Kunde Punkte besitzt, die die Mindestpunktanzahl des Preislevels übersteigen, werden diese auf das nächste Jahr übertragen und bei der Einhaltungsprüfung für das Jahr berücksichtigt. Wenn der Kunde beispielsweise bei der jährlichen Einhaltungsprüfung 4.500 Punkte besitzt, werden 500 Punkte auf das nächste Jahr übertragen und bei der Einhaltung für das Jahr berücksichtigt.</w:t>
            </w:r>
          </w:p>
          <w:p w:rsidR="00230E01" w:rsidRPr="00BB5519" w:rsidRDefault="00230E01" w:rsidP="00230E01">
            <w:pPr>
              <w:pStyle w:val="AppendixBodyText"/>
              <w:spacing w:after="0"/>
              <w:ind w:left="605" w:right="720"/>
              <w:rPr>
                <w:rFonts w:ascii="Tahoma" w:hAnsi="Tahoma" w:cs="Tahoma"/>
                <w:color w:val="000000"/>
                <w:sz w:val="18"/>
                <w:szCs w:val="18"/>
                <w:lang w:val="de-DE" w:eastAsia="ja-JP"/>
              </w:rPr>
            </w:pPr>
          </w:p>
        </w:tc>
      </w:tr>
      <w:tr w:rsidR="00456002" w:rsidRPr="006F21F8" w:rsidTr="00F61178">
        <w:tc>
          <w:tcPr>
            <w:tcW w:w="2700" w:type="dxa"/>
            <w:shd w:val="clear" w:color="auto" w:fill="auto"/>
          </w:tcPr>
          <w:p w:rsidR="00456002" w:rsidRPr="00BB5519" w:rsidRDefault="00456002" w:rsidP="00A70464">
            <w:pPr>
              <w:pStyle w:val="AppendixBodyText"/>
              <w:spacing w:before="60"/>
              <w:ind w:right="720"/>
              <w:rPr>
                <w:rFonts w:ascii="Tahoma" w:hAnsi="Tahoma" w:cs="Tahoma"/>
                <w:b/>
                <w:color w:val="000000"/>
                <w:szCs w:val="18"/>
                <w:lang w:eastAsia="ja-JP"/>
              </w:rPr>
            </w:pPr>
            <w:r w:rsidRPr="00BB5519">
              <w:rPr>
                <w:rFonts w:ascii="Tahoma" w:hAnsi="Tahoma" w:cs="Tahoma"/>
                <w:b/>
                <w:color w:val="000000"/>
                <w:szCs w:val="18"/>
              </w:rPr>
              <w:lastRenderedPageBreak/>
              <w:t>School-Vertrag</w:t>
            </w:r>
          </w:p>
        </w:tc>
        <w:tc>
          <w:tcPr>
            <w:tcW w:w="6516" w:type="dxa"/>
            <w:shd w:val="clear" w:color="auto" w:fill="auto"/>
          </w:tcPr>
          <w:p w:rsidR="00456002" w:rsidRPr="00BB5519" w:rsidRDefault="00456002" w:rsidP="00F61178">
            <w:pPr>
              <w:pStyle w:val="AppendixBodyText"/>
              <w:spacing w:before="60"/>
              <w:ind w:right="341"/>
              <w:rPr>
                <w:lang w:val="de-DE"/>
              </w:rPr>
            </w:pPr>
            <w:r w:rsidRPr="00F61178">
              <w:rPr>
                <w:rFonts w:ascii="Tahoma" w:hAnsi="Tahoma" w:cs="Tahoma"/>
                <w:sz w:val="18"/>
                <w:lang w:val="de-DE"/>
              </w:rPr>
              <w:t xml:space="preserve">Für </w:t>
            </w:r>
            <w:r w:rsidRPr="00BB5519">
              <w:rPr>
                <w:rFonts w:ascii="Tahoma" w:hAnsi="Tahoma" w:cs="Tahoma"/>
                <w:sz w:val="18"/>
                <w:lang w:val="de-DE"/>
              </w:rPr>
              <w:t>den School-</w:t>
            </w:r>
            <w:r w:rsidRPr="000E3562">
              <w:rPr>
                <w:rFonts w:ascii="Tahoma" w:hAnsi="Tahoma" w:cs="Tahoma"/>
                <w:bCs/>
                <w:sz w:val="18"/>
                <w:lang w:val="de-DE"/>
              </w:rPr>
              <w:t xml:space="preserve"> </w:t>
            </w:r>
            <w:r w:rsidRPr="00BB5519">
              <w:rPr>
                <w:rFonts w:ascii="Tahoma" w:hAnsi="Tahoma" w:cs="Tahoma"/>
                <w:sz w:val="18"/>
                <w:lang w:val="de-DE"/>
              </w:rPr>
              <w:t>Vertrag ist eine Mindestbestellmenge von 300 Einheiten erforderlich.</w:t>
            </w:r>
            <w:r w:rsidR="009E4976" w:rsidRPr="00BB5519">
              <w:rPr>
                <w:rFonts w:ascii="Tahoma" w:hAnsi="Tahoma" w:cs="Tahoma"/>
                <w:sz w:val="18"/>
                <w:lang w:val="de-DE"/>
              </w:rPr>
              <w:t xml:space="preserve"> </w:t>
            </w:r>
            <w:r w:rsidRPr="00BB5519">
              <w:rPr>
                <w:rFonts w:ascii="Tahoma" w:hAnsi="Tahoma" w:cs="Tahoma"/>
                <w:sz w:val="18"/>
                <w:lang w:val="de-DE"/>
              </w:rPr>
              <w:t>Die Einheiten werden durch Multiplizieren der Gesamtzahl der ausgewählten Anwendungs-, System- und CAL-Produkte mit der Gesamtzahl der berechtigten PCs bzw. berechtigten FTE-Nutzer/Mitarbeiter bestimmt. Beachten Sie, dass die Mindestbestellanforderung nach geografischer Region variieren kann.</w:t>
            </w:r>
          </w:p>
          <w:p w:rsidR="00406CB0" w:rsidRPr="00BB5519" w:rsidRDefault="00406CB0" w:rsidP="00A70464">
            <w:pPr>
              <w:pStyle w:val="AppendixBodyText"/>
              <w:spacing w:after="0"/>
              <w:ind w:right="720"/>
              <w:rPr>
                <w:lang w:val="de-DE"/>
              </w:rPr>
            </w:pPr>
          </w:p>
          <w:p w:rsidR="00456002" w:rsidRPr="00BB5519" w:rsidRDefault="00456002" w:rsidP="00F61178">
            <w:pPr>
              <w:tabs>
                <w:tab w:val="left" w:pos="8640"/>
              </w:tabs>
              <w:ind w:right="161"/>
              <w:rPr>
                <w:lang w:val="de-DE"/>
              </w:rPr>
            </w:pPr>
            <w:r w:rsidRPr="00BB5519">
              <w:rPr>
                <w:rFonts w:cs="Tahoma"/>
                <w:b/>
                <w:bCs/>
                <w:color w:val="000000"/>
                <w:szCs w:val="20"/>
                <w:lang w:val="de-DE"/>
              </w:rPr>
              <w:t>Anmerkung:</w:t>
            </w:r>
            <w:r w:rsidRPr="00BB5519">
              <w:rPr>
                <w:rFonts w:cs="Tahoma"/>
                <w:color w:val="000000"/>
                <w:szCs w:val="20"/>
                <w:lang w:val="de-DE"/>
              </w:rPr>
              <w:t xml:space="preserve"> Kunden mit School-Vertrag sind nicht berechtigt, Anwendungs-, System-, Abonnementlizenz- (Nutzer/Gerät) und CAL-Produkte nur für einen Teil der im Abonnement enthaltenen PCs auszuwählen, </w:t>
            </w:r>
            <w:r w:rsidRPr="00BB5519">
              <w:rPr>
                <w:rFonts w:cs="Tahoma"/>
                <w:color w:val="000000"/>
                <w:szCs w:val="18"/>
                <w:lang w:val="de-DE"/>
              </w:rPr>
              <w:t>sofern dies nicht ausdrücklich in der Produktliste in den Hinweisen auf die Produktbedingungen angegeben ist</w:t>
            </w:r>
            <w:r w:rsidRPr="00BB5519">
              <w:rPr>
                <w:rFonts w:cs="Tahoma"/>
                <w:color w:val="000000"/>
                <w:szCs w:val="20"/>
                <w:lang w:val="de-DE"/>
              </w:rPr>
              <w:t>. Wenn beispielsweise das Abonnement für insgesamt 100 PCs gilt, gelten die ausgewählten Anwendungs-, System-, Abonnementlizenz- (Nutzer/Gerät) und CAL-Produkte für alle 100 PCs, selbst wenn ein bestimmtes Produkt nur auf einem Teil dieser PCs ausgeführt wird.</w:t>
            </w:r>
          </w:p>
          <w:p w:rsidR="00230E01" w:rsidRPr="00BB5519" w:rsidRDefault="00230E01" w:rsidP="00230E01">
            <w:pPr>
              <w:tabs>
                <w:tab w:val="left" w:pos="8640"/>
              </w:tabs>
              <w:ind w:right="720"/>
              <w:rPr>
                <w:rFonts w:cs="Tahoma"/>
                <w:color w:val="000000"/>
                <w:szCs w:val="20"/>
                <w:lang w:val="de-DE" w:eastAsia="ja-JP"/>
              </w:rPr>
            </w:pPr>
          </w:p>
        </w:tc>
      </w:tr>
      <w:tr w:rsidR="00456002" w:rsidRPr="006F21F8" w:rsidTr="00F61178">
        <w:tc>
          <w:tcPr>
            <w:tcW w:w="2700" w:type="dxa"/>
            <w:shd w:val="clear" w:color="auto" w:fill="auto"/>
          </w:tcPr>
          <w:p w:rsidR="00456002" w:rsidRPr="00BB5519" w:rsidRDefault="00456002" w:rsidP="00A70464">
            <w:pPr>
              <w:pStyle w:val="AppendixBodyText"/>
              <w:spacing w:before="60"/>
              <w:ind w:right="720"/>
              <w:rPr>
                <w:rFonts w:ascii="Tahoma" w:hAnsi="Tahoma" w:cs="Tahoma"/>
                <w:b/>
                <w:color w:val="000000"/>
                <w:sz w:val="18"/>
                <w:szCs w:val="18"/>
                <w:lang w:val="de-DE" w:eastAsia="ja-JP"/>
              </w:rPr>
            </w:pPr>
            <w:r w:rsidRPr="00BB5519">
              <w:rPr>
                <w:rFonts w:ascii="Tahoma" w:hAnsi="Tahoma" w:cs="Tahoma"/>
                <w:b/>
                <w:lang w:val="de-DE"/>
              </w:rPr>
              <w:t>Konzernvertrag und Konzern-Abonnement-Vertrag</w:t>
            </w:r>
          </w:p>
        </w:tc>
        <w:tc>
          <w:tcPr>
            <w:tcW w:w="6516" w:type="dxa"/>
            <w:shd w:val="clear" w:color="auto" w:fill="auto"/>
          </w:tcPr>
          <w:p w:rsidR="00456002" w:rsidRPr="00BB5519" w:rsidRDefault="00456002" w:rsidP="00A70464">
            <w:pPr>
              <w:spacing w:before="60"/>
              <w:rPr>
                <w:lang w:val="de-DE"/>
              </w:rPr>
            </w:pPr>
            <w:r w:rsidRPr="00BB5519">
              <w:rPr>
                <w:lang w:val="de-DE"/>
              </w:rPr>
              <w:t>Für den für Konzernvertrag (EA) und den Konzern-Abonnement-Vertrag (ESA) sind mindestens 250 Qualifizierte Geräte/Desktops oder Qualifizierte Nutzer erforderlich.</w:t>
            </w:r>
          </w:p>
          <w:p w:rsidR="00F61178" w:rsidRPr="00D15040" w:rsidRDefault="00F61178" w:rsidP="00F61178">
            <w:pPr>
              <w:rPr>
                <w:lang w:val="de-DE" w:eastAsia="ja-JP"/>
              </w:rPr>
            </w:pPr>
          </w:p>
          <w:p w:rsidR="0091793D" w:rsidRPr="00BB5519" w:rsidRDefault="0091793D" w:rsidP="004B6D8C">
            <w:pPr>
              <w:spacing w:after="60"/>
              <w:rPr>
                <w:lang w:val="de-DE"/>
              </w:rPr>
            </w:pPr>
            <w:r w:rsidRPr="00BB5519">
              <w:rPr>
                <w:b/>
                <w:lang w:val="de-DE"/>
              </w:rPr>
              <w:t>Qualifiziertes Gerät/Qualifizierter Desktop</w:t>
            </w:r>
          </w:p>
          <w:p w:rsidR="0091793D" w:rsidRPr="00BB5519" w:rsidRDefault="0091793D" w:rsidP="00003D41">
            <w:pPr>
              <w:rPr>
                <w:lang w:val="de-DE"/>
              </w:rPr>
            </w:pPr>
            <w:bookmarkStart w:id="675" w:name="_Toc323159729"/>
            <w:bookmarkStart w:id="676" w:name="_Toc325313134"/>
            <w:bookmarkStart w:id="677" w:name="_Toc325609169"/>
            <w:r w:rsidRPr="00BB5519">
              <w:rPr>
                <w:lang w:val="de-DE"/>
              </w:rPr>
              <w:t xml:space="preserve">Ungeachtet gegenteiliger Bestimmungen in Ihrem Volumenlizenzvertrag umfassen Qualifizierte Geräte/Desktops keine </w:t>
            </w:r>
            <w:r w:rsidRPr="00BB5519">
              <w:rPr>
                <w:iCs/>
                <w:lang w:val="de-DE"/>
              </w:rPr>
              <w:t>qualifizierenden Geräte Dritter,</w:t>
            </w:r>
            <w:r w:rsidRPr="00BB5519">
              <w:rPr>
                <w:lang w:val="de-DE"/>
              </w:rPr>
              <w:t xml:space="preserve"> von denen Ihre Nutzer unter Roaming-Nutzungsrechten ausschließlich für folgende Zwecke auf die Software zugreifen und sie nutzen:</w:t>
            </w:r>
            <w:bookmarkEnd w:id="675"/>
            <w:bookmarkEnd w:id="676"/>
            <w:bookmarkEnd w:id="677"/>
          </w:p>
          <w:p w:rsidR="00F61178" w:rsidRPr="00D15040" w:rsidRDefault="00F61178" w:rsidP="00F61178">
            <w:pPr>
              <w:rPr>
                <w:lang w:val="de-DE"/>
              </w:rPr>
            </w:pPr>
          </w:p>
          <w:p w:rsidR="00406CB0" w:rsidRPr="00BB5519" w:rsidRDefault="00456002" w:rsidP="00003D41">
            <w:pPr>
              <w:numPr>
                <w:ilvl w:val="0"/>
                <w:numId w:val="82"/>
              </w:numPr>
              <w:spacing w:after="60"/>
            </w:pPr>
            <w:r w:rsidRPr="00BB5519">
              <w:t xml:space="preserve">Windows Software Assurance, </w:t>
            </w:r>
          </w:p>
          <w:p w:rsidR="00456002" w:rsidRPr="00BB5519" w:rsidRDefault="00456002" w:rsidP="002C1048">
            <w:pPr>
              <w:numPr>
                <w:ilvl w:val="0"/>
                <w:numId w:val="82"/>
              </w:numPr>
              <w:spacing w:after="60"/>
            </w:pPr>
            <w:r w:rsidRPr="00BB5519">
              <w:t xml:space="preserve">Windows Virtual Desktop Access, </w:t>
            </w:r>
          </w:p>
          <w:p w:rsidR="00456002" w:rsidRPr="00BB5519" w:rsidRDefault="00456002" w:rsidP="002C1048">
            <w:pPr>
              <w:numPr>
                <w:ilvl w:val="0"/>
                <w:numId w:val="82"/>
              </w:numPr>
              <w:spacing w:after="60"/>
            </w:pPr>
            <w:r w:rsidRPr="00BB5519">
              <w:t xml:space="preserve">Virtual Desktop Infrastructure Suites, </w:t>
            </w:r>
          </w:p>
          <w:p w:rsidR="00456002" w:rsidRPr="00BB5519" w:rsidRDefault="00456002" w:rsidP="002C1048">
            <w:pPr>
              <w:numPr>
                <w:ilvl w:val="0"/>
                <w:numId w:val="82"/>
              </w:numPr>
              <w:spacing w:after="60"/>
            </w:pPr>
            <w:r w:rsidRPr="00BB5519">
              <w:t xml:space="preserve">MDOP für Software Assurance und </w:t>
            </w:r>
          </w:p>
          <w:p w:rsidR="00456002" w:rsidRPr="00BB5519" w:rsidRDefault="00456002" w:rsidP="002C1048">
            <w:pPr>
              <w:numPr>
                <w:ilvl w:val="0"/>
                <w:numId w:val="82"/>
              </w:numPr>
              <w:spacing w:after="60"/>
              <w:rPr>
                <w:lang w:val="de-DE"/>
              </w:rPr>
            </w:pPr>
            <w:r w:rsidRPr="00BB5519">
              <w:rPr>
                <w:lang w:val="de-DE"/>
              </w:rPr>
              <w:t>Software Assurance für alle Editionen von Office, Project und Visio einschließlich Roaming-Nutzungsrechten.</w:t>
            </w:r>
            <w:r w:rsidR="009E4976" w:rsidRPr="00BB5519">
              <w:rPr>
                <w:lang w:val="de-DE"/>
              </w:rPr>
              <w:t xml:space="preserve"> </w:t>
            </w:r>
          </w:p>
          <w:p w:rsidR="00F61178" w:rsidRDefault="00F61178" w:rsidP="00F61178">
            <w:pPr>
              <w:rPr>
                <w:rFonts w:cs="Calibri"/>
                <w:lang w:val="de-DE"/>
              </w:rPr>
            </w:pPr>
          </w:p>
          <w:p w:rsidR="00E1724F" w:rsidRDefault="00E1724F" w:rsidP="00F61178">
            <w:pPr>
              <w:rPr>
                <w:rFonts w:cs="Calibri"/>
                <w:lang w:val="de-DE"/>
              </w:rPr>
            </w:pPr>
          </w:p>
          <w:p w:rsidR="00E1724F" w:rsidRPr="00D15040" w:rsidRDefault="00E1724F" w:rsidP="00F61178">
            <w:pPr>
              <w:rPr>
                <w:rFonts w:cs="Calibri"/>
                <w:lang w:val="de-DE"/>
              </w:rPr>
            </w:pPr>
          </w:p>
          <w:p w:rsidR="00456002" w:rsidRPr="00BB5519" w:rsidRDefault="00456002" w:rsidP="00F61178">
            <w:pPr>
              <w:keepNext/>
              <w:keepLines/>
              <w:rPr>
                <w:lang w:val="de-DE"/>
              </w:rPr>
            </w:pPr>
            <w:bookmarkStart w:id="678" w:name="_Toc323159730"/>
            <w:bookmarkStart w:id="679" w:name="_Toc325313135"/>
            <w:bookmarkStart w:id="680" w:name="_Toc325609170"/>
            <w:r w:rsidRPr="00BB5519">
              <w:rPr>
                <w:lang w:val="de-DE"/>
              </w:rPr>
              <w:lastRenderedPageBreak/>
              <w:t>Ein „qualifizierendes Gerät Dritter“ ist ein Gerät, das weder direkt noch indirekt von Ihnen oder Ihren verbundenen Unternehmen kontrolliert wird (z. B., ein öffentlicher Kiosk eines Dritten). Weitere Informationen finden Sie in den Produktbenutzungsrechten.</w:t>
            </w:r>
            <w:bookmarkEnd w:id="678"/>
            <w:bookmarkEnd w:id="679"/>
            <w:bookmarkEnd w:id="680"/>
          </w:p>
          <w:p w:rsidR="00F61178" w:rsidRPr="00D15040" w:rsidRDefault="00F61178" w:rsidP="00F61178">
            <w:pPr>
              <w:pStyle w:val="Heading3"/>
              <w:ind w:left="70"/>
              <w:rPr>
                <w:rFonts w:ascii="Tahoma" w:hAnsi="Tahoma" w:cs="Tahoma"/>
                <w:b w:val="0"/>
                <w:sz w:val="18"/>
                <w:szCs w:val="22"/>
                <w:lang w:val="de-DE" w:eastAsia="ja-JP"/>
              </w:rPr>
            </w:pPr>
          </w:p>
          <w:p w:rsidR="0091793D" w:rsidRPr="00BB5519" w:rsidRDefault="0091793D" w:rsidP="004B6D8C">
            <w:pPr>
              <w:spacing w:after="60"/>
              <w:rPr>
                <w:lang w:val="de-DE"/>
              </w:rPr>
            </w:pPr>
            <w:r w:rsidRPr="00BB5519">
              <w:rPr>
                <w:b/>
                <w:lang w:val="de-DE"/>
              </w:rPr>
              <w:t xml:space="preserve">Ausnahmen Qualifizierter Nutzer </w:t>
            </w:r>
          </w:p>
          <w:p w:rsidR="00456002" w:rsidRPr="00BB5519" w:rsidRDefault="00456002" w:rsidP="004B6D8C">
            <w:pPr>
              <w:pStyle w:val="AppendixBodyText"/>
              <w:ind w:right="720"/>
              <w:rPr>
                <w:lang w:val="de-DE"/>
              </w:rPr>
            </w:pPr>
            <w:r w:rsidRPr="00BB5519">
              <w:rPr>
                <w:rFonts w:ascii="Tahoma" w:hAnsi="Tahoma" w:cs="Tahoma"/>
                <w:sz w:val="18"/>
                <w:lang w:val="de-DE"/>
              </w:rPr>
              <w:t>Eine Person, die ausschließlich unter den in der folgenden Liste aufgeführten Lizenzen auf Serversoftware oder Onlinedienste zugreift, ist davon ausgenommen, als Qualifizierter Nutzer gezählt zu werden:</w:t>
            </w:r>
          </w:p>
          <w:p w:rsidR="00F61178" w:rsidRPr="00D15040" w:rsidRDefault="00F61178" w:rsidP="00F61178">
            <w:pPr>
              <w:pStyle w:val="AppendixBodyText"/>
              <w:spacing w:after="0"/>
              <w:ind w:right="720"/>
              <w:rPr>
                <w:rFonts w:ascii="Tahoma" w:hAnsi="Tahoma" w:cs="Tahoma"/>
                <w:sz w:val="18"/>
                <w:lang w:val="de-DE"/>
              </w:rPr>
            </w:pPr>
          </w:p>
          <w:p w:rsidR="00456002" w:rsidRPr="00BB5519" w:rsidRDefault="00456002" w:rsidP="004B6D8C">
            <w:pPr>
              <w:numPr>
                <w:ilvl w:val="0"/>
                <w:numId w:val="82"/>
              </w:numPr>
              <w:spacing w:after="60"/>
              <w:rPr>
                <w:lang w:val="de-DE"/>
              </w:rPr>
            </w:pPr>
            <w:r w:rsidRPr="00BB5519">
              <w:rPr>
                <w:lang w:val="de-DE"/>
              </w:rPr>
              <w:t>Nutzer-Abonnementlizenz (Nutzer-AL) für Office 365 Enterprise K1 oder K2</w:t>
            </w:r>
          </w:p>
          <w:p w:rsidR="00456002" w:rsidRPr="00BB5519" w:rsidRDefault="00456002" w:rsidP="004B6D8C">
            <w:pPr>
              <w:numPr>
                <w:ilvl w:val="0"/>
                <w:numId w:val="82"/>
              </w:numPr>
              <w:spacing w:after="60"/>
              <w:rPr>
                <w:lang w:val="de-DE"/>
              </w:rPr>
            </w:pPr>
            <w:r w:rsidRPr="00BB5519">
              <w:rPr>
                <w:lang w:val="de-DE"/>
              </w:rPr>
              <w:t>Nutzer-AL für SharePoint Online Kiosk</w:t>
            </w:r>
          </w:p>
          <w:p w:rsidR="00456002" w:rsidRPr="00BB5519" w:rsidRDefault="00456002" w:rsidP="004B6D8C">
            <w:pPr>
              <w:numPr>
                <w:ilvl w:val="0"/>
                <w:numId w:val="82"/>
              </w:numPr>
              <w:spacing w:after="60"/>
              <w:rPr>
                <w:lang w:val="de-DE"/>
              </w:rPr>
            </w:pPr>
            <w:r w:rsidRPr="00BB5519">
              <w:rPr>
                <w:lang w:val="de-DE"/>
              </w:rPr>
              <w:t>Nutzer-AL für Exchange Online Kiosk</w:t>
            </w:r>
          </w:p>
          <w:p w:rsidR="00456002" w:rsidRPr="00BB5519" w:rsidRDefault="00456002" w:rsidP="004B6D8C">
            <w:pPr>
              <w:numPr>
                <w:ilvl w:val="0"/>
                <w:numId w:val="82"/>
              </w:numPr>
              <w:spacing w:after="60"/>
              <w:rPr>
                <w:lang w:val="de-DE"/>
              </w:rPr>
            </w:pPr>
            <w:r w:rsidRPr="00BB5519">
              <w:rPr>
                <w:lang w:val="de-DE"/>
              </w:rPr>
              <w:t>Lizenzen für Server-Softwareprodukte oder Onlinedienste, die keine einzelnen Lizenzen für Nutzer oder Geräte, die auf diese Produkte bzw. Onlinedienste zugreifen, erfordern (wie Client-Zugriffslizenzen, Client-Management-Lizenzen, Nutzer-ALs und Geräte-ALs)</w:t>
            </w:r>
          </w:p>
          <w:p w:rsidR="00456002" w:rsidRPr="00BB5519" w:rsidRDefault="00456002" w:rsidP="004B6D8C">
            <w:pPr>
              <w:numPr>
                <w:ilvl w:val="0"/>
                <w:numId w:val="82"/>
              </w:numPr>
              <w:spacing w:after="60"/>
            </w:pPr>
            <w:r w:rsidRPr="00BB5519">
              <w:t>Alle Externer Connector-Lizenzen</w:t>
            </w:r>
          </w:p>
          <w:p w:rsidR="00F61178" w:rsidRPr="004B6D8C" w:rsidRDefault="00F61178" w:rsidP="00F61178">
            <w:pPr>
              <w:pStyle w:val="AppendixBodyText"/>
              <w:spacing w:after="0"/>
              <w:ind w:right="720"/>
              <w:rPr>
                <w:rFonts w:ascii="Tahoma" w:hAnsi="Tahoma" w:cs="Tahoma"/>
                <w:sz w:val="18"/>
              </w:rPr>
            </w:pPr>
          </w:p>
          <w:p w:rsidR="00456002" w:rsidRPr="00BB5519" w:rsidRDefault="00456002" w:rsidP="00230E01">
            <w:pPr>
              <w:pStyle w:val="AppendixBodyText"/>
              <w:spacing w:after="0"/>
              <w:ind w:right="720"/>
              <w:rPr>
                <w:lang w:val="de-DE"/>
              </w:rPr>
            </w:pPr>
            <w:r w:rsidRPr="00BB5519">
              <w:rPr>
                <w:rFonts w:ascii="Tahoma" w:hAnsi="Tahoma" w:cs="Tahoma"/>
                <w:sz w:val="18"/>
                <w:lang w:val="de-DE"/>
              </w:rPr>
              <w:t>Diese Ausnahmen Qualifizierter Nutzer gelten für alle Kunden mit Konzernvertrag und Konzern-Abonnement-Vertrag, unabhängig davon, ob Ausnahmen Qualifizierter Nutzer in den Bestimmungen der Verträge der Kunden ausdrücklich vorgesehen sind.</w:t>
            </w:r>
          </w:p>
          <w:p w:rsidR="00230E01" w:rsidRPr="00BB5519" w:rsidRDefault="00230E01" w:rsidP="00230E01">
            <w:pPr>
              <w:pStyle w:val="AppendixBodyText"/>
              <w:spacing w:after="0"/>
              <w:ind w:right="720"/>
              <w:rPr>
                <w:rFonts w:ascii="Tahoma" w:hAnsi="Tahoma" w:cs="Tahoma"/>
                <w:sz w:val="18"/>
                <w:lang w:val="de-DE" w:eastAsia="ja-JP"/>
              </w:rPr>
            </w:pPr>
          </w:p>
        </w:tc>
      </w:tr>
      <w:tr w:rsidR="00456002" w:rsidRPr="006F21F8" w:rsidTr="00F61178">
        <w:tc>
          <w:tcPr>
            <w:tcW w:w="2700" w:type="dxa"/>
            <w:shd w:val="clear" w:color="auto" w:fill="auto"/>
          </w:tcPr>
          <w:p w:rsidR="00456002" w:rsidRPr="00BB5519" w:rsidRDefault="00456002" w:rsidP="00A70464">
            <w:pPr>
              <w:pStyle w:val="AppendixBodyText"/>
              <w:spacing w:before="60"/>
              <w:ind w:right="720"/>
              <w:rPr>
                <w:rFonts w:ascii="Tahoma" w:hAnsi="Tahoma" w:cs="Tahoma"/>
                <w:b/>
                <w:lang w:eastAsia="ja-JP"/>
              </w:rPr>
            </w:pPr>
            <w:r w:rsidRPr="00BB5519">
              <w:rPr>
                <w:rFonts w:ascii="Tahoma" w:hAnsi="Tahoma" w:cs="Tahoma"/>
                <w:b/>
                <w:color w:val="000000"/>
                <w:szCs w:val="18"/>
              </w:rPr>
              <w:lastRenderedPageBreak/>
              <w:t>EES</w:t>
            </w:r>
          </w:p>
        </w:tc>
        <w:tc>
          <w:tcPr>
            <w:tcW w:w="6516" w:type="dxa"/>
            <w:shd w:val="clear" w:color="auto" w:fill="auto"/>
          </w:tcPr>
          <w:p w:rsidR="00456002" w:rsidRPr="00BB5519" w:rsidRDefault="00456002" w:rsidP="00A70464">
            <w:pPr>
              <w:pStyle w:val="ListParagraph"/>
              <w:spacing w:before="60"/>
              <w:ind w:left="0"/>
              <w:contextualSpacing w:val="0"/>
              <w:rPr>
                <w:lang w:val="de-DE"/>
              </w:rPr>
            </w:pPr>
            <w:r w:rsidRPr="00BB5519">
              <w:rPr>
                <w:rFonts w:ascii="Tahoma" w:hAnsi="Tahoma" w:cs="Tahoma"/>
                <w:sz w:val="18"/>
                <w:szCs w:val="18"/>
                <w:lang w:val="de-DE"/>
              </w:rPr>
              <w:t>Für EES ist eine Mindestbestellung erforderlich, die eines der folgenden Kriterien erfüllt:</w:t>
            </w:r>
            <w:r w:rsidR="009E4976" w:rsidRPr="00BB5519">
              <w:rPr>
                <w:rFonts w:ascii="Tahoma" w:hAnsi="Tahoma" w:cs="Tahoma"/>
                <w:sz w:val="18"/>
                <w:szCs w:val="18"/>
                <w:lang w:val="de-DE"/>
              </w:rPr>
              <w:t xml:space="preserve"> </w:t>
            </w:r>
          </w:p>
          <w:p w:rsidR="00406CB0" w:rsidRPr="00BB5519" w:rsidRDefault="00406CB0" w:rsidP="00A70464">
            <w:pPr>
              <w:pStyle w:val="ListParagraph"/>
              <w:ind w:left="0"/>
              <w:contextualSpacing w:val="0"/>
              <w:rPr>
                <w:lang w:val="de-DE"/>
              </w:rPr>
            </w:pPr>
          </w:p>
          <w:p w:rsidR="00456002" w:rsidRPr="00BB5519" w:rsidRDefault="00456002" w:rsidP="004B6D8C">
            <w:pPr>
              <w:numPr>
                <w:ilvl w:val="0"/>
                <w:numId w:val="82"/>
              </w:numPr>
              <w:spacing w:after="60"/>
              <w:rPr>
                <w:lang w:val="de-DE"/>
              </w:rPr>
            </w:pPr>
            <w:r w:rsidRPr="00BB5519">
              <w:rPr>
                <w:lang w:val="de-DE"/>
              </w:rPr>
              <w:t>mindestens ein Desktop-Plattformprodukt für eine Organisationsweite Anzahl von mindestens 1000 ODER</w:t>
            </w:r>
          </w:p>
          <w:p w:rsidR="00456002" w:rsidRPr="00BB5519" w:rsidRDefault="00456002" w:rsidP="004B6D8C">
            <w:pPr>
              <w:numPr>
                <w:ilvl w:val="0"/>
                <w:numId w:val="82"/>
              </w:numPr>
              <w:spacing w:after="60"/>
              <w:rPr>
                <w:lang w:val="de-DE"/>
              </w:rPr>
            </w:pPr>
            <w:r w:rsidRPr="00BB5519">
              <w:rPr>
                <w:lang w:val="de-DE"/>
              </w:rPr>
              <w:t>mindestens ein Plattform-Onlinedienst für Wissenschaftliche/Sonstige Mitarbeiter in einer Menge von 1000 ODER</w:t>
            </w:r>
          </w:p>
          <w:p w:rsidR="00456002" w:rsidRPr="00BB5519" w:rsidRDefault="00456002" w:rsidP="004B6D8C">
            <w:pPr>
              <w:numPr>
                <w:ilvl w:val="0"/>
                <w:numId w:val="82"/>
              </w:numPr>
              <w:spacing w:after="60"/>
              <w:rPr>
                <w:lang w:val="de-DE"/>
              </w:rPr>
            </w:pPr>
            <w:r w:rsidRPr="00BB5519">
              <w:rPr>
                <w:lang w:val="de-DE"/>
              </w:rPr>
              <w:t>mindestens ein Desktop-Plattformprodukt für eine Studentenanzahl von mindestens 1000 ODER</w:t>
            </w:r>
          </w:p>
          <w:p w:rsidR="00456002" w:rsidRPr="00BB5519" w:rsidRDefault="00456002" w:rsidP="004B6D8C">
            <w:pPr>
              <w:numPr>
                <w:ilvl w:val="0"/>
                <w:numId w:val="82"/>
              </w:numPr>
              <w:spacing w:after="60"/>
              <w:rPr>
                <w:lang w:val="de-DE"/>
              </w:rPr>
            </w:pPr>
            <w:r w:rsidRPr="00BB5519">
              <w:rPr>
                <w:lang w:val="de-DE"/>
              </w:rPr>
              <w:t xml:space="preserve">mindestens ein Plattform-Onlinedienst für Studenten in einer Menge von 1000 </w:t>
            </w:r>
          </w:p>
          <w:p w:rsidR="00456002" w:rsidRPr="00BB5519" w:rsidRDefault="00456002" w:rsidP="00A70464">
            <w:pPr>
              <w:rPr>
                <w:lang w:val="de-DE"/>
              </w:rPr>
            </w:pPr>
          </w:p>
          <w:p w:rsidR="00A9013C" w:rsidRPr="00BB5519" w:rsidRDefault="00456002" w:rsidP="005C647E">
            <w:pPr>
              <w:rPr>
                <w:lang w:val="de-DE"/>
              </w:rPr>
            </w:pPr>
            <w:r w:rsidRPr="00BB5519">
              <w:rPr>
                <w:rFonts w:cs="Tahoma"/>
                <w:b/>
                <w:color w:val="000000"/>
                <w:szCs w:val="18"/>
                <w:lang w:val="de-DE"/>
              </w:rPr>
              <w:t>Anmerkung:</w:t>
            </w:r>
            <w:r w:rsidRPr="00BB5519">
              <w:rPr>
                <w:rFonts w:cs="Tahoma"/>
                <w:color w:val="000000"/>
                <w:szCs w:val="18"/>
                <w:lang w:val="de-DE"/>
              </w:rPr>
              <w:t xml:space="preserve"> Wenn ein qualifizierender Beitritt bereitgestellt wird, kann auf diese Mindestbestellmenge verzichtet werden.</w:t>
            </w:r>
          </w:p>
          <w:p w:rsidR="00406CB0" w:rsidRPr="00BB5519" w:rsidRDefault="00406CB0" w:rsidP="005C647E">
            <w:pPr>
              <w:rPr>
                <w:lang w:val="de-DE"/>
              </w:rPr>
            </w:pPr>
          </w:p>
          <w:p w:rsidR="00822871" w:rsidRPr="00BB5519" w:rsidRDefault="00A9013C" w:rsidP="00F61178">
            <w:pPr>
              <w:rPr>
                <w:lang w:val="de-DE"/>
              </w:rPr>
            </w:pPr>
            <w:r w:rsidRPr="00BB5519">
              <w:rPr>
                <w:rFonts w:cs="Tahoma"/>
                <w:b/>
                <w:color w:val="000000"/>
                <w:szCs w:val="18"/>
                <w:lang w:val="de-DE"/>
              </w:rPr>
              <w:t>Anmerkung:</w:t>
            </w:r>
            <w:r w:rsidRPr="00F61178">
              <w:rPr>
                <w:rFonts w:cs="Tahoma"/>
                <w:bCs/>
                <w:color w:val="000000"/>
                <w:szCs w:val="18"/>
                <w:lang w:val="de-DE"/>
              </w:rPr>
              <w:t xml:space="preserve"> </w:t>
            </w:r>
            <w:r w:rsidRPr="00BB5519">
              <w:rPr>
                <w:rFonts w:cs="Tahoma"/>
                <w:color w:val="000000"/>
                <w:szCs w:val="18"/>
                <w:lang w:val="de-DE"/>
              </w:rPr>
              <w:t>CALs (Client Access Licenses, Client-Zugriffslizenzen), die</w:t>
            </w:r>
            <w:r w:rsidR="00F61178">
              <w:rPr>
                <w:rFonts w:cs="Tahoma"/>
                <w:color w:val="000000"/>
                <w:szCs w:val="18"/>
                <w:lang w:val="de-DE"/>
              </w:rPr>
              <w:t> </w:t>
            </w:r>
            <w:r w:rsidRPr="00BB5519">
              <w:rPr>
                <w:rFonts w:cs="Tahoma"/>
                <w:color w:val="000000"/>
                <w:szCs w:val="18"/>
                <w:lang w:val="de-DE"/>
              </w:rPr>
              <w:t>im</w:t>
            </w:r>
            <w:r w:rsidR="00F61178">
              <w:rPr>
                <w:rFonts w:cs="Tahoma"/>
                <w:color w:val="000000"/>
                <w:szCs w:val="18"/>
                <w:lang w:val="de-DE"/>
              </w:rPr>
              <w:t> </w:t>
            </w:r>
            <w:r w:rsidRPr="00BB5519">
              <w:rPr>
                <w:rFonts w:cs="Tahoma"/>
                <w:color w:val="000000"/>
                <w:szCs w:val="18"/>
                <w:lang w:val="de-DE"/>
              </w:rPr>
              <w:t>Rahmen des Beitritts für Bildungslösungen (EES) auf nicht unternehmensweiser Basis erworben wurden, können nach Ermessen der Einrichtung als Geräte-CALs oder als Nutzer-CALs zugewiesen und genutzt werden.</w:t>
            </w:r>
            <w:r w:rsidR="009E4976" w:rsidRPr="00BB5519">
              <w:rPr>
                <w:rFonts w:cs="Tahoma"/>
                <w:color w:val="000000"/>
                <w:szCs w:val="18"/>
                <w:lang w:val="de-DE"/>
              </w:rPr>
              <w:t xml:space="preserve"> </w:t>
            </w:r>
            <w:r w:rsidRPr="00BB5519">
              <w:rPr>
                <w:rFonts w:cs="Tahoma"/>
                <w:color w:val="000000"/>
                <w:szCs w:val="18"/>
                <w:lang w:val="de-DE"/>
              </w:rPr>
              <w:t>Nutzer-CALs können nicht als Geräte-CALs neu zugewiesen werden, und Geräte-CALs können nicht als Nutzer-CALs neu zugewiesen werden, wobei die folgende Ausnahme gilt:</w:t>
            </w:r>
            <w:r w:rsidR="009E4976" w:rsidRPr="00BB5519">
              <w:rPr>
                <w:rFonts w:cs="Tahoma"/>
                <w:color w:val="000000"/>
                <w:szCs w:val="18"/>
                <w:lang w:val="de-DE"/>
              </w:rPr>
              <w:t xml:space="preserve"> </w:t>
            </w:r>
            <w:r w:rsidRPr="00BB5519">
              <w:rPr>
                <w:rFonts w:cs="Tahoma"/>
                <w:color w:val="000000"/>
                <w:szCs w:val="18"/>
                <w:lang w:val="de-DE"/>
              </w:rPr>
              <w:t>Jede CAL, die auf nicht Organisationsweiter Basis bestellt wurde, kann entweder als Geräte-CAL oder als Nutzer-CAL neu zugewiesen und genutzt werden, wenn das Abonnement in einem neuen Vertrag verlängert wird.</w:t>
            </w:r>
          </w:p>
          <w:p w:rsidR="00230E01" w:rsidRPr="00BB5519" w:rsidRDefault="00230E01" w:rsidP="00230E01">
            <w:pPr>
              <w:rPr>
                <w:rFonts w:cs="Tahoma"/>
                <w:color w:val="000000"/>
                <w:szCs w:val="18"/>
                <w:lang w:val="de-DE"/>
              </w:rPr>
            </w:pPr>
          </w:p>
        </w:tc>
      </w:tr>
    </w:tbl>
    <w:p w:rsidR="00366502" w:rsidRPr="00BB5519" w:rsidRDefault="00366502" w:rsidP="00456002">
      <w:pPr>
        <w:pStyle w:val="Heading3"/>
        <w:ind w:right="720"/>
        <w:rPr>
          <w:lang w:val="de-DE"/>
        </w:rPr>
      </w:pPr>
      <w:bookmarkStart w:id="681" w:name="_Toc323159731"/>
      <w:bookmarkStart w:id="682" w:name="_Toc325609171"/>
      <w:bookmarkStart w:id="683" w:name="_Toc336338192"/>
    </w:p>
    <w:p w:rsidR="00456002" w:rsidRPr="0047754D" w:rsidRDefault="00456002" w:rsidP="000E3562">
      <w:pPr>
        <w:pStyle w:val="Heading3"/>
        <w:keepNext/>
        <w:keepLines/>
        <w:ind w:right="720"/>
        <w:rPr>
          <w:rFonts w:ascii="Tahoma" w:hAnsi="Tahoma" w:cs="Tahoma"/>
          <w:sz w:val="24"/>
          <w:szCs w:val="22"/>
        </w:rPr>
      </w:pPr>
      <w:bookmarkStart w:id="684" w:name="_Toc354054886"/>
      <w:r w:rsidRPr="0047754D">
        <w:rPr>
          <w:rFonts w:ascii="Tahoma" w:hAnsi="Tahoma" w:cs="Tahoma"/>
          <w:sz w:val="24"/>
          <w:szCs w:val="22"/>
        </w:rPr>
        <w:lastRenderedPageBreak/>
        <w:t>Plattformen</w:t>
      </w:r>
      <w:bookmarkEnd w:id="681"/>
      <w:bookmarkEnd w:id="682"/>
      <w:bookmarkEnd w:id="683"/>
      <w:bookmarkEnd w:id="684"/>
    </w:p>
    <w:p w:rsidR="00456002" w:rsidRPr="00BB5519" w:rsidRDefault="00456002" w:rsidP="000E3562">
      <w:pPr>
        <w:keepNext/>
        <w:keepLines/>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BB5519" w:rsidTr="00E72B9D">
        <w:tc>
          <w:tcPr>
            <w:tcW w:w="1890" w:type="dxa"/>
            <w:shd w:val="clear" w:color="auto" w:fill="FABF8F"/>
          </w:tcPr>
          <w:p w:rsidR="00456002" w:rsidRPr="00BB5519" w:rsidRDefault="00456002" w:rsidP="000E3562">
            <w:pPr>
              <w:keepNext/>
              <w:keepLines/>
              <w:rPr>
                <w:b/>
                <w:sz w:val="22"/>
                <w:lang w:eastAsia="ja-JP"/>
              </w:rPr>
            </w:pPr>
            <w:r w:rsidRPr="00BB5519">
              <w:rPr>
                <w:b/>
                <w:sz w:val="22"/>
              </w:rPr>
              <w:t>Programme</w:t>
            </w:r>
          </w:p>
        </w:tc>
        <w:tc>
          <w:tcPr>
            <w:tcW w:w="7308" w:type="dxa"/>
            <w:shd w:val="clear" w:color="auto" w:fill="FABF8F"/>
          </w:tcPr>
          <w:p w:rsidR="00456002" w:rsidRPr="00BB5519" w:rsidRDefault="00456002" w:rsidP="000E3562">
            <w:pPr>
              <w:keepNext/>
              <w:keepLines/>
              <w:jc w:val="center"/>
              <w:rPr>
                <w:b/>
                <w:sz w:val="22"/>
                <w:lang w:eastAsia="ja-JP"/>
              </w:rPr>
            </w:pPr>
            <w:r w:rsidRPr="00BB5519">
              <w:rPr>
                <w:b/>
                <w:sz w:val="22"/>
              </w:rPr>
              <w:t>Plattformen</w:t>
            </w:r>
          </w:p>
        </w:tc>
      </w:tr>
      <w:tr w:rsidR="00456002" w:rsidRPr="006F21F8" w:rsidTr="00E72B9D">
        <w:tc>
          <w:tcPr>
            <w:tcW w:w="1890" w:type="dxa"/>
            <w:shd w:val="clear" w:color="auto" w:fill="auto"/>
          </w:tcPr>
          <w:p w:rsidR="00456002" w:rsidRPr="00BB5519" w:rsidRDefault="00DD367D" w:rsidP="000E3562">
            <w:pPr>
              <w:keepNext/>
              <w:keepLines/>
              <w:spacing w:before="60"/>
              <w:rPr>
                <w:b/>
                <w:lang w:val="de-DE" w:eastAsia="ja-JP"/>
              </w:rPr>
            </w:pPr>
            <w:r w:rsidRPr="00BB5519">
              <w:rPr>
                <w:rFonts w:cs="Tahoma"/>
                <w:b/>
                <w:lang w:val="de-DE"/>
              </w:rPr>
              <w:t>Konzernvertrag und Konzern-Abonnement-Vertrag</w:t>
            </w:r>
          </w:p>
        </w:tc>
        <w:tc>
          <w:tcPr>
            <w:tcW w:w="7308" w:type="dxa"/>
            <w:shd w:val="clear" w:color="auto" w:fill="auto"/>
          </w:tcPr>
          <w:p w:rsidR="00456002" w:rsidRPr="00E1724F" w:rsidRDefault="00456002" w:rsidP="000E3562">
            <w:pPr>
              <w:pStyle w:val="ListParagraph"/>
              <w:keepNext/>
              <w:keepLines/>
              <w:numPr>
                <w:ilvl w:val="0"/>
                <w:numId w:val="150"/>
              </w:numPr>
              <w:spacing w:before="60" w:after="60"/>
              <w:ind w:left="245"/>
              <w:rPr>
                <w:rFonts w:ascii="Tahoma" w:hAnsi="Tahoma" w:cs="Tahoma"/>
                <w:sz w:val="18"/>
                <w:szCs w:val="18"/>
              </w:rPr>
            </w:pPr>
            <w:r w:rsidRPr="00BB5519">
              <w:rPr>
                <w:rFonts w:ascii="Tahoma" w:hAnsi="Tahoma" w:cs="Tahoma"/>
                <w:b/>
                <w:sz w:val="18"/>
              </w:rPr>
              <w:t>Produkte der Enterprise Desktop-Plattform</w:t>
            </w:r>
          </w:p>
          <w:p w:rsidR="00456002" w:rsidRPr="00BB5519" w:rsidRDefault="00456002" w:rsidP="000E3562">
            <w:pPr>
              <w:keepNext/>
              <w:keepLines/>
              <w:ind w:right="-180"/>
              <w:rPr>
                <w:lang w:val="de-DE"/>
              </w:rPr>
            </w:pPr>
            <w:r w:rsidRPr="00BB5519">
              <w:rPr>
                <w:rFonts w:cs="Tahoma"/>
                <w:color w:val="000000"/>
                <w:szCs w:val="18"/>
              </w:rPr>
              <w:t xml:space="preserve">Die Enterprise Desktop-Plattformprodukte stehen Kunden mit Konzernvertrag zur Verfügung Die Enterprise Desktop-Plattform umfasst die aktuellste Version von Office </w:t>
            </w:r>
            <w:r w:rsidRPr="00BB5519">
              <w:rPr>
                <w:rFonts w:cs="Tahoma"/>
                <w:szCs w:val="18"/>
              </w:rPr>
              <w:t>Professional Plus</w:t>
            </w:r>
            <w:r w:rsidRPr="00BB5519">
              <w:rPr>
                <w:rFonts w:cs="Tahoma"/>
                <w:color w:val="000000"/>
                <w:szCs w:val="18"/>
              </w:rPr>
              <w:t xml:space="preserve">, Windows 8 Pro-Betriebssystem-Upgrade oder Windows Virtual Desktop Access (VDA) und die Client-Zugriffslizenz der Enterprise CAL Suite. </w:t>
            </w:r>
            <w:r w:rsidRPr="00BB5519">
              <w:rPr>
                <w:rFonts w:cs="Tahoma"/>
                <w:color w:val="000000"/>
                <w:szCs w:val="18"/>
                <w:lang w:val="de-DE"/>
              </w:rPr>
              <w:t>Die Produkte der Enterprise Desktop-Plattform sind in der Spalte „Konzernvertrag“ mit einem „E“ gekennzeichnet.</w:t>
            </w:r>
            <w:r w:rsidR="009E4976" w:rsidRPr="00BB5519">
              <w:rPr>
                <w:rFonts w:cs="Tahoma"/>
                <w:color w:val="000000"/>
                <w:szCs w:val="18"/>
                <w:lang w:val="de-DE"/>
              </w:rPr>
              <w:t xml:space="preserve"> </w:t>
            </w:r>
            <w:r w:rsidRPr="00BB5519">
              <w:rPr>
                <w:rFonts w:cs="Tahoma"/>
                <w:color w:val="000000"/>
                <w:szCs w:val="18"/>
                <w:lang w:val="de-DE"/>
              </w:rPr>
              <w:t>Kunden mit Konzern- und Konzern-Abonnement-Vertrag können die Enterprise Desktop-Plattform auch mit MDOP erwerben.</w:t>
            </w:r>
          </w:p>
          <w:p w:rsidR="0047754D" w:rsidRPr="00D15040" w:rsidRDefault="0047754D" w:rsidP="000E3562">
            <w:pPr>
              <w:keepNext/>
              <w:keepLines/>
              <w:rPr>
                <w:rFonts w:cs="Tahoma"/>
                <w:color w:val="000000"/>
                <w:szCs w:val="18"/>
                <w:lang w:val="de-DE"/>
              </w:rPr>
            </w:pPr>
          </w:p>
          <w:p w:rsidR="00456002" w:rsidRPr="00E1724F" w:rsidRDefault="00456002" w:rsidP="000E3562">
            <w:pPr>
              <w:pStyle w:val="ListParagraph"/>
              <w:keepNext/>
              <w:keepLines/>
              <w:numPr>
                <w:ilvl w:val="0"/>
                <w:numId w:val="150"/>
              </w:numPr>
              <w:spacing w:after="60"/>
              <w:ind w:left="252"/>
              <w:rPr>
                <w:rFonts w:ascii="Tahoma" w:hAnsi="Tahoma" w:cs="Tahoma"/>
                <w:sz w:val="18"/>
                <w:szCs w:val="18"/>
              </w:rPr>
            </w:pPr>
            <w:r w:rsidRPr="00BB5519">
              <w:rPr>
                <w:rFonts w:ascii="Tahoma" w:hAnsi="Tahoma" w:cs="Tahoma"/>
                <w:b/>
                <w:sz w:val="18"/>
              </w:rPr>
              <w:t>Produkte der Professional Desktop-Plattform</w:t>
            </w:r>
          </w:p>
          <w:p w:rsidR="00456002" w:rsidRPr="00BB5519" w:rsidRDefault="00456002" w:rsidP="000E3562">
            <w:pPr>
              <w:keepNext/>
              <w:keepLines/>
              <w:rPr>
                <w:lang w:val="de-DE"/>
              </w:rPr>
            </w:pPr>
            <w:r w:rsidRPr="00BB5519">
              <w:rPr>
                <w:rFonts w:cs="Tahoma"/>
                <w:color w:val="000000"/>
                <w:szCs w:val="18"/>
                <w:lang w:val="de-DE"/>
              </w:rPr>
              <w:t>Die Produkte der Professional Desktop-Plattform stehen Kunden mit Konzernvertrag zur Verfügung. Die Professional Desktop-Plattform enthält die aktuellste Version von Office Professional Plus, Windows 8 Pro-Betriebssystem-Upgrade oder Windows Virtual Desktop Access (VDA) (nur für Konzernverträge) und die Client-Zugriffslizenz der Core CAL Suite. Die Produkte der Professional Desktop-Plattform sind in der Spalte „Konzernvertrag“ mit einem „E“ gekennzeichnet. Kunden mit Konzern- und Konzern-Abonnement-Vertrag können die Professional Desktop-Plattform auch mit MDOP erwerben.</w:t>
            </w:r>
          </w:p>
          <w:p w:rsidR="00456002" w:rsidRPr="00BB5519" w:rsidRDefault="00456002" w:rsidP="000E3562">
            <w:pPr>
              <w:keepNext/>
              <w:keepLines/>
              <w:rPr>
                <w:rFonts w:cs="Tahoma"/>
                <w:szCs w:val="18"/>
                <w:lang w:val="de-DE" w:eastAsia="ja-JP"/>
              </w:rPr>
            </w:pPr>
          </w:p>
        </w:tc>
      </w:tr>
      <w:tr w:rsidR="00456002" w:rsidRPr="006F21F8" w:rsidTr="00E72B9D">
        <w:trPr>
          <w:trHeight w:val="278"/>
        </w:trPr>
        <w:tc>
          <w:tcPr>
            <w:tcW w:w="1890" w:type="dxa"/>
            <w:shd w:val="clear" w:color="auto" w:fill="auto"/>
          </w:tcPr>
          <w:p w:rsidR="00456002" w:rsidRPr="00BB5519" w:rsidRDefault="00456002" w:rsidP="00230E01">
            <w:pPr>
              <w:spacing w:before="60"/>
              <w:rPr>
                <w:b/>
                <w:lang w:eastAsia="ja-JP"/>
              </w:rPr>
            </w:pPr>
            <w:r w:rsidRPr="00BB5519">
              <w:rPr>
                <w:b/>
                <w:sz w:val="20"/>
              </w:rPr>
              <w:t>Open Value und Open Value Subscription (Commercial und Verwaltung)</w:t>
            </w:r>
          </w:p>
        </w:tc>
        <w:tc>
          <w:tcPr>
            <w:tcW w:w="7308" w:type="dxa"/>
            <w:shd w:val="clear" w:color="auto" w:fill="auto"/>
          </w:tcPr>
          <w:p w:rsidR="00456002" w:rsidRPr="00E1724F" w:rsidRDefault="00456002" w:rsidP="00230E01">
            <w:pPr>
              <w:pStyle w:val="ListParagraph"/>
              <w:numPr>
                <w:ilvl w:val="0"/>
                <w:numId w:val="150"/>
              </w:numPr>
              <w:spacing w:before="60" w:after="60"/>
              <w:ind w:left="245"/>
              <w:rPr>
                <w:rFonts w:ascii="Tahoma" w:hAnsi="Tahoma" w:cs="Tahoma"/>
                <w:sz w:val="18"/>
                <w:szCs w:val="18"/>
              </w:rPr>
            </w:pPr>
            <w:r w:rsidRPr="00BB5519">
              <w:rPr>
                <w:rFonts w:ascii="Tahoma" w:hAnsi="Tahoma" w:cs="Tahoma"/>
                <w:b/>
                <w:sz w:val="18"/>
              </w:rPr>
              <w:t>Produkte der angepassten Desktop-Plattform</w:t>
            </w:r>
          </w:p>
          <w:p w:rsidR="00456002" w:rsidRPr="00BB5519" w:rsidRDefault="00456002" w:rsidP="00F27BD2">
            <w:pPr>
              <w:ind w:right="-90"/>
              <w:rPr>
                <w:lang w:val="de-DE"/>
              </w:rPr>
            </w:pPr>
            <w:r w:rsidRPr="00BB5519">
              <w:rPr>
                <w:rFonts w:cs="Tahoma"/>
                <w:color w:val="000000"/>
                <w:szCs w:val="18"/>
                <w:lang w:val="de-DE"/>
              </w:rPr>
              <w:t xml:space="preserve">Produkte der angepassten Desktop-Plattform stehen Open Value- und Open Value Subscription-Kunden zur Verfügung, wenn sie die </w:t>
            </w:r>
            <w:r w:rsidRPr="00BB5519">
              <w:rPr>
                <w:rFonts w:cs="Tahoma"/>
                <w:szCs w:val="18"/>
                <w:lang w:val="de-DE"/>
              </w:rPr>
              <w:t>Organisationsweite/Unternehmensweite</w:t>
            </w:r>
            <w:r w:rsidRPr="00BB5519">
              <w:rPr>
                <w:rFonts w:cs="Tahoma"/>
                <w:color w:val="000000"/>
                <w:szCs w:val="18"/>
                <w:lang w:val="de-DE"/>
              </w:rPr>
              <w:t xml:space="preserve"> Option auswählen. Die angepasste Desktop-Plattform enthält aktuelle Versionen von Office Professional Plus, Windows 8 Pro-Betriebssystem-Upgrade*, die Client-Zugriffslizenz für Enterprise CAL Suite, Core CAL Suite, die Essential Business Server-CAL-Suite oder die Small Business Server-CAL-Suite. Die Produkte der angepassten Desktop-Plattform sind in den Open Value-Spalten mit einem „E“ gekennzeichnet.</w:t>
            </w:r>
            <w:r w:rsidR="009E4976" w:rsidRPr="00BB5519">
              <w:rPr>
                <w:rFonts w:cs="Tahoma"/>
                <w:color w:val="000000"/>
                <w:szCs w:val="18"/>
                <w:lang w:val="de-DE"/>
              </w:rPr>
              <w:t xml:space="preserve"> </w:t>
            </w:r>
          </w:p>
          <w:p w:rsidR="00456002" w:rsidRPr="00BB5519" w:rsidRDefault="00456002" w:rsidP="005C647E">
            <w:pPr>
              <w:rPr>
                <w:rFonts w:cs="Tahoma"/>
                <w:szCs w:val="18"/>
                <w:lang w:val="de-DE" w:eastAsia="ja-JP"/>
              </w:rPr>
            </w:pPr>
          </w:p>
        </w:tc>
      </w:tr>
      <w:tr w:rsidR="00456002" w:rsidRPr="006F21F8" w:rsidTr="00E72B9D">
        <w:trPr>
          <w:trHeight w:val="278"/>
        </w:trPr>
        <w:tc>
          <w:tcPr>
            <w:tcW w:w="1890" w:type="dxa"/>
            <w:shd w:val="clear" w:color="auto" w:fill="auto"/>
          </w:tcPr>
          <w:p w:rsidR="00456002" w:rsidRPr="00BB5519" w:rsidRDefault="00456002" w:rsidP="00230E01">
            <w:pPr>
              <w:spacing w:before="60"/>
              <w:rPr>
                <w:b/>
                <w:lang w:val="de-DE" w:eastAsia="ja-JP"/>
              </w:rPr>
            </w:pPr>
            <w:r w:rsidRPr="00BB5519">
              <w:rPr>
                <w:b/>
                <w:sz w:val="20"/>
                <w:lang w:val="de-DE"/>
              </w:rPr>
              <w:t>Plattformen für Forschung &amp; Lehre (EES, OVS-ES und School-Vertrag)</w:t>
            </w:r>
          </w:p>
        </w:tc>
        <w:tc>
          <w:tcPr>
            <w:tcW w:w="7308" w:type="dxa"/>
            <w:shd w:val="clear" w:color="auto" w:fill="auto"/>
          </w:tcPr>
          <w:p w:rsidR="00821966" w:rsidRPr="00BB5519" w:rsidRDefault="00456002" w:rsidP="00230E01">
            <w:pPr>
              <w:pStyle w:val="ListParagraph"/>
              <w:numPr>
                <w:ilvl w:val="0"/>
                <w:numId w:val="150"/>
              </w:numPr>
              <w:spacing w:before="60" w:after="60"/>
              <w:ind w:left="245"/>
              <w:contextualSpacing w:val="0"/>
              <w:rPr>
                <w:lang w:val="de-DE"/>
              </w:rPr>
            </w:pPr>
            <w:r w:rsidRPr="00BB5519">
              <w:rPr>
                <w:rFonts w:ascii="Tahoma" w:hAnsi="Tahoma" w:cs="Tahoma"/>
                <w:b/>
                <w:sz w:val="18"/>
                <w:lang w:val="de-DE"/>
              </w:rPr>
              <w:t>Produkte der Education Desktop-Plattform und der School Desktop-Plattform mit Enterprise CAL Suite</w:t>
            </w:r>
          </w:p>
          <w:p w:rsidR="00456002" w:rsidRPr="00BB5519" w:rsidRDefault="00456002" w:rsidP="00821966">
            <w:pPr>
              <w:pStyle w:val="ListParagraph"/>
              <w:numPr>
                <w:ilvl w:val="0"/>
                <w:numId w:val="150"/>
              </w:numPr>
              <w:spacing w:after="60"/>
              <w:ind w:left="252"/>
              <w:rPr>
                <w:lang w:val="de-DE"/>
              </w:rPr>
            </w:pPr>
            <w:r w:rsidRPr="00BB5519">
              <w:rPr>
                <w:rFonts w:ascii="Tahoma" w:hAnsi="Tahoma" w:cs="Tahoma"/>
                <w:b/>
                <w:sz w:val="18"/>
                <w:lang w:val="de-DE"/>
              </w:rPr>
              <w:t>Produkte der Education Desktop-Plattform und der School Desktop-Plattform mit Core CAL Suite</w:t>
            </w:r>
          </w:p>
          <w:p w:rsidR="00456002" w:rsidRPr="00BB5519" w:rsidRDefault="00456002" w:rsidP="00821966">
            <w:pPr>
              <w:rPr>
                <w:lang w:val="de-DE"/>
              </w:rPr>
            </w:pPr>
            <w:r w:rsidRPr="00BB5519">
              <w:rPr>
                <w:rFonts w:cs="Tahoma"/>
                <w:szCs w:val="18"/>
                <w:lang w:val="de-DE"/>
              </w:rPr>
              <w:t xml:space="preserve">Die Produkte der Education Desktop-Plattform stehen Kunden mit Beitritt für Bildungslösungen (EES) und Open Value Subscription – Bildungslösungen (OVS-ES) zur Verfügung. Die Produkte der School Desktop-Plattform stehen Kunden mit School-Vertrag zur Verfügung. Die Education Desktop-Plattform mit Enterprise CAL Suite und die School Desktop-Plattform mit Enterprise CAL Suite enthalten die aktuellste Version von Office Professional Plus oder Office für Mac, Windows 8 Pro-Betriebssystem-Upgrade und die Client-Zugriffslizenz für Enterprise CAL Suite. </w:t>
            </w:r>
          </w:p>
          <w:p w:rsidR="00456002" w:rsidRPr="00BB5519" w:rsidRDefault="00456002" w:rsidP="00E64551">
            <w:pPr>
              <w:ind w:left="360"/>
              <w:rPr>
                <w:lang w:val="de-DE"/>
              </w:rPr>
            </w:pPr>
          </w:p>
          <w:p w:rsidR="00456002" w:rsidRPr="00BB5519" w:rsidRDefault="00456002" w:rsidP="00821966">
            <w:pPr>
              <w:rPr>
                <w:lang w:val="de-DE"/>
              </w:rPr>
            </w:pPr>
            <w:r w:rsidRPr="00BB5519">
              <w:rPr>
                <w:rFonts w:cs="Tahoma"/>
                <w:iCs/>
                <w:szCs w:val="18"/>
                <w:lang w:val="de-DE"/>
              </w:rPr>
              <w:t>Das Produkt der School Desktop-Plattform auf der Preisliste zählt als 3 Einheiten.</w:t>
            </w:r>
          </w:p>
          <w:p w:rsidR="00456002" w:rsidRPr="00BB5519" w:rsidRDefault="00456002" w:rsidP="00821966">
            <w:pPr>
              <w:rPr>
                <w:lang w:val="de-DE"/>
              </w:rPr>
            </w:pPr>
          </w:p>
          <w:p w:rsidR="00456002" w:rsidRPr="00BB5519" w:rsidRDefault="00456002" w:rsidP="0047754D">
            <w:pPr>
              <w:tabs>
                <w:tab w:val="left" w:pos="8640"/>
              </w:tabs>
              <w:ind w:right="180"/>
              <w:rPr>
                <w:lang w:val="de-DE"/>
              </w:rPr>
            </w:pPr>
            <w:r w:rsidRPr="00BB5519">
              <w:rPr>
                <w:rFonts w:cs="Tahoma"/>
                <w:b/>
                <w:bCs/>
                <w:color w:val="000000"/>
                <w:szCs w:val="18"/>
                <w:lang w:val="de-DE"/>
              </w:rPr>
              <w:t>Anmerkung:</w:t>
            </w:r>
            <w:r w:rsidRPr="00F27BD2">
              <w:rPr>
                <w:rFonts w:cs="Tahoma"/>
                <w:color w:val="000000"/>
                <w:szCs w:val="18"/>
                <w:lang w:val="de-DE"/>
              </w:rPr>
              <w:t xml:space="preserve"> </w:t>
            </w:r>
            <w:r w:rsidRPr="00BB5519">
              <w:rPr>
                <w:rFonts w:cs="Tahoma"/>
                <w:bCs/>
                <w:color w:val="000000"/>
                <w:szCs w:val="18"/>
                <w:lang w:val="de-DE"/>
              </w:rPr>
              <w:t>EES- und OVS-ES-Kunden sind nicht berechtigt, Produkte der Desktop-Plattform und einzelne CAL-Produkte, die in der Core CAL Suite oder der Enterprise CAL Suite enthalten sind, nur für einen Teil ihrer organisationsweiten Anzahl und/oder Anzahl für Studenten auszuwählen. Wenn zum Beispiel das Abonnement für eine organisationsweite Anzahl von 1.200 Vollzeitbeschäftigte Mitarbeiter gilt, gelten die ausgewählten Produkte der Desktop-Plattform und die ausgewählten CAL Suite-Komponentenprodukte für die organisationsweite Anzahl von 1.000, selbst wenn ein Teil dieser PCs ein bestimmtes Produkt der Desktop-Plattform oder ein CAL-Komponentenprodukt ausführt.</w:t>
            </w:r>
          </w:p>
          <w:p w:rsidR="00456002" w:rsidRPr="00BB5519" w:rsidRDefault="00456002" w:rsidP="005C647E">
            <w:pPr>
              <w:rPr>
                <w:rFonts w:cs="Tahoma"/>
                <w:szCs w:val="18"/>
                <w:lang w:val="de-DE" w:eastAsia="ja-JP"/>
              </w:rPr>
            </w:pPr>
          </w:p>
        </w:tc>
      </w:tr>
    </w:tbl>
    <w:p w:rsidR="004641FD" w:rsidRPr="00D15040" w:rsidRDefault="00755633" w:rsidP="000E3562">
      <w:pPr>
        <w:pStyle w:val="Heading3"/>
        <w:keepNext/>
        <w:keepLines/>
        <w:ind w:right="720"/>
        <w:rPr>
          <w:rFonts w:ascii="Tahoma" w:hAnsi="Tahoma" w:cs="Tahoma"/>
          <w:sz w:val="24"/>
          <w:szCs w:val="22"/>
          <w:lang w:val="de-DE"/>
        </w:rPr>
      </w:pPr>
      <w:bookmarkStart w:id="685" w:name="_Toc336338193"/>
      <w:bookmarkStart w:id="686" w:name="_Toc354054887"/>
      <w:r w:rsidRPr="00D15040">
        <w:rPr>
          <w:rFonts w:ascii="Tahoma" w:hAnsi="Tahoma" w:cs="Tahoma"/>
          <w:sz w:val="24"/>
          <w:szCs w:val="22"/>
          <w:lang w:val="de-DE"/>
        </w:rPr>
        <w:lastRenderedPageBreak/>
        <w:t>Definition von Verwaltung für Qualifizierende Geräte</w:t>
      </w:r>
      <w:bookmarkEnd w:id="685"/>
      <w:bookmarkEnd w:id="686"/>
    </w:p>
    <w:p w:rsidR="0047754D" w:rsidRPr="00D15040" w:rsidRDefault="0047754D" w:rsidP="0047754D">
      <w:pPr>
        <w:rPr>
          <w:lang w:val="de-DE"/>
        </w:rPr>
      </w:pPr>
    </w:p>
    <w:p w:rsidR="004641FD" w:rsidRPr="0047754D" w:rsidRDefault="004641FD" w:rsidP="004641FD">
      <w:pPr>
        <w:rPr>
          <w:lang w:val="de-DE"/>
        </w:rPr>
      </w:pPr>
      <w:r w:rsidRPr="00BB5519">
        <w:rPr>
          <w:rFonts w:cs="Tahoma"/>
          <w:lang w:val="de-DE"/>
        </w:rPr>
        <w:t>Ein Volumenlizenzkunde „verwaltet“ Geräte, auf denen er eine oder mehrere Betriebssystemumgebungen direkt oder indirekt kontrolliert.</w:t>
      </w:r>
      <w:r w:rsidR="009E4976" w:rsidRPr="00BB5519">
        <w:rPr>
          <w:rFonts w:cs="Tahoma"/>
          <w:lang w:val="de-DE"/>
        </w:rPr>
        <w:t xml:space="preserve"> </w:t>
      </w:r>
      <w:r w:rsidRPr="0047754D">
        <w:rPr>
          <w:rFonts w:cs="Tahoma"/>
          <w:lang w:val="de-DE"/>
        </w:rPr>
        <w:t>Beispielsweise verwaltet ein Volumenlizenzkunde Geräte,</w:t>
      </w:r>
    </w:p>
    <w:p w:rsidR="00406CB0" w:rsidRPr="0047754D" w:rsidRDefault="00406CB0" w:rsidP="00822871">
      <w:pPr>
        <w:spacing w:after="60"/>
        <w:rPr>
          <w:lang w:val="de-DE"/>
        </w:rPr>
      </w:pPr>
    </w:p>
    <w:p w:rsidR="004641FD" w:rsidRPr="00BB5519" w:rsidRDefault="004641FD" w:rsidP="00822871">
      <w:pPr>
        <w:numPr>
          <w:ilvl w:val="0"/>
          <w:numId w:val="19"/>
        </w:numPr>
        <w:spacing w:after="60"/>
        <w:rPr>
          <w:lang w:val="de-DE"/>
        </w:rPr>
      </w:pPr>
      <w:r w:rsidRPr="00BB5519">
        <w:rPr>
          <w:rFonts w:cs="Tahoma"/>
          <w:lang w:val="de-DE"/>
        </w:rPr>
        <w:t>denen er den Beitritt zu seiner Domäne erlaubt ODER</w:t>
      </w:r>
    </w:p>
    <w:p w:rsidR="004641FD" w:rsidRPr="00BB5519" w:rsidRDefault="004641FD" w:rsidP="00822871">
      <w:pPr>
        <w:numPr>
          <w:ilvl w:val="0"/>
          <w:numId w:val="19"/>
        </w:numPr>
        <w:spacing w:after="60"/>
        <w:rPr>
          <w:lang w:val="de-DE"/>
        </w:rPr>
      </w:pPr>
      <w:r w:rsidRPr="00BB5519">
        <w:rPr>
          <w:rFonts w:cs="Tahoma"/>
          <w:lang w:val="de-DE"/>
        </w:rPr>
        <w:t>die er als Voraussetzung für die Verwendung von Anwendungen in seinen Geschäftsräumen authentifiziert ODER</w:t>
      </w:r>
    </w:p>
    <w:p w:rsidR="004641FD" w:rsidRPr="00BB5519" w:rsidRDefault="004641FD" w:rsidP="005011A6">
      <w:pPr>
        <w:numPr>
          <w:ilvl w:val="0"/>
          <w:numId w:val="19"/>
        </w:numPr>
        <w:spacing w:after="60"/>
        <w:rPr>
          <w:lang w:val="de-DE"/>
        </w:rPr>
      </w:pPr>
      <w:r w:rsidRPr="00BB5519">
        <w:rPr>
          <w:rFonts w:cs="Tahoma"/>
          <w:lang w:val="de-DE"/>
        </w:rPr>
        <w:t>auf denen er Agents installiert (z. B. Antiviren-, Antimalware- oder sonstige Agents, die durch die</w:t>
      </w:r>
      <w:r w:rsidR="005011A6">
        <w:rPr>
          <w:rFonts w:cs="Tahoma"/>
          <w:lang w:val="de-DE"/>
        </w:rPr>
        <w:t> </w:t>
      </w:r>
      <w:r w:rsidRPr="00BB5519">
        <w:rPr>
          <w:rFonts w:cs="Tahoma"/>
          <w:lang w:val="de-DE"/>
        </w:rPr>
        <w:t>Richtlinie des Kunden vorgeschrieben sind) ODER</w:t>
      </w:r>
    </w:p>
    <w:p w:rsidR="004641FD" w:rsidRPr="00BB5519" w:rsidRDefault="004641FD" w:rsidP="00F27BD2">
      <w:pPr>
        <w:numPr>
          <w:ilvl w:val="0"/>
          <w:numId w:val="19"/>
        </w:numPr>
        <w:spacing w:after="60"/>
        <w:rPr>
          <w:lang w:val="de-DE"/>
        </w:rPr>
      </w:pPr>
      <w:r w:rsidRPr="00BB5519">
        <w:rPr>
          <w:rFonts w:cs="Tahoma"/>
          <w:lang w:val="de-DE"/>
        </w:rPr>
        <w:t>auf die er direkt oder indirekt Gruppenrichtlinien anwendet oder auf denen er diese durchsetzt*</w:t>
      </w:r>
      <w:r w:rsidR="00F27BD2">
        <w:rPr>
          <w:rFonts w:cs="Tahoma"/>
          <w:lang w:val="de-DE"/>
        </w:rPr>
        <w:t> </w:t>
      </w:r>
      <w:r w:rsidRPr="00BB5519">
        <w:rPr>
          <w:rFonts w:cs="Tahoma"/>
          <w:lang w:val="de-DE"/>
        </w:rPr>
        <w:t>ODER</w:t>
      </w:r>
    </w:p>
    <w:p w:rsidR="004641FD" w:rsidRPr="00BB5519" w:rsidRDefault="004641FD" w:rsidP="00822871">
      <w:pPr>
        <w:numPr>
          <w:ilvl w:val="0"/>
          <w:numId w:val="19"/>
        </w:numPr>
        <w:spacing w:after="60"/>
        <w:rPr>
          <w:lang w:val="de-DE"/>
        </w:rPr>
      </w:pPr>
      <w:r w:rsidRPr="00BB5519">
        <w:rPr>
          <w:rFonts w:cs="Tahoma"/>
          <w:lang w:val="de-DE"/>
        </w:rPr>
        <w:t>auf denen er Daten zu Hardware oder Software, die direkt oder indirekt mit einer Betriebssystemumgebung im Zusammenhang steht, anfordert oder erhält, diese Hardware oder Software konfiguriert oder Anweisungen dazu gibt ODER</w:t>
      </w:r>
    </w:p>
    <w:p w:rsidR="004641FD" w:rsidRPr="00BB5519" w:rsidRDefault="004641FD" w:rsidP="00F27BD2">
      <w:pPr>
        <w:numPr>
          <w:ilvl w:val="0"/>
          <w:numId w:val="19"/>
        </w:numPr>
        <w:spacing w:after="60"/>
        <w:rPr>
          <w:lang w:val="de-DE"/>
        </w:rPr>
      </w:pPr>
      <w:r w:rsidRPr="00BB5519">
        <w:rPr>
          <w:rFonts w:cs="Tahoma"/>
          <w:lang w:val="de-DE"/>
        </w:rPr>
        <w:t>denen er den Zugriff auf eine Virtual Desktop-Infrastruktur (VDI) außerhalb von Windows Software</w:t>
      </w:r>
      <w:r w:rsidR="00F27BD2">
        <w:rPr>
          <w:rFonts w:cs="Tahoma"/>
          <w:lang w:val="de-DE"/>
        </w:rPr>
        <w:t> </w:t>
      </w:r>
      <w:r w:rsidRPr="00BB5519">
        <w:rPr>
          <w:rFonts w:cs="Tahoma"/>
          <w:lang w:val="de-DE"/>
        </w:rPr>
        <w:t>Assurance, Windows Intune (Pro Gerät) oder Windows Virtual Desktop Access-Roamingrechten erlaubt.</w:t>
      </w:r>
    </w:p>
    <w:p w:rsidR="00755633" w:rsidRPr="00BB5519" w:rsidRDefault="00755633" w:rsidP="00755633">
      <w:pPr>
        <w:ind w:left="1440"/>
        <w:rPr>
          <w:lang w:val="de-DE"/>
        </w:rPr>
      </w:pPr>
    </w:p>
    <w:p w:rsidR="004641FD" w:rsidRPr="00BB5519" w:rsidRDefault="004641FD" w:rsidP="005011A6">
      <w:pPr>
        <w:rPr>
          <w:lang w:val="de-DE"/>
        </w:rPr>
      </w:pPr>
      <w:r w:rsidRPr="00BB5519">
        <w:rPr>
          <w:rFonts w:cs="Tahoma"/>
          <w:lang w:val="de-DE"/>
        </w:rPr>
        <w:t>Ein Gerät, das unter Roamingrechten auf eine VDI zugreift oder Windows To Go auf einem Qualifizierenden Gerät</w:t>
      </w:r>
      <w:r w:rsidR="005011A6">
        <w:rPr>
          <w:rFonts w:cs="Tahoma"/>
          <w:lang w:val="de-DE"/>
        </w:rPr>
        <w:t> </w:t>
      </w:r>
      <w:r w:rsidRPr="00BB5519">
        <w:rPr>
          <w:rFonts w:cs="Tahoma"/>
          <w:lang w:val="de-DE"/>
        </w:rPr>
        <w:t>Dritter nur außerhalb der Geschäftsräume des Kunden nutzt und nicht für andere Zwecke als die in diesem</w:t>
      </w:r>
      <w:r w:rsidR="005011A6">
        <w:rPr>
          <w:rFonts w:cs="Tahoma"/>
          <w:lang w:val="de-DE"/>
        </w:rPr>
        <w:t> </w:t>
      </w:r>
      <w:r w:rsidRPr="00BB5519">
        <w:rPr>
          <w:rFonts w:cs="Tahoma"/>
          <w:lang w:val="de-DE"/>
        </w:rPr>
        <w:t>Dokument</w:t>
      </w:r>
      <w:r w:rsidR="005011A6">
        <w:rPr>
          <w:rFonts w:cs="Tahoma"/>
          <w:lang w:val="de-DE"/>
        </w:rPr>
        <w:t> </w:t>
      </w:r>
      <w:r w:rsidRPr="00BB5519">
        <w:rPr>
          <w:rFonts w:cs="Tahoma"/>
          <w:lang w:val="de-DE"/>
        </w:rPr>
        <w:t>beschriebenen verwaltet wird, gilt nicht als „verwaltet“ im Sinne dieser Definition.</w:t>
      </w:r>
    </w:p>
    <w:p w:rsidR="005011A6" w:rsidRPr="00D15040" w:rsidRDefault="005011A6" w:rsidP="005011A6">
      <w:pPr>
        <w:rPr>
          <w:rFonts w:cs="Tahoma"/>
          <w:lang w:val="de-DE" w:eastAsia="ja-JP"/>
        </w:rPr>
      </w:pPr>
    </w:p>
    <w:p w:rsidR="00371299" w:rsidRPr="00BB5519" w:rsidRDefault="004641FD" w:rsidP="005011A6">
      <w:pPr>
        <w:rPr>
          <w:lang w:val="de-DE"/>
        </w:rPr>
      </w:pPr>
      <w:r w:rsidRPr="00BB5519">
        <w:rPr>
          <w:rFonts w:cs="Tahoma"/>
          <w:lang w:val="de-DE"/>
        </w:rPr>
        <w:t>*Ein Volumenlizenzkunde, der nach aktueller Betriebssystemsoftware oder Viren-/Sicherheitsupdates sucht und den</w:t>
      </w:r>
      <w:r w:rsidR="005011A6">
        <w:rPr>
          <w:rFonts w:cs="Tahoma"/>
          <w:lang w:val="de-DE"/>
        </w:rPr>
        <w:t> </w:t>
      </w:r>
      <w:r w:rsidRPr="00BB5519">
        <w:rPr>
          <w:rFonts w:cs="Tahoma"/>
          <w:lang w:val="de-DE"/>
        </w:rPr>
        <w:t>Nutzer nur dann informiert, wenn diese nicht aktuell sind, „setzt keine Gruppenrichtlinie“ im Sinne dieses Beispiels durch.</w:t>
      </w:r>
      <w:r w:rsidR="009E4976" w:rsidRPr="00BB5519">
        <w:rPr>
          <w:rFonts w:cs="Tahoma"/>
          <w:lang w:val="de-DE"/>
        </w:rPr>
        <w:t xml:space="preserve"> </w:t>
      </w:r>
    </w:p>
    <w:p w:rsidR="005011A6" w:rsidRPr="00D15040" w:rsidRDefault="005011A6" w:rsidP="005011A6">
      <w:pPr>
        <w:rPr>
          <w:rFonts w:cs="Tahoma"/>
          <w:lang w:val="de-DE"/>
        </w:rPr>
      </w:pPr>
      <w:bookmarkStart w:id="687" w:name="_Toc243157227"/>
      <w:bookmarkStart w:id="688" w:name="_Toc336338194"/>
    </w:p>
    <w:p w:rsidR="00406CB0" w:rsidRPr="00EC2A0D" w:rsidRDefault="00023FE7" w:rsidP="00406CB0">
      <w:pPr>
        <w:pStyle w:val="Heading3"/>
        <w:rPr>
          <w:rFonts w:ascii="Tahoma" w:hAnsi="Tahoma"/>
          <w:sz w:val="24"/>
          <w:lang w:val="de-DE"/>
        </w:rPr>
      </w:pPr>
      <w:bookmarkStart w:id="689" w:name="_Toc354054888"/>
      <w:r w:rsidRPr="00EC2A0D">
        <w:rPr>
          <w:rFonts w:ascii="Tahoma" w:hAnsi="Tahoma"/>
          <w:sz w:val="24"/>
          <w:lang w:val="de-DE"/>
        </w:rPr>
        <w:t>Für Up-to-Date-Nachlass (UTD) qualifizierte Produkte</w:t>
      </w:r>
      <w:bookmarkEnd w:id="687"/>
      <w:bookmarkEnd w:id="688"/>
      <w:bookmarkEnd w:id="689"/>
    </w:p>
    <w:p w:rsidR="005011A6" w:rsidRPr="00D15040" w:rsidRDefault="005011A6" w:rsidP="005011A6">
      <w:pPr>
        <w:pStyle w:val="Heading3"/>
        <w:rPr>
          <w:rFonts w:ascii="Tahoma" w:hAnsi="Tahoma"/>
          <w:b w:val="0"/>
          <w:sz w:val="18"/>
          <w:lang w:val="de-DE"/>
        </w:rPr>
      </w:pPr>
    </w:p>
    <w:p w:rsidR="00023FE7" w:rsidRPr="00BB5519" w:rsidRDefault="00023FE7" w:rsidP="005011A6">
      <w:pPr>
        <w:rPr>
          <w:lang w:val="de-DE"/>
        </w:rPr>
      </w:pPr>
      <w:r w:rsidRPr="00BB5519">
        <w:rPr>
          <w:lang w:val="de-DE"/>
        </w:rPr>
        <w:t>Open Value Subscription-Kunden haben im ersten Jahr ihres Abonnementvertrages Anspruch auf den UTD-Nachlass.</w:t>
      </w:r>
      <w:r w:rsidR="005011A6">
        <w:rPr>
          <w:lang w:val="de-DE"/>
        </w:rPr>
        <w:t> </w:t>
      </w:r>
      <w:r w:rsidRPr="00BB5519">
        <w:rPr>
          <w:lang w:val="de-DE"/>
        </w:rPr>
        <w:t>Qualifizierte Kunden sind berechtigt, die unten genannten UTD-Lizenzen zu erwerben, wenn sie über OEM, FPP oder Volumenlizenzierung für eine der entsprechenden qualifizierenden früheren oder aktuellen Versionen lizenziert sind.</w:t>
      </w:r>
      <w:r w:rsidR="009E4976" w:rsidRPr="00BB5519">
        <w:rPr>
          <w:lang w:val="de-DE"/>
        </w:rPr>
        <w:t xml:space="preserve"> </w:t>
      </w:r>
      <w:r w:rsidRPr="00BB5519">
        <w:rPr>
          <w:color w:val="000000"/>
          <w:lang w:val="de-DE"/>
        </w:rPr>
        <w:t>Im Allgemeinen wird dieser Nachlass nur für die aktuelle Version des Produktes oder die unmittelbare Vorgängerversion gewährt. Der UTD-Nachlass ist plattformunabhängig, daher ist Mac ebenfalls für diesen Nachlass qualifiziert.</w:t>
      </w:r>
    </w:p>
    <w:p w:rsidR="00C353DE" w:rsidRPr="00BB5519" w:rsidRDefault="00C353DE">
      <w:pPr>
        <w:pStyle w:val="FootnoteBulletLevel1"/>
        <w:ind w:left="360" w:right="720" w:firstLine="0"/>
        <w:rPr>
          <w:lang w:val="de-DE"/>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BB5519"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BB5519" w:rsidRDefault="00023FE7">
            <w:pPr>
              <w:ind w:right="720"/>
              <w:jc w:val="center"/>
              <w:rPr>
                <w:rFonts w:eastAsia="Calibri" w:cs="Tahoma"/>
                <w:b/>
                <w:bCs/>
                <w:color w:val="404040"/>
              </w:rPr>
            </w:pPr>
            <w:r w:rsidRPr="00BB5519">
              <w:rPr>
                <w:rFonts w:cs="Tahoma"/>
                <w:b/>
                <w:bCs/>
              </w:rPr>
              <w:t>UTD-Lizenz</w:t>
            </w:r>
          </w:p>
        </w:tc>
        <w:tc>
          <w:tcPr>
            <w:tcW w:w="4298" w:type="dxa"/>
            <w:tcBorders>
              <w:top w:val="single" w:sz="8" w:space="0" w:color="auto"/>
              <w:left w:val="nil"/>
              <w:bottom w:val="single" w:sz="8" w:space="0" w:color="auto"/>
              <w:right w:val="single" w:sz="8" w:space="0" w:color="auto"/>
            </w:tcBorders>
            <w:shd w:val="clear" w:color="auto" w:fill="FFCC99"/>
          </w:tcPr>
          <w:p w:rsidR="00023FE7" w:rsidRPr="00BB5519" w:rsidRDefault="00023FE7">
            <w:pPr>
              <w:ind w:right="720"/>
              <w:jc w:val="center"/>
              <w:rPr>
                <w:rFonts w:eastAsia="Calibri" w:cs="Tahoma"/>
                <w:b/>
                <w:bCs/>
                <w:color w:val="404040"/>
              </w:rPr>
            </w:pPr>
            <w:r w:rsidRPr="00BB5519">
              <w:rPr>
                <w:rFonts w:cs="Tahoma"/>
                <w:b/>
                <w:bCs/>
              </w:rPr>
              <w:t>Qualifizierende Version</w:t>
            </w:r>
          </w:p>
        </w:tc>
      </w:tr>
      <w:tr w:rsidR="00023FE7" w:rsidRPr="00BB5519" w:rsidTr="0044720D">
        <w:trPr>
          <w:trHeight w:val="576"/>
        </w:trPr>
        <w:tc>
          <w:tcPr>
            <w:tcW w:w="3809" w:type="dxa"/>
            <w:tcBorders>
              <w:top w:val="nil"/>
              <w:left w:val="single" w:sz="8" w:space="0" w:color="auto"/>
              <w:bottom w:val="single" w:sz="8" w:space="0" w:color="auto"/>
              <w:right w:val="single" w:sz="8" w:space="0" w:color="auto"/>
            </w:tcBorders>
          </w:tcPr>
          <w:p w:rsidR="00023FE7" w:rsidRPr="00BB5519" w:rsidRDefault="00023FE7" w:rsidP="00230E01">
            <w:pPr>
              <w:spacing w:before="60"/>
              <w:ind w:left="360" w:right="720"/>
              <w:jc w:val="center"/>
              <w:rPr>
                <w:rFonts w:eastAsia="Calibri" w:cs="Tahoma"/>
                <w:szCs w:val="18"/>
                <w:lang w:val="de-DE"/>
              </w:rPr>
            </w:pPr>
            <w:r w:rsidRPr="00BB5519">
              <w:rPr>
                <w:rFonts w:cs="Tahoma"/>
                <w:szCs w:val="18"/>
                <w:lang w:val="de-DE"/>
              </w:rPr>
              <w:t>Core CAL (Gerät oder Nutzer)</w:t>
            </w:r>
          </w:p>
        </w:tc>
        <w:tc>
          <w:tcPr>
            <w:tcW w:w="4298" w:type="dxa"/>
            <w:tcBorders>
              <w:top w:val="nil"/>
              <w:left w:val="nil"/>
              <w:bottom w:val="single" w:sz="8" w:space="0" w:color="auto"/>
              <w:right w:val="single" w:sz="8" w:space="0" w:color="auto"/>
            </w:tcBorders>
          </w:tcPr>
          <w:p w:rsidR="00023FE7" w:rsidRPr="00BB5519" w:rsidRDefault="00023FE7" w:rsidP="00230E01">
            <w:pPr>
              <w:pStyle w:val="Bulletedlistflush"/>
              <w:spacing w:before="60"/>
              <w:ind w:left="576" w:right="720" w:firstLine="0"/>
              <w:jc w:val="center"/>
            </w:pPr>
            <w:r w:rsidRPr="00BB5519">
              <w:rPr>
                <w:rFonts w:ascii="Tahoma" w:hAnsi="Tahoma" w:cs="Tahoma"/>
                <w:sz w:val="18"/>
                <w:szCs w:val="18"/>
              </w:rPr>
              <w:t>Jede Core CAL</w:t>
            </w:r>
          </w:p>
          <w:p w:rsidR="00023FE7" w:rsidRPr="00BB5519" w:rsidRDefault="00023FE7" w:rsidP="00230E01">
            <w:pPr>
              <w:pStyle w:val="Bulletedlistflush"/>
              <w:ind w:left="576" w:right="720" w:firstLine="0"/>
              <w:jc w:val="center"/>
              <w:rPr>
                <w:rFonts w:ascii="Tahoma" w:hAnsi="Tahoma" w:cs="Tahoma"/>
                <w:sz w:val="18"/>
                <w:szCs w:val="18"/>
              </w:rPr>
            </w:pPr>
          </w:p>
        </w:tc>
      </w:tr>
      <w:tr w:rsidR="00023FE7" w:rsidRPr="00BB5519" w:rsidTr="0044720D">
        <w:trPr>
          <w:trHeight w:val="576"/>
        </w:trPr>
        <w:tc>
          <w:tcPr>
            <w:tcW w:w="3809" w:type="dxa"/>
            <w:tcBorders>
              <w:top w:val="nil"/>
              <w:left w:val="single" w:sz="8" w:space="0" w:color="auto"/>
              <w:bottom w:val="single" w:sz="8" w:space="0" w:color="auto"/>
              <w:right w:val="single" w:sz="8" w:space="0" w:color="auto"/>
            </w:tcBorders>
          </w:tcPr>
          <w:p w:rsidR="00023FE7" w:rsidRPr="00BB5519" w:rsidRDefault="00023FE7" w:rsidP="005011A6">
            <w:pPr>
              <w:spacing w:before="60"/>
              <w:ind w:left="360" w:right="479"/>
              <w:jc w:val="center"/>
              <w:rPr>
                <w:rFonts w:eastAsia="Calibri" w:cs="Tahoma"/>
                <w:szCs w:val="18"/>
                <w:lang w:val="de-DE"/>
              </w:rPr>
            </w:pPr>
            <w:r w:rsidRPr="00BB5519">
              <w:rPr>
                <w:rFonts w:cs="Tahoma"/>
                <w:szCs w:val="18"/>
                <w:lang w:val="de-DE"/>
              </w:rPr>
              <w:t>Enterprise-CAL (Gerät oder Nutzer)</w:t>
            </w:r>
          </w:p>
        </w:tc>
        <w:tc>
          <w:tcPr>
            <w:tcW w:w="4298" w:type="dxa"/>
            <w:tcBorders>
              <w:top w:val="nil"/>
              <w:left w:val="nil"/>
              <w:bottom w:val="single" w:sz="8" w:space="0" w:color="auto"/>
              <w:right w:val="single" w:sz="8" w:space="0" w:color="auto"/>
            </w:tcBorders>
          </w:tcPr>
          <w:p w:rsidR="00023FE7" w:rsidRPr="00BB5519" w:rsidRDefault="00023FE7" w:rsidP="00230E01">
            <w:pPr>
              <w:pStyle w:val="Bulletedlistflush"/>
              <w:spacing w:before="60"/>
              <w:ind w:left="576" w:right="720" w:firstLine="0"/>
              <w:jc w:val="center"/>
              <w:rPr>
                <w:rFonts w:ascii="Tahoma" w:hAnsi="Tahoma" w:cs="Tahoma"/>
                <w:sz w:val="18"/>
                <w:szCs w:val="18"/>
              </w:rPr>
            </w:pPr>
            <w:r w:rsidRPr="00BB5519">
              <w:rPr>
                <w:rFonts w:ascii="Tahoma" w:hAnsi="Tahoma" w:cs="Tahoma"/>
                <w:sz w:val="18"/>
                <w:szCs w:val="18"/>
              </w:rPr>
              <w:t>Jede Enterprise-CAL</w:t>
            </w:r>
          </w:p>
        </w:tc>
      </w:tr>
      <w:tr w:rsidR="0000615E" w:rsidRPr="00BB5519" w:rsidTr="0044720D">
        <w:trPr>
          <w:trHeight w:val="576"/>
        </w:trPr>
        <w:tc>
          <w:tcPr>
            <w:tcW w:w="3809" w:type="dxa"/>
            <w:tcBorders>
              <w:top w:val="nil"/>
              <w:left w:val="single" w:sz="8" w:space="0" w:color="auto"/>
              <w:bottom w:val="single" w:sz="8" w:space="0" w:color="auto"/>
              <w:right w:val="single" w:sz="8" w:space="0" w:color="auto"/>
            </w:tcBorders>
          </w:tcPr>
          <w:p w:rsidR="0000615E" w:rsidRPr="00BB5519" w:rsidRDefault="0000615E" w:rsidP="00230E01">
            <w:pPr>
              <w:spacing w:before="60"/>
              <w:ind w:left="360" w:right="720"/>
              <w:jc w:val="center"/>
              <w:rPr>
                <w:rFonts w:eastAsia="Calibri" w:cs="Tahoma"/>
                <w:szCs w:val="18"/>
              </w:rPr>
            </w:pPr>
            <w:r w:rsidRPr="00BB5519">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BB5519" w:rsidRDefault="008B2AA7" w:rsidP="00230E01">
            <w:pPr>
              <w:pStyle w:val="Bulletedlistflush"/>
              <w:spacing w:before="60"/>
              <w:ind w:left="576" w:right="720" w:firstLine="0"/>
              <w:jc w:val="center"/>
              <w:rPr>
                <w:lang w:val="fr-FR"/>
              </w:rPr>
            </w:pPr>
            <w:r w:rsidRPr="00BB5519">
              <w:rPr>
                <w:rFonts w:ascii="Tahoma" w:hAnsi="Tahoma" w:cs="Tahoma"/>
                <w:sz w:val="18"/>
                <w:szCs w:val="18"/>
                <w:lang w:val="fr-FR"/>
              </w:rPr>
              <w:t>Office Professional Plus 2013</w:t>
            </w:r>
          </w:p>
          <w:p w:rsidR="0000615E" w:rsidRPr="00BB5519" w:rsidRDefault="0000615E" w:rsidP="00230E01">
            <w:pPr>
              <w:pStyle w:val="Bulletedlistflush"/>
              <w:ind w:left="576" w:right="720" w:firstLine="0"/>
              <w:jc w:val="center"/>
              <w:rPr>
                <w:lang w:val="fr-FR"/>
              </w:rPr>
            </w:pPr>
            <w:r w:rsidRPr="00BB5519">
              <w:rPr>
                <w:rFonts w:ascii="Tahoma" w:hAnsi="Tahoma" w:cs="Tahoma"/>
                <w:sz w:val="18"/>
                <w:szCs w:val="18"/>
                <w:lang w:val="fr-FR"/>
              </w:rPr>
              <w:t>Office Professional Plus 2010</w:t>
            </w:r>
          </w:p>
          <w:p w:rsidR="002D0FAC" w:rsidRPr="00BB5519" w:rsidRDefault="002D0FAC" w:rsidP="00230E01">
            <w:pPr>
              <w:pStyle w:val="Bulletedlistflush"/>
              <w:ind w:left="576" w:right="720" w:firstLine="0"/>
              <w:jc w:val="center"/>
            </w:pPr>
            <w:r w:rsidRPr="00BB5519">
              <w:rPr>
                <w:rFonts w:ascii="Tahoma" w:hAnsi="Tahoma" w:cs="Tahoma"/>
                <w:sz w:val="18"/>
                <w:szCs w:val="18"/>
              </w:rPr>
              <w:t>Office 2013 Professional</w:t>
            </w:r>
          </w:p>
          <w:p w:rsidR="0000615E" w:rsidRPr="00BB5519" w:rsidRDefault="0000615E" w:rsidP="00230E01">
            <w:pPr>
              <w:pStyle w:val="Bulletedlistflush"/>
              <w:ind w:left="576" w:right="720" w:firstLine="0"/>
              <w:jc w:val="center"/>
            </w:pPr>
            <w:r w:rsidRPr="00BB5519">
              <w:rPr>
                <w:rFonts w:ascii="Tahoma" w:hAnsi="Tahoma" w:cs="Tahoma"/>
                <w:sz w:val="18"/>
                <w:szCs w:val="18"/>
              </w:rPr>
              <w:t>Office 2010 Professional</w:t>
            </w:r>
          </w:p>
          <w:p w:rsidR="0000615E" w:rsidRPr="00BB5519" w:rsidRDefault="0000615E" w:rsidP="008B2AA7">
            <w:pPr>
              <w:pStyle w:val="Bulletedlistflush"/>
              <w:ind w:left="576" w:right="720" w:firstLine="0"/>
              <w:jc w:val="center"/>
              <w:rPr>
                <w:rFonts w:ascii="Tahoma" w:hAnsi="Tahoma" w:cs="Tahoma"/>
                <w:sz w:val="18"/>
                <w:szCs w:val="18"/>
              </w:rPr>
            </w:pPr>
          </w:p>
        </w:tc>
      </w:tr>
      <w:tr w:rsidR="00023FE7" w:rsidRPr="00BB5519" w:rsidTr="0044720D">
        <w:trPr>
          <w:trHeight w:val="576"/>
        </w:trPr>
        <w:tc>
          <w:tcPr>
            <w:tcW w:w="3809" w:type="dxa"/>
            <w:tcBorders>
              <w:top w:val="nil"/>
              <w:left w:val="single" w:sz="8" w:space="0" w:color="auto"/>
              <w:bottom w:val="single" w:sz="8" w:space="0" w:color="auto"/>
              <w:right w:val="single" w:sz="8" w:space="0" w:color="auto"/>
            </w:tcBorders>
          </w:tcPr>
          <w:p w:rsidR="00023FE7" w:rsidRPr="00BB5519" w:rsidRDefault="00023FE7" w:rsidP="005011A6">
            <w:pPr>
              <w:spacing w:before="60"/>
              <w:ind w:left="360" w:right="569"/>
              <w:jc w:val="center"/>
              <w:rPr>
                <w:rFonts w:eastAsia="Calibri" w:cs="Tahoma"/>
                <w:color w:val="000000"/>
                <w:szCs w:val="18"/>
                <w:lang w:val="de-DE"/>
              </w:rPr>
            </w:pPr>
            <w:r w:rsidRPr="00BB5519">
              <w:rPr>
                <w:rFonts w:cs="Tahoma"/>
                <w:color w:val="000000"/>
                <w:szCs w:val="18"/>
                <w:lang w:val="de-DE"/>
              </w:rPr>
              <w:t>CAL für Small Business Server Standard 2011 (Gerät oder Nutzer)</w:t>
            </w:r>
          </w:p>
        </w:tc>
        <w:tc>
          <w:tcPr>
            <w:tcW w:w="4298" w:type="dxa"/>
            <w:tcBorders>
              <w:top w:val="nil"/>
              <w:left w:val="nil"/>
              <w:bottom w:val="single" w:sz="8" w:space="0" w:color="auto"/>
              <w:right w:val="single" w:sz="8" w:space="0" w:color="auto"/>
            </w:tcBorders>
          </w:tcPr>
          <w:p w:rsidR="00684C4D" w:rsidRPr="00BB5519" w:rsidRDefault="00684C4D" w:rsidP="00230E01">
            <w:pPr>
              <w:spacing w:before="60"/>
              <w:ind w:left="576" w:right="720"/>
              <w:jc w:val="center"/>
            </w:pPr>
            <w:r w:rsidRPr="00BB5519">
              <w:t>+</w:t>
            </w:r>
            <w:r w:rsidRPr="00BB5519">
              <w:rPr>
                <w:rFonts w:eastAsia="Calibri" w:cs="Tahoma"/>
                <w:color w:val="000000"/>
                <w:szCs w:val="18"/>
              </w:rPr>
              <w:t>CAL für Windows Small Business Server 2011</w:t>
            </w:r>
          </w:p>
          <w:p w:rsidR="00023FE7" w:rsidRPr="00BB5519" w:rsidRDefault="00023FE7">
            <w:pPr>
              <w:pStyle w:val="Bulletedlistflush"/>
              <w:ind w:left="576" w:right="720" w:firstLine="0"/>
              <w:jc w:val="center"/>
            </w:pPr>
            <w:r w:rsidRPr="00BB5519">
              <w:rPr>
                <w:rFonts w:ascii="Tahoma" w:hAnsi="Tahoma" w:cs="Tahoma"/>
                <w:color w:val="000000"/>
                <w:sz w:val="18"/>
                <w:szCs w:val="18"/>
              </w:rPr>
              <w:t>CAL für Windows Small Business Server Standard 2008</w:t>
            </w:r>
          </w:p>
          <w:p w:rsidR="00023FE7" w:rsidRPr="00BB5519" w:rsidRDefault="00023FE7" w:rsidP="00230E01">
            <w:pPr>
              <w:pStyle w:val="Bulletedlistflush"/>
              <w:ind w:left="576" w:right="720" w:firstLine="0"/>
              <w:jc w:val="center"/>
              <w:rPr>
                <w:rFonts w:ascii="Tahoma" w:hAnsi="Tahoma" w:cs="Tahoma"/>
                <w:color w:val="000000"/>
                <w:sz w:val="18"/>
                <w:szCs w:val="18"/>
              </w:rPr>
            </w:pPr>
          </w:p>
        </w:tc>
      </w:tr>
      <w:tr w:rsidR="00023FE7" w:rsidRPr="00BB5519" w:rsidTr="0044720D">
        <w:trPr>
          <w:trHeight w:val="576"/>
        </w:trPr>
        <w:tc>
          <w:tcPr>
            <w:tcW w:w="3809" w:type="dxa"/>
            <w:tcBorders>
              <w:top w:val="nil"/>
              <w:left w:val="single" w:sz="8" w:space="0" w:color="auto"/>
              <w:bottom w:val="single" w:sz="8" w:space="0" w:color="auto"/>
              <w:right w:val="single" w:sz="8" w:space="0" w:color="auto"/>
            </w:tcBorders>
          </w:tcPr>
          <w:p w:rsidR="00023FE7" w:rsidRPr="00BB5519" w:rsidRDefault="00023FE7" w:rsidP="005011A6">
            <w:pPr>
              <w:spacing w:before="60"/>
              <w:ind w:left="360" w:right="569"/>
              <w:jc w:val="center"/>
              <w:rPr>
                <w:rFonts w:eastAsia="Calibri" w:cs="Tahoma"/>
                <w:szCs w:val="18"/>
                <w:lang w:val="de-DE"/>
              </w:rPr>
            </w:pPr>
            <w:r w:rsidRPr="00BB5519">
              <w:rPr>
                <w:rFonts w:cs="Tahoma"/>
                <w:szCs w:val="18"/>
                <w:lang w:val="de-DE"/>
              </w:rPr>
              <w:lastRenderedPageBreak/>
              <w:t>CAL für Small Business Server Premium 2011 (Gerät oder Nutzer)</w:t>
            </w:r>
          </w:p>
        </w:tc>
        <w:tc>
          <w:tcPr>
            <w:tcW w:w="4298" w:type="dxa"/>
            <w:tcBorders>
              <w:top w:val="nil"/>
              <w:left w:val="nil"/>
              <w:bottom w:val="single" w:sz="8" w:space="0" w:color="auto"/>
              <w:right w:val="single" w:sz="8" w:space="0" w:color="auto"/>
            </w:tcBorders>
          </w:tcPr>
          <w:p w:rsidR="00684C4D" w:rsidRPr="00BB5519" w:rsidRDefault="00684C4D" w:rsidP="00230E01">
            <w:pPr>
              <w:spacing w:before="60"/>
              <w:ind w:left="576" w:right="720"/>
              <w:jc w:val="center"/>
            </w:pPr>
            <w:r w:rsidRPr="00BB5519">
              <w:rPr>
                <w:rFonts w:eastAsia="Calibri" w:cs="Tahoma"/>
                <w:color w:val="000000"/>
                <w:szCs w:val="18"/>
              </w:rPr>
              <w:t>CAL für Windows Small Business Server Premium 2011</w:t>
            </w:r>
          </w:p>
          <w:p w:rsidR="00023FE7" w:rsidRPr="00BB5519" w:rsidRDefault="00023FE7">
            <w:pPr>
              <w:pStyle w:val="Bulletedlistflush"/>
              <w:ind w:left="576" w:right="720" w:firstLine="0"/>
              <w:jc w:val="center"/>
            </w:pPr>
            <w:r w:rsidRPr="00BB5519">
              <w:rPr>
                <w:rFonts w:ascii="Tahoma" w:hAnsi="Tahoma" w:cs="Tahoma"/>
                <w:color w:val="000000"/>
                <w:sz w:val="18"/>
                <w:szCs w:val="18"/>
              </w:rPr>
              <w:t>CAL für Windows Small Business Server Premium 2008</w:t>
            </w:r>
          </w:p>
          <w:p w:rsidR="00023FE7" w:rsidRPr="00BB5519" w:rsidRDefault="00023FE7" w:rsidP="00230E01">
            <w:pPr>
              <w:pStyle w:val="Bulletedlistflush"/>
              <w:ind w:left="576" w:right="720" w:firstLine="0"/>
              <w:jc w:val="center"/>
              <w:rPr>
                <w:rFonts w:ascii="Tahoma" w:hAnsi="Tahoma" w:cs="Tahoma"/>
                <w:sz w:val="18"/>
                <w:szCs w:val="18"/>
              </w:rPr>
            </w:pPr>
          </w:p>
        </w:tc>
      </w:tr>
      <w:tr w:rsidR="00023FE7" w:rsidRPr="00BB5519" w:rsidTr="0044720D">
        <w:trPr>
          <w:trHeight w:val="576"/>
        </w:trPr>
        <w:tc>
          <w:tcPr>
            <w:tcW w:w="3809" w:type="dxa"/>
            <w:tcBorders>
              <w:top w:val="nil"/>
              <w:left w:val="single" w:sz="8" w:space="0" w:color="auto"/>
              <w:bottom w:val="single" w:sz="8" w:space="0" w:color="auto"/>
              <w:right w:val="single" w:sz="8" w:space="0" w:color="auto"/>
            </w:tcBorders>
          </w:tcPr>
          <w:p w:rsidR="00023FE7" w:rsidRPr="00BB5519" w:rsidRDefault="00023FE7" w:rsidP="005011A6">
            <w:pPr>
              <w:spacing w:before="60"/>
              <w:ind w:left="360" w:right="299"/>
              <w:jc w:val="center"/>
              <w:rPr>
                <w:lang w:val="de-DE"/>
              </w:rPr>
            </w:pPr>
            <w:r w:rsidRPr="00BB5519">
              <w:rPr>
                <w:rFonts w:cs="Tahoma"/>
                <w:szCs w:val="18"/>
                <w:lang w:val="de-DE"/>
              </w:rPr>
              <w:t>CAL für Essential Business Server Standard 2008 (Gerät oder Nutzer)</w:t>
            </w:r>
          </w:p>
          <w:p w:rsidR="00230E01" w:rsidRPr="00BB5519"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023FE7" w:rsidRPr="00BB5519" w:rsidRDefault="00023FE7" w:rsidP="00230E01">
            <w:pPr>
              <w:pStyle w:val="Bulletedlistflush"/>
              <w:spacing w:before="60"/>
              <w:ind w:left="576" w:right="720" w:firstLine="0"/>
              <w:jc w:val="center"/>
              <w:rPr>
                <w:rFonts w:ascii="Tahoma" w:hAnsi="Tahoma" w:cs="Tahoma"/>
                <w:sz w:val="18"/>
                <w:szCs w:val="18"/>
              </w:rPr>
            </w:pPr>
            <w:r w:rsidRPr="00BB5519">
              <w:rPr>
                <w:rFonts w:ascii="Tahoma" w:hAnsi="Tahoma" w:cs="Tahoma"/>
                <w:sz w:val="18"/>
                <w:szCs w:val="18"/>
              </w:rPr>
              <w:t>CAL für Windows Essential Business Server Standard 2008</w:t>
            </w:r>
          </w:p>
        </w:tc>
      </w:tr>
      <w:tr w:rsidR="00023FE7" w:rsidRPr="00BB5519" w:rsidTr="0044720D">
        <w:trPr>
          <w:trHeight w:val="576"/>
        </w:trPr>
        <w:tc>
          <w:tcPr>
            <w:tcW w:w="3809" w:type="dxa"/>
            <w:tcBorders>
              <w:top w:val="nil"/>
              <w:left w:val="single" w:sz="8" w:space="0" w:color="auto"/>
              <w:bottom w:val="single" w:sz="8" w:space="0" w:color="auto"/>
              <w:right w:val="single" w:sz="8" w:space="0" w:color="auto"/>
            </w:tcBorders>
          </w:tcPr>
          <w:p w:rsidR="00023FE7" w:rsidRPr="00BB5519" w:rsidRDefault="00023FE7" w:rsidP="005011A6">
            <w:pPr>
              <w:spacing w:before="60"/>
              <w:ind w:left="360" w:right="299"/>
              <w:jc w:val="center"/>
              <w:rPr>
                <w:lang w:val="de-DE"/>
              </w:rPr>
            </w:pPr>
            <w:r w:rsidRPr="00BB5519">
              <w:rPr>
                <w:rFonts w:cs="Tahoma"/>
                <w:szCs w:val="18"/>
                <w:lang w:val="de-DE"/>
              </w:rPr>
              <w:t>CAL für Essential Business Server Premium 2008 (Gerät oder Nutzer)</w:t>
            </w:r>
          </w:p>
          <w:p w:rsidR="00230E01" w:rsidRPr="00BB5519" w:rsidRDefault="00230E01" w:rsidP="00230E01">
            <w:pPr>
              <w:ind w:left="360" w:right="720"/>
              <w:jc w:val="center"/>
              <w:rPr>
                <w:rFonts w:eastAsia="Calibri" w:cs="Tahoma"/>
                <w:szCs w:val="18"/>
                <w:lang w:val="de-DE"/>
              </w:rPr>
            </w:pPr>
          </w:p>
        </w:tc>
        <w:tc>
          <w:tcPr>
            <w:tcW w:w="4298" w:type="dxa"/>
            <w:tcBorders>
              <w:top w:val="nil"/>
              <w:left w:val="nil"/>
              <w:bottom w:val="single" w:sz="8" w:space="0" w:color="auto"/>
              <w:right w:val="single" w:sz="8" w:space="0" w:color="auto"/>
            </w:tcBorders>
          </w:tcPr>
          <w:p w:rsidR="00023FE7" w:rsidRPr="00BB5519" w:rsidRDefault="00023FE7" w:rsidP="00230E01">
            <w:pPr>
              <w:pStyle w:val="Bulletedlistflush"/>
              <w:spacing w:before="60"/>
              <w:ind w:left="576" w:right="720" w:firstLine="0"/>
              <w:jc w:val="center"/>
              <w:rPr>
                <w:rFonts w:ascii="Tahoma" w:hAnsi="Tahoma" w:cs="Tahoma"/>
                <w:sz w:val="18"/>
                <w:szCs w:val="18"/>
              </w:rPr>
            </w:pPr>
            <w:r w:rsidRPr="00BB5519">
              <w:rPr>
                <w:rFonts w:ascii="Tahoma" w:hAnsi="Tahoma" w:cs="Tahoma"/>
                <w:sz w:val="18"/>
                <w:szCs w:val="18"/>
              </w:rPr>
              <w:t>CAL für Windows Essential Business Server Premium 2008</w:t>
            </w:r>
          </w:p>
        </w:tc>
      </w:tr>
      <w:tr w:rsidR="00023FE7" w:rsidRPr="00BB5519" w:rsidTr="0044720D">
        <w:trPr>
          <w:trHeight w:val="576"/>
        </w:trPr>
        <w:tc>
          <w:tcPr>
            <w:tcW w:w="3809" w:type="dxa"/>
            <w:tcBorders>
              <w:top w:val="nil"/>
              <w:left w:val="single" w:sz="8" w:space="0" w:color="auto"/>
              <w:bottom w:val="single" w:sz="8" w:space="0" w:color="auto"/>
              <w:right w:val="single" w:sz="8" w:space="0" w:color="auto"/>
            </w:tcBorders>
          </w:tcPr>
          <w:p w:rsidR="00023FE7" w:rsidRPr="00BB5519" w:rsidRDefault="00023FE7" w:rsidP="00230E01">
            <w:pPr>
              <w:spacing w:before="60"/>
              <w:ind w:left="360" w:right="720"/>
              <w:jc w:val="center"/>
              <w:rPr>
                <w:rFonts w:eastAsia="Calibri" w:cs="Tahoma"/>
                <w:szCs w:val="18"/>
              </w:rPr>
            </w:pPr>
            <w:r w:rsidRPr="00BB5519">
              <w:rPr>
                <w:rFonts w:cs="Tahoma"/>
                <w:szCs w:val="18"/>
              </w:rPr>
              <w:t>Windows 8 Pro-Upgrade</w:t>
            </w:r>
          </w:p>
        </w:tc>
        <w:tc>
          <w:tcPr>
            <w:tcW w:w="4298" w:type="dxa"/>
            <w:tcBorders>
              <w:top w:val="nil"/>
              <w:left w:val="nil"/>
              <w:bottom w:val="single" w:sz="8" w:space="0" w:color="auto"/>
              <w:right w:val="single" w:sz="8" w:space="0" w:color="auto"/>
            </w:tcBorders>
          </w:tcPr>
          <w:p w:rsidR="008B6EDD" w:rsidRPr="00BB5519" w:rsidRDefault="008B6EDD" w:rsidP="00230E01">
            <w:pPr>
              <w:pStyle w:val="Bulletedlistflush"/>
              <w:spacing w:before="60"/>
              <w:ind w:left="576" w:right="720" w:firstLine="0"/>
              <w:jc w:val="center"/>
            </w:pPr>
            <w:r w:rsidRPr="00BB5519">
              <w:rPr>
                <w:rFonts w:ascii="Tahoma" w:hAnsi="Tahoma" w:cs="Tahoma"/>
                <w:sz w:val="18"/>
                <w:szCs w:val="18"/>
              </w:rPr>
              <w:t>Windows 8 Pro</w:t>
            </w:r>
          </w:p>
          <w:p w:rsidR="00023FE7" w:rsidRPr="00BB5519" w:rsidRDefault="00023FE7" w:rsidP="008B6EDD">
            <w:pPr>
              <w:pStyle w:val="Bulletedlistflush"/>
              <w:ind w:left="576" w:right="720" w:firstLine="0"/>
              <w:jc w:val="center"/>
              <w:rPr>
                <w:rFonts w:ascii="Tahoma" w:hAnsi="Tahoma" w:cs="Tahoma"/>
                <w:sz w:val="18"/>
                <w:szCs w:val="18"/>
              </w:rPr>
            </w:pPr>
            <w:r w:rsidRPr="00BB5519">
              <w:rPr>
                <w:rFonts w:ascii="Tahoma" w:hAnsi="Tahoma" w:cs="Tahoma"/>
                <w:sz w:val="18"/>
                <w:szCs w:val="18"/>
              </w:rPr>
              <w:t>Windows 7 Professional</w:t>
            </w:r>
          </w:p>
        </w:tc>
      </w:tr>
    </w:tbl>
    <w:p w:rsidR="005011A6" w:rsidRPr="006F201C" w:rsidRDefault="005011A6" w:rsidP="005011A6">
      <w:pPr>
        <w:rPr>
          <w:rFonts w:eastAsia="Calibri" w:cs="Arial"/>
          <w:color w:val="000000"/>
        </w:rPr>
      </w:pPr>
      <w:bookmarkStart w:id="690" w:name="_Toc336338195"/>
    </w:p>
    <w:p w:rsidR="00456002" w:rsidRPr="00EC2A0D" w:rsidRDefault="00456002" w:rsidP="00456002">
      <w:pPr>
        <w:pStyle w:val="Heading2"/>
        <w:ind w:left="0"/>
        <w:rPr>
          <w:rFonts w:ascii="Tahoma" w:hAnsi="Tahoma" w:cs="Tahoma"/>
          <w:lang w:val="de-DE"/>
        </w:rPr>
      </w:pPr>
      <w:bookmarkStart w:id="691" w:name="_Toc354054889"/>
      <w:r w:rsidRPr="00EC2A0D">
        <w:rPr>
          <w:rFonts w:ascii="Tahoma" w:hAnsi="Tahoma" w:cs="Tahoma"/>
          <w:lang w:val="de-DE"/>
        </w:rPr>
        <w:t>Aktualisierte Bestimmungen für das Konzernvertragsprogramm und das Abonnement-Vertragsprogramm</w:t>
      </w:r>
      <w:bookmarkEnd w:id="690"/>
      <w:bookmarkEnd w:id="691"/>
    </w:p>
    <w:p w:rsidR="005011A6" w:rsidRPr="00D15040" w:rsidRDefault="005011A6" w:rsidP="005011A6">
      <w:pPr>
        <w:tabs>
          <w:tab w:val="left" w:pos="360"/>
        </w:tabs>
        <w:rPr>
          <w:rFonts w:cs="Tahoma"/>
          <w:szCs w:val="20"/>
          <w:lang w:val="de-DE" w:eastAsia="ja-JP"/>
        </w:rPr>
      </w:pPr>
    </w:p>
    <w:p w:rsidR="00456002" w:rsidRPr="00EC2A0D" w:rsidRDefault="00456002" w:rsidP="00F06EC5">
      <w:pPr>
        <w:keepNext/>
        <w:spacing w:after="60"/>
        <w:outlineLvl w:val="3"/>
        <w:rPr>
          <w:rFonts w:cs="Tahoma"/>
          <w:b/>
          <w:szCs w:val="20"/>
          <w:lang w:val="de-DE"/>
        </w:rPr>
      </w:pPr>
      <w:r w:rsidRPr="00EC2A0D">
        <w:rPr>
          <w:rFonts w:cs="Tahoma"/>
          <w:b/>
          <w:szCs w:val="20"/>
          <w:lang w:val="de-DE"/>
        </w:rPr>
        <w:t>Konzern-Onlinedienste, die den Anforderungen für Konzernprodukte entsprechen</w:t>
      </w:r>
    </w:p>
    <w:p w:rsidR="00456002" w:rsidRPr="00BB5519" w:rsidRDefault="00456002" w:rsidP="00366502">
      <w:pPr>
        <w:tabs>
          <w:tab w:val="left" w:pos="360"/>
        </w:tabs>
        <w:rPr>
          <w:lang w:val="de-DE"/>
        </w:rPr>
      </w:pPr>
      <w:r w:rsidRPr="00BB5519">
        <w:rPr>
          <w:rFonts w:cs="Tahoma"/>
          <w:b/>
          <w:szCs w:val="20"/>
          <w:lang w:val="de-DE"/>
        </w:rPr>
        <w:t>Anmerkung:</w:t>
      </w:r>
      <w:r w:rsidRPr="00BB5519">
        <w:rPr>
          <w:rFonts w:cs="Tahoma"/>
          <w:szCs w:val="20"/>
          <w:lang w:val="de-DE"/>
        </w:rPr>
        <w:t xml:space="preserve"> Die folgenden Bestimmungen gelten für Kunden mit Konzern- und Konzern-Abonnement-Beitritt, die zum Erwerb von Konzern-Onlinediensten berechtigt sind.</w:t>
      </w:r>
      <w:r w:rsidR="009E4976" w:rsidRPr="00BB5519">
        <w:rPr>
          <w:rFonts w:cs="Tahoma"/>
          <w:szCs w:val="20"/>
          <w:lang w:val="de-DE"/>
        </w:rPr>
        <w:t xml:space="preserve"> </w:t>
      </w:r>
      <w:r w:rsidRPr="00BB5519">
        <w:rPr>
          <w:rFonts w:cs="Tahoma"/>
          <w:szCs w:val="20"/>
          <w:lang w:val="de-DE"/>
        </w:rPr>
        <w:t>Kunden, die hinsichtlich der Berechtigung zum Erwerb von Konzern-Onlinediensten unsicher sind, erhalten von ihrem Software Advisor, Handelspartner oder Microsoft-Kundenbetreuer weitere Informationen.</w:t>
      </w:r>
      <w:r w:rsidR="009E4976" w:rsidRPr="00BB5519">
        <w:rPr>
          <w:rFonts w:cs="Tahoma"/>
          <w:szCs w:val="20"/>
          <w:lang w:val="de-DE"/>
        </w:rPr>
        <w:t xml:space="preserve"> </w:t>
      </w:r>
    </w:p>
    <w:p w:rsidR="005011A6" w:rsidRPr="00D15040" w:rsidRDefault="005011A6" w:rsidP="005011A6">
      <w:pPr>
        <w:tabs>
          <w:tab w:val="left" w:pos="360"/>
        </w:tabs>
        <w:rPr>
          <w:rFonts w:cs="Tahoma"/>
          <w:szCs w:val="20"/>
          <w:lang w:val="de-DE"/>
        </w:rPr>
      </w:pPr>
    </w:p>
    <w:p w:rsidR="00456002" w:rsidRPr="00D15040" w:rsidRDefault="00456002" w:rsidP="00366502">
      <w:pPr>
        <w:tabs>
          <w:tab w:val="left" w:pos="360"/>
        </w:tabs>
        <w:rPr>
          <w:rFonts w:cs="Tahoma"/>
          <w:szCs w:val="20"/>
          <w:lang w:val="de-DE"/>
        </w:rPr>
      </w:pPr>
      <w:r w:rsidRPr="00D15040">
        <w:rPr>
          <w:rFonts w:cs="Tahoma"/>
          <w:szCs w:val="20"/>
          <w:lang w:val="de-DE"/>
        </w:rPr>
        <w:t>Zur Erfüllung der konzernweiten Anforderung im Rahmen eines Konzern- bzw. Konzern-Abonnement-Beitritts kann eine Kombination aus Konzernprodukten und Konzern-Onlinediensten verwendet werden.</w:t>
      </w:r>
    </w:p>
    <w:p w:rsidR="005011A6" w:rsidRPr="00D15040" w:rsidRDefault="005011A6" w:rsidP="005011A6">
      <w:pPr>
        <w:tabs>
          <w:tab w:val="left" w:pos="360"/>
        </w:tabs>
        <w:rPr>
          <w:rFonts w:cs="Tahoma"/>
          <w:szCs w:val="20"/>
          <w:lang w:val="de-DE"/>
        </w:rPr>
      </w:pPr>
    </w:p>
    <w:p w:rsidR="00456002" w:rsidRPr="00BB5519" w:rsidRDefault="00456002" w:rsidP="00366502">
      <w:pPr>
        <w:tabs>
          <w:tab w:val="left" w:pos="360"/>
        </w:tabs>
        <w:rPr>
          <w:lang w:val="de-DE"/>
        </w:rPr>
      </w:pPr>
      <w:r w:rsidRPr="00BB5519">
        <w:rPr>
          <w:rFonts w:cs="Tahoma"/>
          <w:szCs w:val="20"/>
          <w:lang w:val="de-DE"/>
        </w:rPr>
        <w:t>In der Tabelle unten werden die Konzern-Onlinedienste und erforderlichen CALs (sofern zutreffend) aufgeführt, die die konzernweite Anforderung für Konzernprodukte erfüllen.</w:t>
      </w:r>
      <w:r w:rsidR="009E4976" w:rsidRPr="00BB5519">
        <w:rPr>
          <w:rFonts w:cs="Tahoma"/>
          <w:szCs w:val="20"/>
          <w:lang w:val="de-DE"/>
        </w:rPr>
        <w:t xml:space="preserve"> </w:t>
      </w:r>
    </w:p>
    <w:p w:rsidR="00456002" w:rsidRPr="00BB5519" w:rsidRDefault="00456002" w:rsidP="0055442E">
      <w:pPr>
        <w:ind w:left="720"/>
        <w:rPr>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BB5519"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BB5519" w:rsidRDefault="00456002" w:rsidP="005C647E">
            <w:pPr>
              <w:keepNext/>
              <w:jc w:val="center"/>
              <w:rPr>
                <w:rFonts w:cs="Tahoma"/>
                <w:b/>
              </w:rPr>
            </w:pPr>
            <w:r w:rsidRPr="00BB5519">
              <w:rPr>
                <w:rFonts w:cs="Tahoma"/>
                <w:b/>
              </w:rPr>
              <w:t>Konzernprodukt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BB5519" w:rsidRDefault="00456002" w:rsidP="005C647E">
            <w:pPr>
              <w:keepNext/>
              <w:jc w:val="center"/>
              <w:rPr>
                <w:rFonts w:cs="Tahoma"/>
                <w:b/>
              </w:rPr>
            </w:pPr>
            <w:r w:rsidRPr="00BB5519">
              <w:rPr>
                <w:rFonts w:cs="Tahoma"/>
                <w:b/>
                <w:bCs/>
              </w:rPr>
              <w:t>Konzern-Onlinedienst***</w:t>
            </w:r>
          </w:p>
        </w:tc>
      </w:tr>
      <w:tr w:rsidR="00E71EB9" w:rsidRPr="00BB5519"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BB5519" w:rsidRDefault="00E71EB9" w:rsidP="005C647E">
            <w:pPr>
              <w:ind w:left="144"/>
              <w:rPr>
                <w:rFonts w:cs="Tahoma"/>
                <w:szCs w:val="18"/>
              </w:rPr>
            </w:pPr>
            <w:r w:rsidRPr="00BB5519">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BB5519" w:rsidRDefault="00E71EB9" w:rsidP="00F06EC5">
            <w:pPr>
              <w:numPr>
                <w:ilvl w:val="0"/>
                <w:numId w:val="47"/>
              </w:numPr>
              <w:spacing w:before="60" w:after="60"/>
              <w:ind w:left="907"/>
            </w:pPr>
            <w:r w:rsidRPr="00BB5519">
              <w:rPr>
                <w:rFonts w:cs="Tahoma"/>
                <w:color w:val="000000"/>
                <w:szCs w:val="18"/>
              </w:rPr>
              <w:t>Office 365 (Enterprise E2)</w:t>
            </w:r>
          </w:p>
          <w:p w:rsidR="00E71EB9" w:rsidRPr="00BB5519" w:rsidRDefault="00E71EB9" w:rsidP="00822871">
            <w:pPr>
              <w:numPr>
                <w:ilvl w:val="0"/>
                <w:numId w:val="47"/>
              </w:numPr>
              <w:spacing w:after="60"/>
              <w:ind w:left="907"/>
            </w:pPr>
            <w:r w:rsidRPr="00BB5519">
              <w:rPr>
                <w:rFonts w:cs="Tahoma"/>
                <w:color w:val="000000"/>
                <w:szCs w:val="18"/>
              </w:rPr>
              <w:t>Office 365 (Enterprise E3)</w:t>
            </w:r>
          </w:p>
          <w:p w:rsidR="00E71EB9" w:rsidRPr="00BB5519" w:rsidRDefault="00E71EB9" w:rsidP="00822871">
            <w:pPr>
              <w:numPr>
                <w:ilvl w:val="0"/>
                <w:numId w:val="47"/>
              </w:numPr>
              <w:spacing w:after="60"/>
              <w:ind w:left="907"/>
            </w:pPr>
            <w:r w:rsidRPr="00BB5519">
              <w:rPr>
                <w:rFonts w:cs="Tahoma"/>
                <w:color w:val="000000"/>
                <w:szCs w:val="18"/>
              </w:rPr>
              <w:t xml:space="preserve">Office 365 (Enterprise E4) </w:t>
            </w:r>
          </w:p>
          <w:p w:rsidR="00E71EB9" w:rsidRPr="00BB5519" w:rsidRDefault="00E71EB9" w:rsidP="00822871">
            <w:pPr>
              <w:numPr>
                <w:ilvl w:val="0"/>
                <w:numId w:val="47"/>
              </w:numPr>
              <w:spacing w:after="60"/>
              <w:ind w:left="907"/>
            </w:pPr>
            <w:r w:rsidRPr="00BB5519">
              <w:rPr>
                <w:rFonts w:cs="Tahoma"/>
                <w:color w:val="000000"/>
                <w:szCs w:val="18"/>
              </w:rPr>
              <w:t>Office 365 (Government G2)</w:t>
            </w:r>
          </w:p>
          <w:p w:rsidR="00E71EB9" w:rsidRPr="00BB5519" w:rsidRDefault="00E71EB9" w:rsidP="00822871">
            <w:pPr>
              <w:numPr>
                <w:ilvl w:val="0"/>
                <w:numId w:val="47"/>
              </w:numPr>
              <w:spacing w:after="60"/>
              <w:ind w:left="907"/>
            </w:pPr>
            <w:r w:rsidRPr="00BB5519">
              <w:rPr>
                <w:rFonts w:cs="Tahoma"/>
                <w:color w:val="000000"/>
                <w:szCs w:val="18"/>
              </w:rPr>
              <w:t>Office 365 (Government G3)</w:t>
            </w:r>
          </w:p>
          <w:p w:rsidR="00E71EB9" w:rsidRPr="00BB5519" w:rsidRDefault="00E71EB9" w:rsidP="00822871">
            <w:pPr>
              <w:numPr>
                <w:ilvl w:val="0"/>
                <w:numId w:val="47"/>
              </w:numPr>
              <w:spacing w:after="60"/>
              <w:ind w:left="907"/>
            </w:pPr>
            <w:r w:rsidRPr="00BB5519">
              <w:rPr>
                <w:rFonts w:cs="Tahoma"/>
                <w:color w:val="000000"/>
                <w:szCs w:val="18"/>
              </w:rPr>
              <w:t>Office 365 (Government G4)</w:t>
            </w:r>
          </w:p>
          <w:p w:rsidR="00C571BD" w:rsidRPr="00BB5519" w:rsidRDefault="00C571BD" w:rsidP="00F06EC5">
            <w:pPr>
              <w:ind w:left="907"/>
              <w:rPr>
                <w:rFonts w:cs="Tahoma"/>
                <w:color w:val="000000"/>
                <w:szCs w:val="18"/>
              </w:rPr>
            </w:pPr>
          </w:p>
        </w:tc>
      </w:tr>
      <w:tr w:rsidR="00E71EB9" w:rsidRPr="00BB5519"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BB5519" w:rsidRDefault="00E71EB9" w:rsidP="005C647E">
            <w:pPr>
              <w:ind w:left="144"/>
              <w:rPr>
                <w:rFonts w:cs="Tahoma"/>
                <w:szCs w:val="18"/>
              </w:rPr>
            </w:pPr>
            <w:r w:rsidRPr="00BB5519">
              <w:rPr>
                <w:rFonts w:cs="Tahoma"/>
                <w:szCs w:val="18"/>
              </w:rPr>
              <w:t>Core-CAL-Suite</w:t>
            </w:r>
          </w:p>
        </w:tc>
        <w:tc>
          <w:tcPr>
            <w:tcW w:w="4157" w:type="dxa"/>
            <w:tcBorders>
              <w:top w:val="nil"/>
              <w:left w:val="nil"/>
              <w:bottom w:val="single" w:sz="4" w:space="0" w:color="auto"/>
              <w:right w:val="single" w:sz="8" w:space="0" w:color="auto"/>
            </w:tcBorders>
            <w:vAlign w:val="center"/>
          </w:tcPr>
          <w:p w:rsidR="008368B4" w:rsidRPr="00BB5519" w:rsidRDefault="008368B4" w:rsidP="008368B4">
            <w:pPr>
              <w:numPr>
                <w:ilvl w:val="0"/>
                <w:numId w:val="47"/>
              </w:numPr>
              <w:spacing w:before="60" w:after="60"/>
              <w:ind w:left="907"/>
            </w:pPr>
            <w:r w:rsidRPr="00BB5519">
              <w:rPr>
                <w:rFonts w:cs="Tahoma"/>
                <w:color w:val="000000"/>
                <w:szCs w:val="18"/>
              </w:rPr>
              <w:t>Office 365 (Enterprise E1)*</w:t>
            </w:r>
          </w:p>
          <w:p w:rsidR="008368B4" w:rsidRPr="00BB5519" w:rsidRDefault="008368B4" w:rsidP="008368B4">
            <w:pPr>
              <w:numPr>
                <w:ilvl w:val="0"/>
                <w:numId w:val="47"/>
              </w:numPr>
              <w:spacing w:after="60"/>
            </w:pPr>
            <w:r w:rsidRPr="00BB5519">
              <w:rPr>
                <w:rFonts w:cs="Tahoma"/>
                <w:color w:val="000000"/>
                <w:szCs w:val="18"/>
              </w:rPr>
              <w:t>Office 365 (Enterprise E2)*</w:t>
            </w:r>
          </w:p>
          <w:p w:rsidR="008368B4" w:rsidRPr="00BB5519" w:rsidRDefault="008368B4" w:rsidP="008368B4">
            <w:pPr>
              <w:numPr>
                <w:ilvl w:val="0"/>
                <w:numId w:val="47"/>
              </w:numPr>
              <w:spacing w:after="60"/>
            </w:pPr>
            <w:r w:rsidRPr="00BB5519">
              <w:rPr>
                <w:rFonts w:cs="Tahoma"/>
                <w:color w:val="000000"/>
                <w:szCs w:val="18"/>
              </w:rPr>
              <w:t>Office 365 (Enterprise E3)*</w:t>
            </w:r>
          </w:p>
          <w:p w:rsidR="008368B4" w:rsidRPr="00BB5519" w:rsidRDefault="008368B4" w:rsidP="008368B4">
            <w:pPr>
              <w:numPr>
                <w:ilvl w:val="0"/>
                <w:numId w:val="47"/>
              </w:numPr>
              <w:spacing w:after="60"/>
            </w:pPr>
            <w:r w:rsidRPr="00BB5519">
              <w:rPr>
                <w:rFonts w:cs="Tahoma"/>
                <w:color w:val="000000"/>
                <w:szCs w:val="18"/>
              </w:rPr>
              <w:t>Office 365 (Enterprise E4)*</w:t>
            </w:r>
          </w:p>
          <w:p w:rsidR="008368B4" w:rsidRPr="00BB5519" w:rsidRDefault="008368B4" w:rsidP="008368B4">
            <w:pPr>
              <w:numPr>
                <w:ilvl w:val="0"/>
                <w:numId w:val="47"/>
              </w:numPr>
              <w:spacing w:after="60"/>
            </w:pPr>
            <w:r w:rsidRPr="00BB5519">
              <w:rPr>
                <w:rFonts w:cs="Tahoma"/>
                <w:color w:val="000000"/>
                <w:szCs w:val="18"/>
              </w:rPr>
              <w:t>Office 365 (Government G1)*</w:t>
            </w:r>
          </w:p>
          <w:p w:rsidR="008368B4" w:rsidRPr="00BB5519" w:rsidRDefault="008368B4" w:rsidP="008368B4">
            <w:pPr>
              <w:numPr>
                <w:ilvl w:val="0"/>
                <w:numId w:val="47"/>
              </w:numPr>
              <w:spacing w:after="60"/>
            </w:pPr>
            <w:r w:rsidRPr="00BB5519">
              <w:rPr>
                <w:rFonts w:cs="Tahoma"/>
                <w:color w:val="000000"/>
                <w:szCs w:val="18"/>
              </w:rPr>
              <w:t>Office 365 (Government G2)*</w:t>
            </w:r>
          </w:p>
          <w:p w:rsidR="008368B4" w:rsidRPr="00BB5519" w:rsidRDefault="004D2744" w:rsidP="008368B4">
            <w:pPr>
              <w:numPr>
                <w:ilvl w:val="0"/>
                <w:numId w:val="47"/>
              </w:numPr>
              <w:spacing w:after="60"/>
            </w:pPr>
            <w:r w:rsidRPr="00BB5519">
              <w:rPr>
                <w:rFonts w:cs="Tahoma"/>
                <w:color w:val="000000"/>
                <w:szCs w:val="18"/>
              </w:rPr>
              <w:t>Office 365 (Government G3)*</w:t>
            </w:r>
          </w:p>
          <w:p w:rsidR="008368B4" w:rsidRPr="00BB5519" w:rsidRDefault="008368B4" w:rsidP="008368B4">
            <w:pPr>
              <w:numPr>
                <w:ilvl w:val="0"/>
                <w:numId w:val="47"/>
              </w:numPr>
              <w:spacing w:after="60"/>
            </w:pPr>
            <w:r w:rsidRPr="00BB5519">
              <w:rPr>
                <w:rFonts w:cs="Tahoma"/>
                <w:color w:val="000000"/>
                <w:szCs w:val="18"/>
              </w:rPr>
              <w:t>Office 365 (Government G4)*</w:t>
            </w:r>
          </w:p>
          <w:p w:rsidR="00822871" w:rsidRPr="00BB5519" w:rsidRDefault="00E71EB9" w:rsidP="00822871">
            <w:pPr>
              <w:numPr>
                <w:ilvl w:val="0"/>
                <w:numId w:val="47"/>
              </w:numPr>
              <w:spacing w:after="60"/>
            </w:pPr>
            <w:r w:rsidRPr="00BB5519">
              <w:rPr>
                <w:rFonts w:cs="Tahoma"/>
                <w:color w:val="000000"/>
                <w:szCs w:val="18"/>
              </w:rPr>
              <w:t xml:space="preserve">Windows Intune* </w:t>
            </w:r>
          </w:p>
          <w:p w:rsidR="00822871" w:rsidRPr="00BB5519" w:rsidRDefault="00822871" w:rsidP="00F06EC5">
            <w:pPr>
              <w:ind w:left="907"/>
              <w:rPr>
                <w:rFonts w:cs="Tahoma"/>
                <w:color w:val="000000"/>
                <w:szCs w:val="18"/>
              </w:rPr>
            </w:pPr>
          </w:p>
        </w:tc>
      </w:tr>
      <w:tr w:rsidR="00E71EB9" w:rsidRPr="00BB5519"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BB5519" w:rsidRDefault="00E71EB9" w:rsidP="005011A6">
            <w:pPr>
              <w:keepNext/>
              <w:keepLines/>
              <w:ind w:left="144"/>
              <w:rPr>
                <w:rFonts w:cs="Tahoma"/>
                <w:szCs w:val="18"/>
              </w:rPr>
            </w:pPr>
            <w:r w:rsidRPr="00BB5519">
              <w:rPr>
                <w:rFonts w:cs="Tahoma"/>
                <w:szCs w:val="18"/>
              </w:rPr>
              <w:lastRenderedPageBreak/>
              <w:t>Enterprise-CAL-Suite</w:t>
            </w:r>
          </w:p>
        </w:tc>
        <w:tc>
          <w:tcPr>
            <w:tcW w:w="4157" w:type="dxa"/>
            <w:tcBorders>
              <w:top w:val="single" w:sz="4" w:space="0" w:color="auto"/>
              <w:left w:val="nil"/>
              <w:bottom w:val="single" w:sz="4" w:space="0" w:color="auto"/>
              <w:right w:val="single" w:sz="8" w:space="0" w:color="auto"/>
            </w:tcBorders>
            <w:vAlign w:val="center"/>
          </w:tcPr>
          <w:p w:rsidR="008368B4" w:rsidRPr="00BB5519" w:rsidRDefault="008368B4" w:rsidP="005011A6">
            <w:pPr>
              <w:keepNext/>
              <w:keepLines/>
              <w:numPr>
                <w:ilvl w:val="0"/>
                <w:numId w:val="48"/>
              </w:numPr>
              <w:spacing w:before="60" w:after="60"/>
              <w:ind w:left="907"/>
            </w:pPr>
            <w:r w:rsidRPr="00BB5519">
              <w:rPr>
                <w:rFonts w:eastAsia="Calibri" w:cs="Tahoma"/>
                <w:color w:val="000000"/>
                <w:szCs w:val="18"/>
              </w:rPr>
              <w:t xml:space="preserve">Office 365 </w:t>
            </w:r>
            <w:r w:rsidRPr="00BB5519">
              <w:rPr>
                <w:rFonts w:cs="Tahoma"/>
                <w:color w:val="000000"/>
                <w:szCs w:val="18"/>
              </w:rPr>
              <w:t>(Enterprise E3)*</w:t>
            </w:r>
          </w:p>
          <w:p w:rsidR="008368B4" w:rsidRPr="00BB5519" w:rsidRDefault="008368B4" w:rsidP="005011A6">
            <w:pPr>
              <w:keepNext/>
              <w:keepLines/>
              <w:numPr>
                <w:ilvl w:val="0"/>
                <w:numId w:val="48"/>
              </w:numPr>
              <w:spacing w:after="60"/>
            </w:pPr>
            <w:r w:rsidRPr="00BB5519">
              <w:rPr>
                <w:rFonts w:eastAsia="Calibri" w:cs="Tahoma"/>
                <w:color w:val="000000"/>
                <w:szCs w:val="18"/>
              </w:rPr>
              <w:t xml:space="preserve">Office 365 </w:t>
            </w:r>
            <w:r w:rsidRPr="00BB5519">
              <w:rPr>
                <w:rFonts w:cs="Tahoma"/>
                <w:color w:val="000000"/>
                <w:szCs w:val="18"/>
              </w:rPr>
              <w:t>(Enterprise E4)*</w:t>
            </w:r>
          </w:p>
          <w:p w:rsidR="008368B4" w:rsidRPr="00BB5519" w:rsidRDefault="008368B4" w:rsidP="005011A6">
            <w:pPr>
              <w:keepNext/>
              <w:keepLines/>
              <w:numPr>
                <w:ilvl w:val="0"/>
                <w:numId w:val="48"/>
              </w:numPr>
              <w:spacing w:after="60"/>
            </w:pPr>
            <w:r w:rsidRPr="00BB5519">
              <w:rPr>
                <w:rFonts w:eastAsia="Calibri" w:cs="Tahoma"/>
                <w:color w:val="000000"/>
                <w:szCs w:val="18"/>
              </w:rPr>
              <w:t xml:space="preserve">Office 365 </w:t>
            </w:r>
            <w:r w:rsidRPr="00BB5519">
              <w:rPr>
                <w:rFonts w:cs="Tahoma"/>
                <w:color w:val="000000"/>
                <w:szCs w:val="18"/>
              </w:rPr>
              <w:t>(Government G3)*</w:t>
            </w:r>
          </w:p>
          <w:p w:rsidR="008368B4" w:rsidRPr="00BB5519" w:rsidRDefault="008368B4" w:rsidP="005011A6">
            <w:pPr>
              <w:keepNext/>
              <w:keepLines/>
              <w:numPr>
                <w:ilvl w:val="0"/>
                <w:numId w:val="48"/>
              </w:numPr>
              <w:spacing w:after="60"/>
            </w:pPr>
            <w:r w:rsidRPr="00BB5519">
              <w:rPr>
                <w:rFonts w:eastAsia="Calibri" w:cs="Tahoma"/>
                <w:color w:val="000000"/>
                <w:szCs w:val="18"/>
              </w:rPr>
              <w:t xml:space="preserve">Office 365 </w:t>
            </w:r>
            <w:r w:rsidRPr="00BB5519">
              <w:rPr>
                <w:rFonts w:cs="Tahoma"/>
                <w:color w:val="000000"/>
                <w:szCs w:val="18"/>
              </w:rPr>
              <w:t>(Government G4)*</w:t>
            </w:r>
          </w:p>
          <w:p w:rsidR="00E71EB9" w:rsidRPr="005011A6" w:rsidRDefault="00E71EB9" w:rsidP="005011A6">
            <w:pPr>
              <w:keepNext/>
              <w:keepLines/>
              <w:numPr>
                <w:ilvl w:val="0"/>
                <w:numId w:val="48"/>
              </w:numPr>
              <w:spacing w:after="60"/>
            </w:pPr>
            <w:r w:rsidRPr="00BB5519">
              <w:rPr>
                <w:rFonts w:cs="Tahoma"/>
                <w:color w:val="000000"/>
                <w:szCs w:val="18"/>
              </w:rPr>
              <w:t>Windows Intune*</w:t>
            </w:r>
          </w:p>
          <w:p w:rsidR="005011A6" w:rsidRPr="005011A6" w:rsidRDefault="005011A6" w:rsidP="005011A6">
            <w:pPr>
              <w:keepNext/>
              <w:keepLines/>
              <w:spacing w:after="60"/>
              <w:ind w:left="901"/>
            </w:pPr>
          </w:p>
        </w:tc>
      </w:tr>
    </w:tbl>
    <w:p w:rsidR="00456002" w:rsidRPr="00BB5519" w:rsidRDefault="00456002" w:rsidP="00456002">
      <w:pPr>
        <w:tabs>
          <w:tab w:val="left" w:pos="360"/>
        </w:tabs>
        <w:ind w:left="720"/>
        <w:rPr>
          <w:lang w:val="de-DE"/>
        </w:rPr>
      </w:pPr>
      <w:r w:rsidRPr="00BB5519">
        <w:rPr>
          <w:rFonts w:cs="Tahoma"/>
          <w:i/>
          <w:sz w:val="16"/>
          <w:szCs w:val="20"/>
          <w:lang w:val="de-DE"/>
        </w:rPr>
        <w:t>* Erfordert eine entsprechende CAL Suite Bridge. Weitere Informationen zu CAL Suite Bridge finden Sie im Abschnitt „Produkthinweise“ dieses Dokuments.</w:t>
      </w:r>
    </w:p>
    <w:p w:rsidR="00456002" w:rsidRPr="00BB5519" w:rsidRDefault="00456002" w:rsidP="005011A6">
      <w:pPr>
        <w:tabs>
          <w:tab w:val="left" w:pos="360"/>
        </w:tabs>
        <w:ind w:left="720"/>
        <w:rPr>
          <w:lang w:val="de-DE"/>
        </w:rPr>
      </w:pPr>
      <w:r w:rsidRPr="00BB5519">
        <w:rPr>
          <w:rFonts w:cs="Tahoma"/>
          <w:i/>
          <w:sz w:val="16"/>
          <w:szCs w:val="20"/>
          <w:lang w:val="de-DE"/>
        </w:rPr>
        <w:t>** Office Professional Plus in Office 365 und Windows VDA sind Konzernprodukte und entsprechen möglicherweise auch</w:t>
      </w:r>
      <w:r w:rsidR="005011A6">
        <w:rPr>
          <w:rFonts w:cs="Tahoma"/>
          <w:i/>
          <w:sz w:val="16"/>
          <w:szCs w:val="20"/>
          <w:lang w:val="de-DE"/>
        </w:rPr>
        <w:t> </w:t>
      </w:r>
      <w:r w:rsidRPr="00BB5519">
        <w:rPr>
          <w:rFonts w:cs="Tahoma"/>
          <w:i/>
          <w:sz w:val="16"/>
          <w:szCs w:val="20"/>
          <w:lang w:val="de-DE"/>
        </w:rPr>
        <w:t>der Konzernweiten Anforderung.</w:t>
      </w:r>
    </w:p>
    <w:p w:rsidR="00456002" w:rsidRPr="00BB5519" w:rsidRDefault="00456002" w:rsidP="00366502">
      <w:pPr>
        <w:tabs>
          <w:tab w:val="left" w:pos="360"/>
        </w:tabs>
        <w:ind w:left="720"/>
        <w:rPr>
          <w:lang w:val="de-DE"/>
        </w:rPr>
      </w:pPr>
      <w:r w:rsidRPr="00BB5519">
        <w:rPr>
          <w:rFonts w:cs="Tahoma"/>
          <w:i/>
          <w:sz w:val="16"/>
          <w:szCs w:val="20"/>
          <w:lang w:val="de-DE"/>
        </w:rPr>
        <w:t>*** Konzern-Onlinedienste umfassen nur Nutzer-ALs zur vollständigen Verwendung.</w:t>
      </w:r>
      <w:r w:rsidR="009E4976" w:rsidRPr="00BB5519">
        <w:rPr>
          <w:rFonts w:cs="Tahoma"/>
          <w:i/>
          <w:sz w:val="16"/>
          <w:szCs w:val="20"/>
          <w:lang w:val="de-DE"/>
        </w:rPr>
        <w:t xml:space="preserve"> </w:t>
      </w:r>
      <w:r w:rsidRPr="00BB5519">
        <w:rPr>
          <w:rFonts w:cs="Tahoma"/>
          <w:i/>
          <w:sz w:val="16"/>
          <w:szCs w:val="20"/>
          <w:lang w:val="de-DE"/>
        </w:rPr>
        <w:t>Nutzer-ALs für Software Assurance, für deren Erwerb Core CAL oder Enterprise CAL erforderlich ist, sind keine Konzern-Onlinedienste.</w:t>
      </w:r>
    </w:p>
    <w:p w:rsidR="005011A6" w:rsidRPr="00D15040" w:rsidRDefault="005011A6" w:rsidP="005011A6">
      <w:pPr>
        <w:tabs>
          <w:tab w:val="left" w:pos="360"/>
        </w:tabs>
        <w:ind w:left="720"/>
        <w:rPr>
          <w:rFonts w:cs="Tahoma"/>
          <w:b/>
          <w:szCs w:val="18"/>
          <w:lang w:val="de-DE"/>
        </w:rPr>
      </w:pPr>
    </w:p>
    <w:p w:rsidR="00456002" w:rsidRPr="00D15040" w:rsidRDefault="00456002" w:rsidP="0055442E">
      <w:pPr>
        <w:tabs>
          <w:tab w:val="left" w:pos="360"/>
        </w:tabs>
        <w:spacing w:after="60"/>
        <w:rPr>
          <w:rFonts w:cs="Tahoma"/>
          <w:b/>
          <w:szCs w:val="18"/>
          <w:lang w:val="de-DE"/>
        </w:rPr>
      </w:pPr>
      <w:r w:rsidRPr="00D15040">
        <w:rPr>
          <w:rFonts w:cs="Tahoma"/>
          <w:b/>
          <w:szCs w:val="18"/>
          <w:lang w:val="de-DE"/>
        </w:rPr>
        <w:t>Zulässige Übergänge</w:t>
      </w:r>
    </w:p>
    <w:p w:rsidR="00456002" w:rsidRPr="00BB5519" w:rsidRDefault="0014632E" w:rsidP="00366502">
      <w:pPr>
        <w:tabs>
          <w:tab w:val="left" w:pos="360"/>
        </w:tabs>
        <w:rPr>
          <w:lang w:val="de-DE"/>
        </w:rPr>
      </w:pPr>
      <w:r w:rsidRPr="00BB5519">
        <w:rPr>
          <w:rFonts w:cs="Tahoma"/>
          <w:b/>
          <w:szCs w:val="20"/>
          <w:lang w:val="de-DE"/>
        </w:rPr>
        <w:t>Anmerkung:</w:t>
      </w:r>
      <w:r w:rsidRPr="00F27BD2">
        <w:rPr>
          <w:rFonts w:cs="Tahoma"/>
          <w:bCs/>
          <w:szCs w:val="20"/>
          <w:lang w:val="de-DE"/>
        </w:rPr>
        <w:t xml:space="preserve"> </w:t>
      </w:r>
      <w:r w:rsidRPr="00BB5519">
        <w:rPr>
          <w:rFonts w:cs="Tahoma"/>
          <w:szCs w:val="20"/>
          <w:lang w:val="de-DE"/>
        </w:rPr>
        <w:t>Die folgenden Bestimmungen gelten für Kunden mit Konzern- und Konzern-Abonnement-Beitritt, die Übergangsrechte besitzen.</w:t>
      </w:r>
      <w:r w:rsidR="009E4976" w:rsidRPr="00BB5519">
        <w:rPr>
          <w:rFonts w:cs="Tahoma"/>
          <w:szCs w:val="20"/>
          <w:lang w:val="de-DE"/>
        </w:rPr>
        <w:t xml:space="preserve"> </w:t>
      </w:r>
      <w:r w:rsidRPr="00BB5519">
        <w:rPr>
          <w:rFonts w:cs="Tahoma"/>
          <w:szCs w:val="20"/>
          <w:lang w:val="de-DE"/>
        </w:rPr>
        <w:t>Kunden, die hinsichtlich der Übergangsrechte im Rahmen ihres Beitritts unsicher sind, erhalten von ihrem Software Advisor, Handelspartner oder Microsoft-Kundenbetreuer weitere Informationen.</w:t>
      </w:r>
      <w:r w:rsidR="009E4976" w:rsidRPr="00BB5519">
        <w:rPr>
          <w:rFonts w:cs="Tahoma"/>
          <w:szCs w:val="20"/>
          <w:lang w:val="de-DE"/>
        </w:rPr>
        <w:t xml:space="preserve"> </w:t>
      </w:r>
    </w:p>
    <w:p w:rsidR="005011A6" w:rsidRPr="00D15040" w:rsidRDefault="005011A6" w:rsidP="005011A6">
      <w:pPr>
        <w:tabs>
          <w:tab w:val="left" w:pos="360"/>
        </w:tabs>
        <w:rPr>
          <w:rFonts w:cs="Tahoma"/>
          <w:szCs w:val="20"/>
          <w:lang w:val="de-DE"/>
        </w:rPr>
      </w:pPr>
    </w:p>
    <w:p w:rsidR="00456002" w:rsidRPr="00BB5519" w:rsidRDefault="00456002" w:rsidP="00366502">
      <w:pPr>
        <w:tabs>
          <w:tab w:val="left" w:pos="360"/>
        </w:tabs>
        <w:rPr>
          <w:lang w:val="de-DE"/>
        </w:rPr>
      </w:pPr>
      <w:r w:rsidRPr="00BB5519">
        <w:rPr>
          <w:rFonts w:cs="Tahoma"/>
          <w:szCs w:val="20"/>
          <w:lang w:val="de-DE"/>
        </w:rPr>
        <w:t>In der Tabelle unten sind Produkte, die für einen Übergang berechtigt sind, sowie zulässige Übergänge aufgeführt.</w:t>
      </w:r>
      <w:r w:rsidR="009E4976" w:rsidRPr="00BB5519">
        <w:rPr>
          <w:rFonts w:cs="Tahoma"/>
          <w:szCs w:val="20"/>
          <w:lang w:val="de-DE"/>
        </w:rPr>
        <w:t xml:space="preserve"> </w:t>
      </w:r>
      <w:r w:rsidRPr="00BB5519">
        <w:rPr>
          <w:rFonts w:cs="Tahoma"/>
          <w:szCs w:val="20"/>
          <w:lang w:val="de-DE"/>
        </w:rPr>
        <w:t>Sie enthält auch Produkte, bei denen ein Übergang erfolgt, wenn sie als Bestandteil einer Desktop-Plattform erworben werden.</w:t>
      </w:r>
    </w:p>
    <w:p w:rsidR="00456002" w:rsidRPr="00BB5519" w:rsidRDefault="00456002" w:rsidP="00456002">
      <w:pPr>
        <w:tabs>
          <w:tab w:val="left" w:pos="360"/>
        </w:tabs>
        <w:ind w:left="720"/>
        <w:rPr>
          <w:lang w:val="de-DE"/>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BB5519" w:rsidTr="005011A6">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BB5519" w:rsidRDefault="00456002" w:rsidP="005011A6">
            <w:pPr>
              <w:keepNext/>
              <w:spacing w:before="40" w:after="40"/>
              <w:jc w:val="center"/>
              <w:rPr>
                <w:rFonts w:cs="Tahoma"/>
                <w:b/>
                <w:lang w:val="de-DE"/>
              </w:rPr>
            </w:pPr>
            <w:r w:rsidRPr="00BB5519">
              <w:rPr>
                <w:rFonts w:cs="Tahoma"/>
                <w:b/>
                <w:lang w:val="de-DE"/>
              </w:rPr>
              <w:t>Für einen Übergang berechtigte Konzernprodukte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BB5519" w:rsidRDefault="00456002" w:rsidP="005011A6">
            <w:pPr>
              <w:keepNext/>
              <w:spacing w:before="40" w:after="40"/>
              <w:jc w:val="center"/>
              <w:rPr>
                <w:rFonts w:cs="Tahoma"/>
                <w:b/>
              </w:rPr>
            </w:pPr>
            <w:r w:rsidRPr="00BB5519">
              <w:rPr>
                <w:rFonts w:cs="Tahoma"/>
                <w:b/>
              </w:rPr>
              <w:t>Gültige Übergangsoptionen</w:t>
            </w:r>
          </w:p>
        </w:tc>
      </w:tr>
      <w:tr w:rsidR="00A32052" w:rsidRPr="00BB5519"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BB5519" w:rsidRDefault="00A32052" w:rsidP="005C647E">
            <w:pPr>
              <w:spacing w:before="60" w:after="60"/>
              <w:ind w:left="144"/>
              <w:rPr>
                <w:rFonts w:cs="Tahoma"/>
              </w:rPr>
            </w:pPr>
            <w:r w:rsidRPr="00BB5519">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BB5519" w:rsidRDefault="008368B4" w:rsidP="008368B4">
            <w:pPr>
              <w:numPr>
                <w:ilvl w:val="0"/>
                <w:numId w:val="49"/>
              </w:numPr>
              <w:spacing w:before="60" w:after="60"/>
            </w:pPr>
            <w:r w:rsidRPr="00BB5519">
              <w:rPr>
                <w:rFonts w:cs="Tahoma"/>
                <w:color w:val="000000"/>
                <w:szCs w:val="18"/>
              </w:rPr>
              <w:t>Office 365 (Enterprise E1)*</w:t>
            </w:r>
          </w:p>
          <w:p w:rsidR="008368B4" w:rsidRPr="00BB5519" w:rsidRDefault="008368B4" w:rsidP="008368B4">
            <w:pPr>
              <w:numPr>
                <w:ilvl w:val="0"/>
                <w:numId w:val="49"/>
              </w:numPr>
              <w:spacing w:after="60"/>
            </w:pPr>
            <w:r w:rsidRPr="00BB5519">
              <w:rPr>
                <w:rFonts w:cs="Tahoma"/>
                <w:color w:val="000000"/>
                <w:szCs w:val="18"/>
              </w:rPr>
              <w:t>Office 365 (Enterprise E2)*</w:t>
            </w:r>
          </w:p>
          <w:p w:rsidR="008368B4" w:rsidRPr="00BB5519" w:rsidRDefault="008368B4" w:rsidP="008368B4">
            <w:pPr>
              <w:numPr>
                <w:ilvl w:val="0"/>
                <w:numId w:val="49"/>
              </w:numPr>
              <w:spacing w:after="60"/>
            </w:pPr>
            <w:r w:rsidRPr="00BB5519">
              <w:rPr>
                <w:rFonts w:cs="Tahoma"/>
                <w:color w:val="000000"/>
                <w:szCs w:val="18"/>
              </w:rPr>
              <w:t>Office 365 (Enterprise E3)*</w:t>
            </w:r>
          </w:p>
          <w:p w:rsidR="008368B4" w:rsidRPr="00BB5519" w:rsidRDefault="008368B4" w:rsidP="008368B4">
            <w:pPr>
              <w:numPr>
                <w:ilvl w:val="0"/>
                <w:numId w:val="49"/>
              </w:numPr>
              <w:spacing w:after="60"/>
            </w:pPr>
            <w:r w:rsidRPr="00BB5519">
              <w:rPr>
                <w:rFonts w:cs="Tahoma"/>
                <w:color w:val="000000"/>
                <w:szCs w:val="18"/>
              </w:rPr>
              <w:t>Office 365 (Enterprise E4)*</w:t>
            </w:r>
          </w:p>
          <w:p w:rsidR="008368B4" w:rsidRPr="00BB5519" w:rsidRDefault="008368B4" w:rsidP="008368B4">
            <w:pPr>
              <w:numPr>
                <w:ilvl w:val="0"/>
                <w:numId w:val="49"/>
              </w:numPr>
              <w:spacing w:after="60"/>
            </w:pPr>
            <w:r w:rsidRPr="00BB5519">
              <w:rPr>
                <w:rFonts w:cs="Tahoma"/>
                <w:color w:val="000000"/>
                <w:szCs w:val="18"/>
              </w:rPr>
              <w:t>Office 365 (Government G1)*</w:t>
            </w:r>
          </w:p>
          <w:p w:rsidR="008368B4" w:rsidRPr="00BB5519" w:rsidRDefault="008368B4" w:rsidP="008368B4">
            <w:pPr>
              <w:numPr>
                <w:ilvl w:val="0"/>
                <w:numId w:val="49"/>
              </w:numPr>
              <w:spacing w:after="60"/>
            </w:pPr>
            <w:r w:rsidRPr="00BB5519">
              <w:rPr>
                <w:rFonts w:cs="Tahoma"/>
                <w:color w:val="000000"/>
                <w:szCs w:val="18"/>
              </w:rPr>
              <w:t>Office 365 (Government G2)*</w:t>
            </w:r>
          </w:p>
          <w:p w:rsidR="008368B4" w:rsidRPr="00BB5519" w:rsidRDefault="008368B4" w:rsidP="008368B4">
            <w:pPr>
              <w:numPr>
                <w:ilvl w:val="0"/>
                <w:numId w:val="49"/>
              </w:numPr>
              <w:spacing w:after="60"/>
            </w:pPr>
            <w:r w:rsidRPr="00BB5519">
              <w:rPr>
                <w:rFonts w:cs="Tahoma"/>
                <w:color w:val="000000"/>
                <w:szCs w:val="18"/>
              </w:rPr>
              <w:t>Office 365 (Government G3)*</w:t>
            </w:r>
          </w:p>
          <w:p w:rsidR="008368B4" w:rsidRPr="00BB5519" w:rsidRDefault="008368B4" w:rsidP="008368B4">
            <w:pPr>
              <w:numPr>
                <w:ilvl w:val="0"/>
                <w:numId w:val="49"/>
              </w:numPr>
              <w:spacing w:after="60"/>
            </w:pPr>
            <w:r w:rsidRPr="00BB5519">
              <w:rPr>
                <w:rFonts w:cs="Tahoma"/>
                <w:color w:val="000000"/>
                <w:szCs w:val="18"/>
              </w:rPr>
              <w:t>Office 365 (Government G4)*</w:t>
            </w:r>
          </w:p>
          <w:p w:rsidR="00A32052" w:rsidRPr="00BB5519" w:rsidRDefault="00A32052" w:rsidP="00024C3C">
            <w:pPr>
              <w:numPr>
                <w:ilvl w:val="0"/>
                <w:numId w:val="49"/>
              </w:numPr>
              <w:ind w:right="144"/>
            </w:pPr>
            <w:r w:rsidRPr="00BB5519">
              <w:rPr>
                <w:rFonts w:cs="Tahoma"/>
                <w:color w:val="000000"/>
              </w:rPr>
              <w:t>Windows Intune*</w:t>
            </w:r>
          </w:p>
          <w:p w:rsidR="00A32052" w:rsidRPr="00BB5519" w:rsidRDefault="00A32052" w:rsidP="0055442E">
            <w:pPr>
              <w:ind w:left="720" w:right="144"/>
              <w:rPr>
                <w:rFonts w:cs="Tahoma"/>
                <w:color w:val="000000"/>
              </w:rPr>
            </w:pPr>
          </w:p>
        </w:tc>
      </w:tr>
      <w:tr w:rsidR="00A32052" w:rsidRPr="00BB5519" w:rsidTr="00B752E7">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BB5519" w:rsidRDefault="00A32052" w:rsidP="005C647E">
            <w:pPr>
              <w:spacing w:before="60" w:after="60"/>
              <w:ind w:left="144"/>
              <w:rPr>
                <w:rFonts w:cs="Tahoma"/>
              </w:rPr>
            </w:pPr>
            <w:r w:rsidRPr="00BB5519">
              <w:rPr>
                <w:rFonts w:cs="Tahoma"/>
              </w:rPr>
              <w:t>Enterprise-CAL-Suite</w:t>
            </w:r>
          </w:p>
        </w:tc>
        <w:tc>
          <w:tcPr>
            <w:tcW w:w="4334" w:type="dxa"/>
            <w:tcBorders>
              <w:top w:val="nil"/>
              <w:left w:val="nil"/>
              <w:bottom w:val="single" w:sz="8" w:space="0" w:color="auto"/>
              <w:right w:val="single" w:sz="8" w:space="0" w:color="auto"/>
            </w:tcBorders>
            <w:vAlign w:val="center"/>
          </w:tcPr>
          <w:p w:rsidR="00A32052" w:rsidRPr="00BB5519" w:rsidRDefault="00A32052" w:rsidP="0055442E">
            <w:pPr>
              <w:numPr>
                <w:ilvl w:val="0"/>
                <w:numId w:val="49"/>
              </w:numPr>
              <w:spacing w:before="60" w:after="60"/>
            </w:pPr>
            <w:r w:rsidRPr="00BB5519">
              <w:rPr>
                <w:rFonts w:cs="Tahoma"/>
                <w:color w:val="000000"/>
                <w:szCs w:val="18"/>
              </w:rPr>
              <w:t>Office 365 (Enterprise E3)*</w:t>
            </w:r>
          </w:p>
          <w:p w:rsidR="00A32052" w:rsidRPr="00BB5519" w:rsidRDefault="00A32052" w:rsidP="00024C3C">
            <w:pPr>
              <w:numPr>
                <w:ilvl w:val="0"/>
                <w:numId w:val="49"/>
              </w:numPr>
              <w:spacing w:after="60"/>
            </w:pPr>
            <w:r w:rsidRPr="00BB5519">
              <w:rPr>
                <w:rFonts w:cs="Tahoma"/>
                <w:color w:val="000000"/>
                <w:szCs w:val="18"/>
              </w:rPr>
              <w:t>Office 365 (Enterprise E4)*</w:t>
            </w:r>
          </w:p>
          <w:p w:rsidR="004D2744" w:rsidRPr="00BB5519" w:rsidRDefault="004D2744" w:rsidP="004D2744">
            <w:pPr>
              <w:numPr>
                <w:ilvl w:val="0"/>
                <w:numId w:val="49"/>
              </w:numPr>
              <w:spacing w:after="60"/>
            </w:pPr>
            <w:r w:rsidRPr="00BB5519">
              <w:rPr>
                <w:rFonts w:cs="Tahoma"/>
                <w:color w:val="000000"/>
                <w:szCs w:val="18"/>
              </w:rPr>
              <w:t>Office 365 (Enterprise G3)*</w:t>
            </w:r>
          </w:p>
          <w:p w:rsidR="004D2744" w:rsidRPr="00BB5519" w:rsidRDefault="004D2744" w:rsidP="004D2744">
            <w:pPr>
              <w:numPr>
                <w:ilvl w:val="0"/>
                <w:numId w:val="49"/>
              </w:numPr>
              <w:spacing w:after="60"/>
            </w:pPr>
            <w:r w:rsidRPr="00BB5519">
              <w:rPr>
                <w:rFonts w:cs="Tahoma"/>
                <w:color w:val="000000"/>
                <w:szCs w:val="18"/>
              </w:rPr>
              <w:t>Office 365 (Enterprise G4)*</w:t>
            </w:r>
          </w:p>
          <w:p w:rsidR="00A32052" w:rsidRPr="00BB5519" w:rsidRDefault="00A32052" w:rsidP="00024C3C">
            <w:pPr>
              <w:numPr>
                <w:ilvl w:val="0"/>
                <w:numId w:val="49"/>
              </w:numPr>
              <w:ind w:right="144"/>
            </w:pPr>
            <w:r w:rsidRPr="00BB5519">
              <w:rPr>
                <w:rFonts w:cs="Tahoma"/>
                <w:color w:val="000000"/>
              </w:rPr>
              <w:t>Windows</w:t>
            </w:r>
            <w:r w:rsidR="00621662" w:rsidRPr="005011A6">
              <w:rPr>
                <w:rFonts w:cs="Tahoma"/>
                <w:color w:val="000000"/>
                <w:vertAlign w:val="superscript"/>
              </w:rPr>
              <w:t>®</w:t>
            </w:r>
            <w:r w:rsidRPr="00BB5519">
              <w:rPr>
                <w:rFonts w:cs="Tahoma"/>
                <w:color w:val="000000"/>
              </w:rPr>
              <w:t xml:space="preserve"> Intune*</w:t>
            </w:r>
          </w:p>
          <w:p w:rsidR="00A32052" w:rsidRPr="00BB5519" w:rsidRDefault="00A32052" w:rsidP="00BD6C2C">
            <w:pPr>
              <w:ind w:right="144"/>
              <w:rPr>
                <w:rFonts w:cs="Tahoma"/>
                <w:color w:val="000000"/>
              </w:rPr>
            </w:pPr>
          </w:p>
        </w:tc>
      </w:tr>
      <w:tr w:rsidR="00A32052" w:rsidRPr="006F21F8" w:rsidTr="00B752E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BB5519" w:rsidRDefault="00A32052" w:rsidP="005C647E">
            <w:pPr>
              <w:spacing w:before="60" w:after="60"/>
              <w:ind w:left="144"/>
              <w:rPr>
                <w:rFonts w:cs="Tahoma"/>
              </w:rPr>
            </w:pPr>
            <w:r w:rsidRPr="00BB5519">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rsidR="004D2744" w:rsidRPr="00BB5519" w:rsidRDefault="00A32052" w:rsidP="008368B4">
            <w:pPr>
              <w:numPr>
                <w:ilvl w:val="0"/>
                <w:numId w:val="49"/>
              </w:numPr>
              <w:spacing w:after="60"/>
            </w:pPr>
            <w:r w:rsidRPr="00BB5519">
              <w:rPr>
                <w:rFonts w:cs="Tahoma"/>
                <w:color w:val="000000"/>
                <w:szCs w:val="18"/>
              </w:rPr>
              <w:t>Office 365 (Enterprise E2)*</w:t>
            </w:r>
          </w:p>
          <w:p w:rsidR="00A32052" w:rsidRPr="00BB5519" w:rsidRDefault="00A32052" w:rsidP="008368B4">
            <w:pPr>
              <w:numPr>
                <w:ilvl w:val="0"/>
                <w:numId w:val="49"/>
              </w:numPr>
              <w:spacing w:after="60"/>
            </w:pPr>
            <w:r w:rsidRPr="00BB5519">
              <w:rPr>
                <w:rFonts w:cs="Tahoma"/>
                <w:color w:val="000000"/>
                <w:szCs w:val="18"/>
              </w:rPr>
              <w:t>Office 365 (Enterprise E3)*</w:t>
            </w:r>
          </w:p>
          <w:p w:rsidR="00A32052" w:rsidRPr="00BB5519" w:rsidRDefault="00A32052" w:rsidP="00366502">
            <w:pPr>
              <w:numPr>
                <w:ilvl w:val="0"/>
                <w:numId w:val="49"/>
              </w:numPr>
              <w:spacing w:after="60"/>
            </w:pPr>
            <w:r w:rsidRPr="00BB5519">
              <w:rPr>
                <w:rFonts w:cs="Tahoma"/>
                <w:color w:val="000000"/>
                <w:szCs w:val="18"/>
              </w:rPr>
              <w:t>Office 365 (Enterprise E4)*</w:t>
            </w:r>
          </w:p>
          <w:p w:rsidR="00A32052" w:rsidRPr="00BB5519" w:rsidRDefault="00A32052" w:rsidP="00024C3C">
            <w:pPr>
              <w:numPr>
                <w:ilvl w:val="0"/>
                <w:numId w:val="49"/>
              </w:numPr>
              <w:spacing w:after="60"/>
            </w:pPr>
            <w:r w:rsidRPr="00BB5519">
              <w:rPr>
                <w:rFonts w:cs="Tahoma"/>
                <w:color w:val="000000"/>
                <w:szCs w:val="18"/>
              </w:rPr>
              <w:t xml:space="preserve">Office 365 (Government G2) </w:t>
            </w:r>
          </w:p>
          <w:p w:rsidR="00A32052" w:rsidRPr="00BB5519" w:rsidRDefault="00A32052" w:rsidP="00024C3C">
            <w:pPr>
              <w:numPr>
                <w:ilvl w:val="0"/>
                <w:numId w:val="49"/>
              </w:numPr>
              <w:spacing w:after="60"/>
            </w:pPr>
            <w:r w:rsidRPr="00BB5519">
              <w:rPr>
                <w:rFonts w:cs="Tahoma"/>
                <w:color w:val="000000"/>
                <w:szCs w:val="18"/>
              </w:rPr>
              <w:t>Office 365 (Government G3)</w:t>
            </w:r>
          </w:p>
          <w:p w:rsidR="00A32052" w:rsidRPr="00BB5519" w:rsidRDefault="00A32052" w:rsidP="00366502">
            <w:pPr>
              <w:numPr>
                <w:ilvl w:val="0"/>
                <w:numId w:val="49"/>
              </w:numPr>
              <w:spacing w:after="60"/>
            </w:pPr>
            <w:r w:rsidRPr="00BB5519">
              <w:rPr>
                <w:rFonts w:cs="Tahoma"/>
                <w:color w:val="000000"/>
                <w:szCs w:val="18"/>
              </w:rPr>
              <w:t>Office 365 (Government G4)</w:t>
            </w:r>
          </w:p>
          <w:p w:rsidR="00A32052" w:rsidRPr="00BB5519" w:rsidRDefault="00A32052" w:rsidP="00366502">
            <w:pPr>
              <w:numPr>
                <w:ilvl w:val="0"/>
                <w:numId w:val="49"/>
              </w:numPr>
              <w:spacing w:after="60"/>
              <w:rPr>
                <w:lang w:val="fr-FR"/>
              </w:rPr>
            </w:pPr>
            <w:r w:rsidRPr="00BB5519">
              <w:rPr>
                <w:rFonts w:cs="Tahoma"/>
                <w:color w:val="000000"/>
                <w:szCs w:val="18"/>
                <w:lang w:val="fr-FR"/>
              </w:rPr>
              <w:t>Office Professional Plus für Office 365</w:t>
            </w:r>
          </w:p>
          <w:p w:rsidR="002D25C8" w:rsidRPr="00BB5519" w:rsidRDefault="002D25C8" w:rsidP="0055442E">
            <w:pPr>
              <w:ind w:left="720"/>
              <w:rPr>
                <w:rFonts w:cs="Tahoma"/>
                <w:color w:val="000000"/>
                <w:lang w:val="fr-FR"/>
              </w:rPr>
            </w:pPr>
          </w:p>
        </w:tc>
      </w:tr>
      <w:tr w:rsidR="00A32052" w:rsidRPr="00BB5519" w:rsidTr="00B752E7">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BB5519" w:rsidRDefault="00A32052" w:rsidP="005C647E">
            <w:pPr>
              <w:spacing w:before="60" w:after="60"/>
              <w:ind w:left="144"/>
              <w:rPr>
                <w:rFonts w:cs="Tahoma"/>
                <w:lang w:val="fr-FR"/>
              </w:rPr>
            </w:pPr>
            <w:r w:rsidRPr="00BB5519">
              <w:rPr>
                <w:rFonts w:cs="Tahoma"/>
                <w:lang w:val="fr-FR"/>
              </w:rPr>
              <w:lastRenderedPageBreak/>
              <w:t>Office Professional Plus und Core CAL Suite</w:t>
            </w:r>
          </w:p>
        </w:tc>
        <w:tc>
          <w:tcPr>
            <w:tcW w:w="4334" w:type="dxa"/>
            <w:tcBorders>
              <w:top w:val="single" w:sz="8" w:space="0" w:color="auto"/>
              <w:left w:val="nil"/>
              <w:bottom w:val="nil"/>
              <w:right w:val="single" w:sz="8" w:space="0" w:color="auto"/>
            </w:tcBorders>
            <w:vAlign w:val="center"/>
          </w:tcPr>
          <w:p w:rsidR="008368B4" w:rsidRPr="00BB5519" w:rsidRDefault="008368B4" w:rsidP="008368B4">
            <w:pPr>
              <w:numPr>
                <w:ilvl w:val="0"/>
                <w:numId w:val="49"/>
              </w:numPr>
              <w:spacing w:before="60" w:after="60"/>
            </w:pPr>
            <w:r w:rsidRPr="00BB5519">
              <w:rPr>
                <w:rFonts w:cs="Tahoma"/>
                <w:color w:val="000000"/>
                <w:szCs w:val="18"/>
              </w:rPr>
              <w:t>Office 365 (Enterprise E2)*</w:t>
            </w:r>
          </w:p>
          <w:p w:rsidR="008368B4" w:rsidRPr="00BB5519" w:rsidRDefault="008368B4" w:rsidP="008368B4">
            <w:pPr>
              <w:numPr>
                <w:ilvl w:val="0"/>
                <w:numId w:val="49"/>
              </w:numPr>
              <w:spacing w:after="60"/>
            </w:pPr>
            <w:r w:rsidRPr="00BB5519">
              <w:rPr>
                <w:rFonts w:cs="Tahoma"/>
                <w:color w:val="000000"/>
                <w:szCs w:val="18"/>
              </w:rPr>
              <w:t>Office 365 (Enterprise E3)*</w:t>
            </w:r>
          </w:p>
          <w:p w:rsidR="008368B4" w:rsidRPr="00BB5519" w:rsidRDefault="008368B4" w:rsidP="008368B4">
            <w:pPr>
              <w:numPr>
                <w:ilvl w:val="0"/>
                <w:numId w:val="49"/>
              </w:numPr>
              <w:spacing w:after="60"/>
            </w:pPr>
            <w:r w:rsidRPr="00BB5519">
              <w:rPr>
                <w:rFonts w:cs="Tahoma"/>
                <w:color w:val="000000"/>
                <w:szCs w:val="18"/>
              </w:rPr>
              <w:t>Office 365 (Enterprise E4)*</w:t>
            </w:r>
          </w:p>
          <w:p w:rsidR="008368B4" w:rsidRPr="00BB5519" w:rsidRDefault="008368B4" w:rsidP="008368B4">
            <w:pPr>
              <w:numPr>
                <w:ilvl w:val="0"/>
                <w:numId w:val="49"/>
              </w:numPr>
              <w:spacing w:after="60"/>
            </w:pPr>
            <w:r w:rsidRPr="00BB5519">
              <w:rPr>
                <w:rFonts w:cs="Tahoma"/>
                <w:color w:val="000000"/>
                <w:szCs w:val="18"/>
              </w:rPr>
              <w:t>Office 365 (Government G2)*</w:t>
            </w:r>
          </w:p>
          <w:p w:rsidR="008368B4" w:rsidRPr="00BB5519" w:rsidRDefault="008368B4" w:rsidP="008368B4">
            <w:pPr>
              <w:numPr>
                <w:ilvl w:val="0"/>
                <w:numId w:val="49"/>
              </w:numPr>
              <w:spacing w:after="60"/>
            </w:pPr>
            <w:r w:rsidRPr="00BB5519">
              <w:rPr>
                <w:rFonts w:cs="Tahoma"/>
                <w:color w:val="000000"/>
                <w:szCs w:val="18"/>
              </w:rPr>
              <w:t>Office 365 (Government G3)*</w:t>
            </w:r>
          </w:p>
          <w:p w:rsidR="008368B4" w:rsidRPr="00BB5519" w:rsidRDefault="008368B4" w:rsidP="008368B4">
            <w:pPr>
              <w:numPr>
                <w:ilvl w:val="0"/>
                <w:numId w:val="49"/>
              </w:numPr>
              <w:spacing w:after="60"/>
            </w:pPr>
            <w:r w:rsidRPr="00BB5519">
              <w:rPr>
                <w:rFonts w:cs="Tahoma"/>
                <w:color w:val="000000"/>
                <w:szCs w:val="18"/>
              </w:rPr>
              <w:t>Office 365 (Government G4)*</w:t>
            </w:r>
          </w:p>
          <w:p w:rsidR="002D25C8" w:rsidRPr="00BB5519" w:rsidRDefault="002D25C8" w:rsidP="0055442E">
            <w:pPr>
              <w:ind w:left="720"/>
              <w:rPr>
                <w:rFonts w:cs="Tahoma"/>
                <w:color w:val="000000"/>
              </w:rPr>
            </w:pPr>
          </w:p>
        </w:tc>
      </w:tr>
      <w:tr w:rsidR="00A32052" w:rsidRPr="00BB551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BB5519" w:rsidRDefault="00A32052" w:rsidP="005011A6">
            <w:pPr>
              <w:spacing w:before="60" w:after="60"/>
              <w:ind w:left="144"/>
              <w:rPr>
                <w:rFonts w:cs="Tahoma"/>
                <w:lang w:val="fr-FR"/>
              </w:rPr>
            </w:pPr>
            <w:r w:rsidRPr="00BB5519">
              <w:rPr>
                <w:rFonts w:cs="Tahoma"/>
                <w:lang w:val="fr-FR"/>
              </w:rPr>
              <w:t>Office Professional Plus und Enterprise</w:t>
            </w:r>
            <w:r w:rsidR="005011A6">
              <w:rPr>
                <w:rFonts w:cs="Tahoma"/>
                <w:lang w:val="fr-FR"/>
              </w:rPr>
              <w:t> </w:t>
            </w:r>
            <w:r w:rsidRPr="00BB5519">
              <w:rPr>
                <w:rFonts w:cs="Tahoma"/>
                <w:lang w:val="fr-FR"/>
              </w:rPr>
              <w:t>CAL</w:t>
            </w:r>
            <w:r w:rsidR="005011A6">
              <w:rPr>
                <w:rFonts w:cs="Tahoma"/>
                <w:lang w:val="fr-FR"/>
              </w:rPr>
              <w:t> </w:t>
            </w:r>
            <w:r w:rsidRPr="00BB5519">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BB5519" w:rsidRDefault="008368B4" w:rsidP="008368B4">
            <w:pPr>
              <w:numPr>
                <w:ilvl w:val="0"/>
                <w:numId w:val="49"/>
              </w:numPr>
              <w:spacing w:before="60" w:after="60"/>
            </w:pPr>
            <w:r w:rsidRPr="00BB5519">
              <w:rPr>
                <w:rFonts w:cs="Tahoma"/>
                <w:color w:val="000000"/>
                <w:szCs w:val="18"/>
              </w:rPr>
              <w:t>Office 365 (Enterprise E3)*</w:t>
            </w:r>
          </w:p>
          <w:p w:rsidR="008368B4" w:rsidRPr="00BB5519" w:rsidRDefault="008368B4" w:rsidP="00C562C9">
            <w:pPr>
              <w:numPr>
                <w:ilvl w:val="0"/>
                <w:numId w:val="49"/>
              </w:numPr>
              <w:spacing w:after="60"/>
            </w:pPr>
            <w:r w:rsidRPr="00BB5519">
              <w:rPr>
                <w:rFonts w:cs="Tahoma"/>
                <w:color w:val="000000"/>
                <w:szCs w:val="18"/>
              </w:rPr>
              <w:t>Office 365 (Enterprise E4)*</w:t>
            </w:r>
          </w:p>
          <w:p w:rsidR="008368B4" w:rsidRPr="00BB5519" w:rsidRDefault="008368B4" w:rsidP="00C562C9">
            <w:pPr>
              <w:numPr>
                <w:ilvl w:val="0"/>
                <w:numId w:val="49"/>
              </w:numPr>
              <w:spacing w:after="60"/>
            </w:pPr>
            <w:r w:rsidRPr="00BB5519">
              <w:rPr>
                <w:rFonts w:cs="Tahoma"/>
                <w:color w:val="000000"/>
                <w:szCs w:val="18"/>
              </w:rPr>
              <w:t>Office 365 (Government G3)*</w:t>
            </w:r>
          </w:p>
          <w:p w:rsidR="008368B4" w:rsidRPr="00BB5519" w:rsidRDefault="008368B4" w:rsidP="008368B4">
            <w:pPr>
              <w:numPr>
                <w:ilvl w:val="0"/>
                <w:numId w:val="49"/>
              </w:numPr>
              <w:spacing w:after="60"/>
            </w:pPr>
            <w:r w:rsidRPr="00BB5519">
              <w:rPr>
                <w:rFonts w:cs="Tahoma"/>
                <w:color w:val="000000"/>
                <w:szCs w:val="18"/>
              </w:rPr>
              <w:t>Office 365 (Government G4)*</w:t>
            </w:r>
          </w:p>
          <w:p w:rsidR="002D25C8" w:rsidRPr="00BB5519" w:rsidRDefault="002D25C8" w:rsidP="0055442E">
            <w:pPr>
              <w:ind w:left="720"/>
              <w:rPr>
                <w:rFonts w:cs="Tahoma"/>
                <w:color w:val="000000"/>
              </w:rPr>
            </w:pPr>
          </w:p>
        </w:tc>
      </w:tr>
      <w:tr w:rsidR="00B1054F" w:rsidRPr="00BB551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B5519" w:rsidRDefault="00B1054F" w:rsidP="00B1054F">
            <w:pPr>
              <w:spacing w:before="60" w:after="60"/>
              <w:ind w:left="144"/>
              <w:rPr>
                <w:rFonts w:cs="Tahoma"/>
              </w:rPr>
            </w:pPr>
            <w:r w:rsidRPr="00BB5519">
              <w:rPr>
                <w:rFonts w:cs="Tahoma"/>
              </w:rPr>
              <w:t xml:space="preserve">Windows Pro-Upgrade </w:t>
            </w:r>
          </w:p>
        </w:tc>
        <w:tc>
          <w:tcPr>
            <w:tcW w:w="4334" w:type="dxa"/>
            <w:tcBorders>
              <w:top w:val="single" w:sz="8" w:space="0" w:color="auto"/>
              <w:left w:val="nil"/>
              <w:bottom w:val="single" w:sz="8" w:space="0" w:color="auto"/>
              <w:right w:val="single" w:sz="8" w:space="0" w:color="auto"/>
            </w:tcBorders>
            <w:vAlign w:val="center"/>
          </w:tcPr>
          <w:p w:rsidR="00B1054F" w:rsidRPr="00BB5519" w:rsidRDefault="00B1054F" w:rsidP="00B1054F">
            <w:pPr>
              <w:numPr>
                <w:ilvl w:val="0"/>
                <w:numId w:val="49"/>
              </w:numPr>
              <w:spacing w:before="60" w:after="60"/>
              <w:rPr>
                <w:rFonts w:cs="Tahoma"/>
                <w:color w:val="000000"/>
                <w:szCs w:val="18"/>
              </w:rPr>
            </w:pPr>
            <w:r w:rsidRPr="00BB5519">
              <w:rPr>
                <w:rFonts w:cs="Tahoma"/>
                <w:color w:val="000000" w:themeColor="text1"/>
              </w:rPr>
              <w:t>Windows Virtual Desktop Access</w:t>
            </w:r>
          </w:p>
        </w:tc>
      </w:tr>
      <w:tr w:rsidR="00B1054F" w:rsidRPr="00BB551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B5519" w:rsidRDefault="00B1054F" w:rsidP="00B1054F">
            <w:pPr>
              <w:spacing w:before="60" w:after="60"/>
              <w:ind w:left="144"/>
              <w:rPr>
                <w:rFonts w:cs="Tahoma"/>
              </w:rPr>
            </w:pPr>
            <w:r w:rsidRPr="00BB5519">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BB5519" w:rsidRDefault="00B1054F" w:rsidP="00B1054F">
            <w:pPr>
              <w:numPr>
                <w:ilvl w:val="0"/>
                <w:numId w:val="49"/>
              </w:numPr>
              <w:spacing w:before="60" w:after="60"/>
              <w:rPr>
                <w:rFonts w:cs="Tahoma"/>
                <w:color w:val="000000"/>
                <w:szCs w:val="18"/>
              </w:rPr>
            </w:pPr>
            <w:r w:rsidRPr="00BB5519">
              <w:rPr>
                <w:rFonts w:cs="Tahoma"/>
                <w:color w:val="000000" w:themeColor="text1"/>
              </w:rPr>
              <w:t>Windows Companion-Abonnementlizenz</w:t>
            </w:r>
          </w:p>
        </w:tc>
      </w:tr>
      <w:tr w:rsidR="00B1054F" w:rsidRPr="00BB551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BB5519" w:rsidRDefault="00B1054F" w:rsidP="00B1054F">
            <w:pPr>
              <w:spacing w:before="60" w:after="60"/>
              <w:ind w:left="144"/>
              <w:rPr>
                <w:rFonts w:cs="Tahoma"/>
              </w:rPr>
            </w:pPr>
            <w:r w:rsidRPr="00BB5519">
              <w:rPr>
                <w:rFonts w:cs="Tahoma"/>
              </w:rPr>
              <w:t>Windows Pro-Upgrade</w:t>
            </w:r>
          </w:p>
        </w:tc>
        <w:tc>
          <w:tcPr>
            <w:tcW w:w="4334" w:type="dxa"/>
            <w:tcBorders>
              <w:top w:val="single" w:sz="8" w:space="0" w:color="auto"/>
              <w:left w:val="nil"/>
              <w:bottom w:val="single" w:sz="8" w:space="0" w:color="auto"/>
              <w:right w:val="single" w:sz="8" w:space="0" w:color="auto"/>
            </w:tcBorders>
            <w:vAlign w:val="center"/>
          </w:tcPr>
          <w:p w:rsidR="00B1054F" w:rsidRPr="00BB5519" w:rsidRDefault="00B1054F" w:rsidP="00B1054F">
            <w:pPr>
              <w:numPr>
                <w:ilvl w:val="0"/>
                <w:numId w:val="49"/>
              </w:numPr>
              <w:spacing w:before="60" w:after="60"/>
              <w:rPr>
                <w:rFonts w:cs="Tahoma"/>
                <w:color w:val="000000"/>
                <w:szCs w:val="18"/>
              </w:rPr>
            </w:pPr>
            <w:r w:rsidRPr="00BB5519">
              <w:rPr>
                <w:rFonts w:cs="Tahoma"/>
                <w:color w:val="000000" w:themeColor="text1"/>
              </w:rPr>
              <w:t>Windows Companion-Abonnementlizenz</w:t>
            </w:r>
          </w:p>
        </w:tc>
      </w:tr>
    </w:tbl>
    <w:p w:rsidR="00456002" w:rsidRPr="00BB5519" w:rsidRDefault="00456002" w:rsidP="004D1715">
      <w:pPr>
        <w:tabs>
          <w:tab w:val="left" w:pos="360"/>
        </w:tabs>
        <w:spacing w:before="40"/>
        <w:ind w:left="720"/>
        <w:rPr>
          <w:lang w:val="de-DE"/>
        </w:rPr>
      </w:pPr>
      <w:r w:rsidRPr="00BB5519">
        <w:rPr>
          <w:rFonts w:cs="Tahoma"/>
          <w:i/>
          <w:sz w:val="16"/>
          <w:szCs w:val="20"/>
          <w:lang w:val="de-DE"/>
        </w:rPr>
        <w:t>* Erfordert eine entsprechende CAL Suite Bridge. Weitere Informationen zu CAL Suite Bridge finden Sie im Abschnitt „Produkthinweise</w:t>
      </w:r>
      <w:r w:rsidR="004D1715">
        <w:rPr>
          <w:rFonts w:cs="Tahoma"/>
          <w:i/>
          <w:sz w:val="16"/>
          <w:szCs w:val="20"/>
          <w:lang w:val="de-DE"/>
        </w:rPr>
        <w:t>“</w:t>
      </w:r>
      <w:r w:rsidRPr="00BB5519">
        <w:rPr>
          <w:rFonts w:cs="Tahoma"/>
          <w:i/>
          <w:sz w:val="16"/>
          <w:szCs w:val="20"/>
          <w:lang w:val="de-DE"/>
        </w:rPr>
        <w:t xml:space="preserve"> dieses Dokuments.</w:t>
      </w:r>
    </w:p>
    <w:p w:rsidR="005011A6" w:rsidRPr="00D15040" w:rsidRDefault="005011A6" w:rsidP="005011A6">
      <w:pPr>
        <w:tabs>
          <w:tab w:val="left" w:pos="360"/>
        </w:tabs>
        <w:ind w:left="720"/>
        <w:rPr>
          <w:rFonts w:cs="Tahoma"/>
          <w:sz w:val="16"/>
          <w:szCs w:val="16"/>
          <w:lang w:val="de-DE"/>
        </w:rPr>
      </w:pPr>
    </w:p>
    <w:p w:rsidR="00456002" w:rsidRPr="00BB5519" w:rsidRDefault="00456002" w:rsidP="00366502">
      <w:pPr>
        <w:rPr>
          <w:lang w:val="de-DE"/>
        </w:rPr>
      </w:pPr>
      <w:r w:rsidRPr="00BB5519">
        <w:rPr>
          <w:rFonts w:cs="Tahoma"/>
          <w:szCs w:val="20"/>
          <w:lang w:val="de-DE"/>
        </w:rPr>
        <w:t>Weitere Übergänge können nach Ermessen von Microsoft hinzugefügt werden.</w:t>
      </w:r>
      <w:r w:rsidR="009E4976" w:rsidRPr="00BB5519">
        <w:rPr>
          <w:rFonts w:cs="Tahoma"/>
          <w:szCs w:val="20"/>
          <w:lang w:val="de-DE"/>
        </w:rPr>
        <w:t xml:space="preserve"> </w:t>
      </w:r>
      <w:r w:rsidRPr="00BB5519">
        <w:rPr>
          <w:rFonts w:cs="Tahoma"/>
          <w:szCs w:val="20"/>
          <w:lang w:val="de-DE"/>
        </w:rPr>
        <w:t>Hierfür können zusätzliche Gebühren und Lizenzbestimmungen gelten.</w:t>
      </w:r>
      <w:r w:rsidR="009E4976" w:rsidRPr="00BB5519">
        <w:rPr>
          <w:rFonts w:cs="Tahoma"/>
          <w:szCs w:val="20"/>
          <w:lang w:val="de-DE"/>
        </w:rPr>
        <w:t xml:space="preserve"> </w:t>
      </w:r>
    </w:p>
    <w:p w:rsidR="005011A6" w:rsidRPr="00D15040" w:rsidRDefault="005011A6" w:rsidP="005011A6">
      <w:pPr>
        <w:outlineLvl w:val="2"/>
        <w:rPr>
          <w:rFonts w:cs="Tahoma"/>
          <w:b/>
          <w:sz w:val="16"/>
          <w:szCs w:val="16"/>
          <w:lang w:val="de-DE"/>
        </w:rPr>
      </w:pPr>
    </w:p>
    <w:p w:rsidR="00456002" w:rsidRPr="00EC2A0D" w:rsidRDefault="00456002" w:rsidP="0055442E">
      <w:pPr>
        <w:keepNext/>
        <w:tabs>
          <w:tab w:val="num" w:pos="720"/>
        </w:tabs>
        <w:spacing w:after="60"/>
        <w:outlineLvl w:val="3"/>
        <w:rPr>
          <w:rFonts w:cs="Tahoma"/>
          <w:b/>
          <w:szCs w:val="20"/>
          <w:lang w:val="de-DE"/>
        </w:rPr>
      </w:pPr>
      <w:r w:rsidRPr="00EC2A0D">
        <w:rPr>
          <w:rFonts w:cs="Tahoma"/>
          <w:b/>
          <w:szCs w:val="20"/>
          <w:lang w:val="de-DE"/>
        </w:rPr>
        <w:t xml:space="preserve">Onlinedienste-True Up oder jährliche Bestellungen </w:t>
      </w:r>
    </w:p>
    <w:p w:rsidR="00456002" w:rsidRPr="00BB5519" w:rsidRDefault="00456002" w:rsidP="00366502">
      <w:pPr>
        <w:rPr>
          <w:lang w:val="de-DE"/>
        </w:rPr>
      </w:pPr>
      <w:r w:rsidRPr="00BB5519">
        <w:rPr>
          <w:rFonts w:cs="Tahoma"/>
          <w:b/>
          <w:szCs w:val="20"/>
          <w:lang w:val="de-DE"/>
        </w:rPr>
        <w:t>Anmerkung:</w:t>
      </w:r>
      <w:r w:rsidRPr="00BB5519">
        <w:rPr>
          <w:rFonts w:cs="Tahoma"/>
          <w:szCs w:val="20"/>
          <w:lang w:val="de-DE"/>
        </w:rPr>
        <w:t xml:space="preserve"> Die folgenden Bestimmungen gelten für Kunden mit Konzern- und Konzern-Abonnement-Beitritt, die zum Einreichen von True Up- oder jährlichen Bestellungen für Onlinedienste berechtigt sind.</w:t>
      </w:r>
      <w:r w:rsidR="009E4976" w:rsidRPr="00BB5519">
        <w:rPr>
          <w:rFonts w:cs="Tahoma"/>
          <w:szCs w:val="20"/>
          <w:lang w:val="de-DE"/>
        </w:rPr>
        <w:t xml:space="preserve"> </w:t>
      </w:r>
      <w:r w:rsidRPr="00BB5519">
        <w:rPr>
          <w:rFonts w:cs="Tahoma"/>
          <w:szCs w:val="20"/>
          <w:lang w:val="de-DE"/>
        </w:rPr>
        <w:t>Kunden, die hinsichtlich der Berechtigung zum Einreichen von True Up- oder jährlichen Bestellungen für Onlinedienste unsicher sind, erhalten von ihrem Software Advisor, Handelspartner oder Microsoft-Kundenbetreuer weitere Informationen.</w:t>
      </w:r>
    </w:p>
    <w:p w:rsidR="005011A6" w:rsidRPr="00D15040" w:rsidRDefault="005011A6" w:rsidP="005011A6">
      <w:pPr>
        <w:rPr>
          <w:rFonts w:cs="Tahoma"/>
          <w:sz w:val="16"/>
          <w:szCs w:val="16"/>
          <w:lang w:val="de-DE"/>
        </w:rPr>
      </w:pPr>
    </w:p>
    <w:p w:rsidR="00456002" w:rsidRPr="00BB5519" w:rsidRDefault="00456002" w:rsidP="00366502">
      <w:pPr>
        <w:rPr>
          <w:lang w:val="de-DE"/>
        </w:rPr>
      </w:pPr>
      <w:r w:rsidRPr="00BB5519">
        <w:rPr>
          <w:rFonts w:cs="Tahoma"/>
          <w:szCs w:val="20"/>
          <w:lang w:val="de-DE"/>
        </w:rPr>
        <w:t xml:space="preserve">Die folgenden Onlinedienste sind zum Einreichen von True Up- oder jährlichen Bestellungen für Onlinedienste berechtigt: </w:t>
      </w:r>
    </w:p>
    <w:p w:rsidR="00456002" w:rsidRPr="00BB5519" w:rsidRDefault="00456002" w:rsidP="0055442E">
      <w:pPr>
        <w:ind w:left="720"/>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BB5519" w:rsidTr="005C647E">
        <w:trPr>
          <w:trHeight w:val="80"/>
          <w:tblHeader/>
        </w:trPr>
        <w:tc>
          <w:tcPr>
            <w:tcW w:w="5000" w:type="pct"/>
            <w:gridSpan w:val="2"/>
            <w:shd w:val="clear" w:color="auto" w:fill="FABF8F"/>
          </w:tcPr>
          <w:p w:rsidR="00456002" w:rsidRPr="00BB5519" w:rsidRDefault="00456002" w:rsidP="005C647E">
            <w:pPr>
              <w:jc w:val="center"/>
              <w:rPr>
                <w:rFonts w:cs="Tahoma"/>
                <w:b/>
              </w:rPr>
            </w:pPr>
            <w:r w:rsidRPr="00BB5519">
              <w:rPr>
                <w:rFonts w:cs="Tahoma"/>
                <w:b/>
              </w:rPr>
              <w:t>Onlinedienste</w:t>
            </w:r>
          </w:p>
        </w:tc>
      </w:tr>
      <w:tr w:rsidR="00456002" w:rsidRPr="00BB5519" w:rsidTr="005C647E">
        <w:trPr>
          <w:trHeight w:val="219"/>
        </w:trPr>
        <w:tc>
          <w:tcPr>
            <w:tcW w:w="2603" w:type="pct"/>
          </w:tcPr>
          <w:p w:rsidR="00456002" w:rsidRPr="00BB5519" w:rsidRDefault="00456002" w:rsidP="005011A6">
            <w:pPr>
              <w:numPr>
                <w:ilvl w:val="0"/>
                <w:numId w:val="50"/>
              </w:numPr>
              <w:spacing w:before="60" w:after="40"/>
              <w:ind w:left="634"/>
              <w:jc w:val="both"/>
            </w:pPr>
            <w:r w:rsidRPr="00BB5519">
              <w:rPr>
                <w:rFonts w:cs="Tahoma"/>
              </w:rPr>
              <w:t>Exchange Online Kiosk*</w:t>
            </w:r>
          </w:p>
          <w:p w:rsidR="00456002" w:rsidRPr="00BB5519" w:rsidRDefault="00456002" w:rsidP="005011A6">
            <w:pPr>
              <w:numPr>
                <w:ilvl w:val="0"/>
                <w:numId w:val="50"/>
              </w:numPr>
              <w:spacing w:before="60" w:after="40"/>
              <w:ind w:left="634"/>
              <w:jc w:val="both"/>
            </w:pPr>
            <w:r w:rsidRPr="00BB5519">
              <w:rPr>
                <w:rFonts w:cs="Tahoma"/>
              </w:rPr>
              <w:t>Exchange Online Plan 1*</w:t>
            </w:r>
          </w:p>
          <w:p w:rsidR="00456002" w:rsidRPr="00BB5519" w:rsidRDefault="00456002" w:rsidP="005011A6">
            <w:pPr>
              <w:numPr>
                <w:ilvl w:val="0"/>
                <w:numId w:val="50"/>
              </w:numPr>
              <w:spacing w:before="60" w:after="40"/>
              <w:ind w:left="634"/>
              <w:jc w:val="both"/>
            </w:pPr>
            <w:r w:rsidRPr="00BB5519">
              <w:rPr>
                <w:rFonts w:cs="Tahoma"/>
              </w:rPr>
              <w:t>Exchange Online Plan 2*</w:t>
            </w:r>
          </w:p>
          <w:p w:rsidR="00456002" w:rsidRPr="00BB5519" w:rsidRDefault="00456002" w:rsidP="005011A6">
            <w:pPr>
              <w:numPr>
                <w:ilvl w:val="0"/>
                <w:numId w:val="50"/>
              </w:numPr>
              <w:spacing w:before="60" w:after="40"/>
              <w:ind w:left="634"/>
              <w:jc w:val="both"/>
            </w:pPr>
            <w:r w:rsidRPr="00BB5519">
              <w:rPr>
                <w:rFonts w:cs="Tahoma"/>
              </w:rPr>
              <w:t>Lync Online Plan 1*</w:t>
            </w:r>
          </w:p>
          <w:p w:rsidR="00456002" w:rsidRPr="00BB5519" w:rsidRDefault="00456002" w:rsidP="005011A6">
            <w:pPr>
              <w:numPr>
                <w:ilvl w:val="0"/>
                <w:numId w:val="50"/>
              </w:numPr>
              <w:spacing w:before="60" w:after="40"/>
              <w:ind w:left="634"/>
              <w:jc w:val="both"/>
            </w:pPr>
            <w:r w:rsidRPr="00BB5519">
              <w:rPr>
                <w:rFonts w:cs="Tahoma"/>
              </w:rPr>
              <w:t>Lync Online Plan 2*</w:t>
            </w:r>
          </w:p>
          <w:p w:rsidR="00E77288" w:rsidRPr="00BB5519" w:rsidRDefault="00E77288" w:rsidP="005011A6">
            <w:pPr>
              <w:numPr>
                <w:ilvl w:val="0"/>
                <w:numId w:val="50"/>
              </w:numPr>
              <w:spacing w:before="60" w:after="40"/>
              <w:ind w:left="634"/>
              <w:jc w:val="both"/>
            </w:pPr>
            <w:r w:rsidRPr="00BB5519">
              <w:rPr>
                <w:rFonts w:cs="Tahoma"/>
              </w:rPr>
              <w:t>Lync Online Plan 3*</w:t>
            </w:r>
          </w:p>
          <w:p w:rsidR="00456002" w:rsidRPr="00BB5519" w:rsidRDefault="00456002" w:rsidP="005011A6">
            <w:pPr>
              <w:numPr>
                <w:ilvl w:val="0"/>
                <w:numId w:val="50"/>
              </w:numPr>
              <w:spacing w:before="60" w:after="40"/>
              <w:ind w:left="634"/>
              <w:jc w:val="both"/>
            </w:pPr>
            <w:r w:rsidRPr="00BB5519">
              <w:rPr>
                <w:rFonts w:cs="Tahoma"/>
              </w:rPr>
              <w:t>Office 365 (Enterprise K1)*</w:t>
            </w:r>
          </w:p>
          <w:p w:rsidR="00456002" w:rsidRPr="00BB5519" w:rsidRDefault="00456002" w:rsidP="005011A6">
            <w:pPr>
              <w:numPr>
                <w:ilvl w:val="0"/>
                <w:numId w:val="50"/>
              </w:numPr>
              <w:spacing w:before="60" w:after="40"/>
              <w:ind w:left="634"/>
              <w:jc w:val="both"/>
            </w:pPr>
            <w:r w:rsidRPr="00BB5519">
              <w:rPr>
                <w:rFonts w:cs="Tahoma"/>
              </w:rPr>
              <w:t>Office 365 (Enterprise K2)*</w:t>
            </w:r>
          </w:p>
          <w:p w:rsidR="00456002" w:rsidRPr="00BB5519" w:rsidRDefault="00456002" w:rsidP="005011A6">
            <w:pPr>
              <w:numPr>
                <w:ilvl w:val="0"/>
                <w:numId w:val="50"/>
              </w:numPr>
              <w:spacing w:before="60" w:after="40"/>
              <w:ind w:left="634"/>
              <w:jc w:val="both"/>
            </w:pPr>
            <w:r w:rsidRPr="00BB5519">
              <w:rPr>
                <w:rFonts w:cs="Tahoma"/>
              </w:rPr>
              <w:t>Office 365 (Enterprise E1)</w:t>
            </w:r>
          </w:p>
          <w:p w:rsidR="00456002" w:rsidRPr="00BB5519" w:rsidRDefault="00456002" w:rsidP="005011A6">
            <w:pPr>
              <w:numPr>
                <w:ilvl w:val="0"/>
                <w:numId w:val="50"/>
              </w:numPr>
              <w:spacing w:before="60" w:after="40"/>
              <w:ind w:left="634"/>
              <w:jc w:val="both"/>
            </w:pPr>
            <w:r w:rsidRPr="00BB5519">
              <w:rPr>
                <w:rFonts w:cs="Tahoma"/>
              </w:rPr>
              <w:t>Office 365 (Enterprise E2)</w:t>
            </w:r>
          </w:p>
          <w:p w:rsidR="00456002" w:rsidRPr="00BB5519" w:rsidRDefault="00456002" w:rsidP="005011A6">
            <w:pPr>
              <w:numPr>
                <w:ilvl w:val="0"/>
                <w:numId w:val="50"/>
              </w:numPr>
              <w:spacing w:before="60" w:after="40"/>
              <w:ind w:left="634"/>
              <w:jc w:val="both"/>
            </w:pPr>
            <w:r w:rsidRPr="00BB5519">
              <w:rPr>
                <w:rFonts w:cs="Tahoma"/>
              </w:rPr>
              <w:t>Office 365 (Enterprise E3)</w:t>
            </w:r>
          </w:p>
          <w:p w:rsidR="00456002" w:rsidRPr="00BB5519" w:rsidRDefault="00456002" w:rsidP="005011A6">
            <w:pPr>
              <w:numPr>
                <w:ilvl w:val="0"/>
                <w:numId w:val="50"/>
              </w:numPr>
              <w:spacing w:before="60" w:after="40"/>
              <w:ind w:left="634"/>
              <w:jc w:val="both"/>
              <w:rPr>
                <w:rFonts w:cs="Tahoma"/>
              </w:rPr>
            </w:pPr>
            <w:r w:rsidRPr="00BB5519">
              <w:rPr>
                <w:rFonts w:cs="Tahoma"/>
              </w:rPr>
              <w:t>Office 365 (Enterprise E4)</w:t>
            </w:r>
          </w:p>
        </w:tc>
        <w:tc>
          <w:tcPr>
            <w:tcW w:w="2397" w:type="pct"/>
          </w:tcPr>
          <w:p w:rsidR="00A32052" w:rsidRPr="00BB5519" w:rsidRDefault="00A32052" w:rsidP="005011A6">
            <w:pPr>
              <w:numPr>
                <w:ilvl w:val="0"/>
                <w:numId w:val="50"/>
              </w:numPr>
              <w:spacing w:before="60"/>
              <w:ind w:left="692"/>
              <w:jc w:val="both"/>
            </w:pPr>
            <w:r w:rsidRPr="00BB5519">
              <w:rPr>
                <w:rFonts w:cs="Tahoma"/>
                <w:color w:val="000000"/>
              </w:rPr>
              <w:t>Office 365 (Government G1)</w:t>
            </w:r>
          </w:p>
          <w:p w:rsidR="00A32052" w:rsidRPr="00BB5519" w:rsidRDefault="00A32052" w:rsidP="005011A6">
            <w:pPr>
              <w:numPr>
                <w:ilvl w:val="0"/>
                <w:numId w:val="50"/>
              </w:numPr>
              <w:spacing w:before="60"/>
              <w:ind w:left="692"/>
              <w:jc w:val="both"/>
            </w:pPr>
            <w:r w:rsidRPr="00BB5519">
              <w:rPr>
                <w:rFonts w:cs="Tahoma"/>
                <w:color w:val="000000"/>
              </w:rPr>
              <w:t>Office 365 (Government G2)</w:t>
            </w:r>
          </w:p>
          <w:p w:rsidR="00A32052" w:rsidRPr="00BB5519" w:rsidRDefault="00A32052" w:rsidP="005011A6">
            <w:pPr>
              <w:numPr>
                <w:ilvl w:val="0"/>
                <w:numId w:val="50"/>
              </w:numPr>
              <w:spacing w:before="60"/>
              <w:ind w:left="692"/>
              <w:jc w:val="both"/>
            </w:pPr>
            <w:r w:rsidRPr="00BB5519">
              <w:rPr>
                <w:rFonts w:cs="Tahoma"/>
                <w:color w:val="000000"/>
              </w:rPr>
              <w:t>Office 365 (Government G3)</w:t>
            </w:r>
          </w:p>
          <w:p w:rsidR="00A32052" w:rsidRPr="00BB5519" w:rsidRDefault="00A32052" w:rsidP="005011A6">
            <w:pPr>
              <w:numPr>
                <w:ilvl w:val="0"/>
                <w:numId w:val="50"/>
              </w:numPr>
              <w:spacing w:before="60"/>
              <w:ind w:left="692"/>
              <w:jc w:val="both"/>
            </w:pPr>
            <w:r w:rsidRPr="00BB5519">
              <w:rPr>
                <w:rFonts w:cs="Tahoma"/>
                <w:color w:val="000000"/>
              </w:rPr>
              <w:t>Office 365 (Government G4)</w:t>
            </w:r>
          </w:p>
          <w:p w:rsidR="00456002" w:rsidRPr="00BB5519" w:rsidRDefault="00456002" w:rsidP="005011A6">
            <w:pPr>
              <w:numPr>
                <w:ilvl w:val="0"/>
                <w:numId w:val="50"/>
              </w:numPr>
              <w:spacing w:before="60"/>
              <w:ind w:left="692"/>
              <w:jc w:val="both"/>
            </w:pPr>
            <w:r w:rsidRPr="00BB5519">
              <w:rPr>
                <w:rFonts w:cs="Tahoma"/>
                <w:color w:val="000000"/>
              </w:rPr>
              <w:t>Office-Webanwendungen*</w:t>
            </w:r>
          </w:p>
          <w:p w:rsidR="00456002" w:rsidRPr="00BB5519" w:rsidRDefault="00456002" w:rsidP="005011A6">
            <w:pPr>
              <w:numPr>
                <w:ilvl w:val="0"/>
                <w:numId w:val="50"/>
              </w:numPr>
              <w:spacing w:before="60"/>
              <w:ind w:left="692"/>
              <w:jc w:val="both"/>
            </w:pPr>
            <w:r w:rsidRPr="00BB5519">
              <w:rPr>
                <w:rFonts w:cs="Tahoma"/>
                <w:color w:val="000000"/>
              </w:rPr>
              <w:t>SharePoint Online Plan 1*</w:t>
            </w:r>
          </w:p>
          <w:p w:rsidR="00456002" w:rsidRPr="00BB5519" w:rsidRDefault="00456002" w:rsidP="005011A6">
            <w:pPr>
              <w:numPr>
                <w:ilvl w:val="0"/>
                <w:numId w:val="50"/>
              </w:numPr>
              <w:spacing w:before="60"/>
              <w:ind w:left="692"/>
              <w:jc w:val="both"/>
            </w:pPr>
            <w:r w:rsidRPr="00BB5519">
              <w:rPr>
                <w:rFonts w:cs="Tahoma"/>
                <w:color w:val="000000"/>
              </w:rPr>
              <w:t>SharePoint Online Plan 2*</w:t>
            </w:r>
          </w:p>
          <w:p w:rsidR="00456002" w:rsidRPr="00BB5519" w:rsidRDefault="00456002" w:rsidP="005011A6">
            <w:pPr>
              <w:numPr>
                <w:ilvl w:val="0"/>
                <w:numId w:val="50"/>
              </w:numPr>
              <w:spacing w:before="60"/>
              <w:ind w:left="692"/>
              <w:jc w:val="both"/>
            </w:pPr>
            <w:r w:rsidRPr="00BB5519">
              <w:rPr>
                <w:rFonts w:cs="Tahoma"/>
                <w:color w:val="000000"/>
              </w:rPr>
              <w:t>SharePoint Online Partner Access*</w:t>
            </w:r>
          </w:p>
          <w:p w:rsidR="00456002" w:rsidRPr="00BB5519" w:rsidRDefault="00456002" w:rsidP="005011A6">
            <w:pPr>
              <w:numPr>
                <w:ilvl w:val="0"/>
                <w:numId w:val="50"/>
              </w:numPr>
              <w:spacing w:before="60"/>
              <w:ind w:left="692"/>
              <w:jc w:val="both"/>
            </w:pPr>
            <w:r w:rsidRPr="00BB5519">
              <w:rPr>
                <w:rFonts w:cs="Tahoma"/>
                <w:color w:val="000000"/>
              </w:rPr>
              <w:t>Windows Intune</w:t>
            </w:r>
          </w:p>
          <w:p w:rsidR="00456002" w:rsidRPr="00BB5519" w:rsidRDefault="00BD6C2C" w:rsidP="005011A6">
            <w:pPr>
              <w:numPr>
                <w:ilvl w:val="0"/>
                <w:numId w:val="50"/>
              </w:numPr>
              <w:spacing w:before="60"/>
              <w:ind w:left="692"/>
              <w:jc w:val="both"/>
            </w:pPr>
            <w:r w:rsidRPr="00BB5519">
              <w:rPr>
                <w:rFonts w:cs="Tahoma"/>
                <w:color w:val="000000"/>
              </w:rPr>
              <w:t>Add-On für Windows Intune*, **</w:t>
            </w:r>
          </w:p>
          <w:p w:rsidR="00F27B29" w:rsidRPr="00BB5519" w:rsidRDefault="00F27B29" w:rsidP="005011A6">
            <w:pPr>
              <w:numPr>
                <w:ilvl w:val="0"/>
                <w:numId w:val="50"/>
              </w:numPr>
              <w:spacing w:before="60"/>
              <w:ind w:left="692"/>
              <w:jc w:val="both"/>
              <w:rPr>
                <w:rFonts w:cs="Tahoma"/>
              </w:rPr>
            </w:pPr>
            <w:r w:rsidRPr="00BB5519">
              <w:rPr>
                <w:rFonts w:cs="Tahoma"/>
                <w:color w:val="000000"/>
              </w:rPr>
              <w:t>Yammer Enterprise*</w:t>
            </w:r>
          </w:p>
        </w:tc>
      </w:tr>
    </w:tbl>
    <w:p w:rsidR="00456002" w:rsidRPr="00BB5519" w:rsidRDefault="00456002" w:rsidP="005011A6">
      <w:pPr>
        <w:tabs>
          <w:tab w:val="left" w:pos="360"/>
        </w:tabs>
        <w:spacing w:before="40"/>
        <w:ind w:left="720"/>
      </w:pPr>
      <w:r w:rsidRPr="00BB5519">
        <w:rPr>
          <w:rFonts w:cs="Tahoma"/>
          <w:i/>
          <w:sz w:val="16"/>
          <w:szCs w:val="20"/>
        </w:rPr>
        <w:t>* Zusätzliches Produkt</w:t>
      </w:r>
    </w:p>
    <w:p w:rsidR="00456002" w:rsidRPr="00BB5519" w:rsidRDefault="003929D1" w:rsidP="00456002">
      <w:pPr>
        <w:tabs>
          <w:tab w:val="left" w:pos="360"/>
        </w:tabs>
        <w:ind w:left="720"/>
      </w:pPr>
      <w:r w:rsidRPr="00BB5519">
        <w:rPr>
          <w:rFonts w:cs="Tahoma"/>
          <w:i/>
          <w:sz w:val="16"/>
          <w:szCs w:val="20"/>
        </w:rPr>
        <w:t>** „Add-On für Windows Intune“ ist eine Abkürzung für Add-on für Windows Intune für System Center Configuration Manager und System Center Endpoint Protection (Pro Nutzer)</w:t>
      </w:r>
    </w:p>
    <w:p w:rsidR="00456002" w:rsidRPr="005011A6" w:rsidRDefault="00456002" w:rsidP="001E7C5F">
      <w:pPr>
        <w:tabs>
          <w:tab w:val="left" w:pos="360"/>
        </w:tabs>
        <w:spacing w:after="60"/>
        <w:rPr>
          <w:rFonts w:cs="Tahoma"/>
          <w:b/>
          <w:szCs w:val="20"/>
          <w:lang w:val="de-DE"/>
        </w:rPr>
      </w:pPr>
      <w:r w:rsidRPr="005011A6">
        <w:rPr>
          <w:rFonts w:cs="Tahoma"/>
          <w:b/>
          <w:szCs w:val="20"/>
          <w:lang w:val="de-DE"/>
        </w:rPr>
        <w:lastRenderedPageBreak/>
        <w:t>Abonnementlizenzverringerungen</w:t>
      </w:r>
    </w:p>
    <w:p w:rsidR="00456002" w:rsidRPr="00BB5519" w:rsidRDefault="00456002" w:rsidP="005011A6">
      <w:pPr>
        <w:tabs>
          <w:tab w:val="left" w:pos="360"/>
        </w:tabs>
        <w:rPr>
          <w:lang w:val="de-DE"/>
        </w:rPr>
      </w:pPr>
      <w:r w:rsidRPr="00BB5519">
        <w:rPr>
          <w:rFonts w:cs="Tahoma"/>
          <w:b/>
          <w:szCs w:val="20"/>
          <w:lang w:val="de-DE"/>
        </w:rPr>
        <w:t>Anmerkung:</w:t>
      </w:r>
      <w:r w:rsidRPr="00BB5519">
        <w:rPr>
          <w:rFonts w:cs="Tahoma"/>
          <w:szCs w:val="20"/>
          <w:lang w:val="de-DE"/>
        </w:rPr>
        <w:t xml:space="preserve"> Die folgenden Bestimmungen gelten für Konzernkunden, die berechtigt sind, Verringerungen bei der</w:t>
      </w:r>
      <w:r w:rsidR="005011A6">
        <w:rPr>
          <w:rFonts w:cs="Tahoma"/>
          <w:szCs w:val="20"/>
          <w:lang w:val="de-DE"/>
        </w:rPr>
        <w:t> </w:t>
      </w:r>
      <w:r w:rsidRPr="00BB5519">
        <w:rPr>
          <w:rFonts w:cs="Tahoma"/>
          <w:szCs w:val="20"/>
          <w:lang w:val="de-DE"/>
        </w:rPr>
        <w:t>Anzahl von Abonnementlizenzen zu melden.</w:t>
      </w:r>
      <w:r w:rsidR="009E4976" w:rsidRPr="00BB5519">
        <w:rPr>
          <w:rFonts w:cs="Tahoma"/>
          <w:szCs w:val="20"/>
          <w:lang w:val="de-DE"/>
        </w:rPr>
        <w:t xml:space="preserve"> </w:t>
      </w:r>
      <w:r w:rsidRPr="00BB5519">
        <w:rPr>
          <w:rFonts w:cs="Tahoma"/>
          <w:szCs w:val="20"/>
          <w:lang w:val="de-DE"/>
        </w:rPr>
        <w:t>Kunden, die hinsichtlich der Berechtigung zum Melden von Verringerungen bei der Anzahl von Abonnementlizenzen unsicher sind, erhalten von ihrem Software Advisor, Handelspartner oder Microsoft-Kundenbetreuer weitere Informationen.</w:t>
      </w:r>
      <w:r w:rsidR="009E4976" w:rsidRPr="00BB5519">
        <w:rPr>
          <w:rFonts w:cs="Tahoma"/>
          <w:szCs w:val="20"/>
          <w:lang w:val="de-DE"/>
        </w:rPr>
        <w:t xml:space="preserve"> </w:t>
      </w:r>
    </w:p>
    <w:p w:rsidR="005011A6" w:rsidRPr="00D15040" w:rsidRDefault="005011A6" w:rsidP="005011A6">
      <w:pPr>
        <w:tabs>
          <w:tab w:val="left" w:pos="360"/>
        </w:tabs>
        <w:rPr>
          <w:rFonts w:cs="Tahoma"/>
          <w:szCs w:val="20"/>
          <w:lang w:val="de-DE"/>
        </w:rPr>
      </w:pPr>
    </w:p>
    <w:p w:rsidR="00456002" w:rsidRPr="00BB5519" w:rsidRDefault="00456002" w:rsidP="00366502">
      <w:pPr>
        <w:tabs>
          <w:tab w:val="left" w:pos="360"/>
        </w:tabs>
        <w:rPr>
          <w:lang w:val="de-DE"/>
        </w:rPr>
      </w:pPr>
      <w:r w:rsidRPr="00BB5519">
        <w:rPr>
          <w:rFonts w:cs="Tahoma"/>
          <w:szCs w:val="20"/>
          <w:lang w:val="de-DE"/>
        </w:rPr>
        <w:t>Die folgenden Abonnementlizenzen sind zu Anpassungen der Lizenzmengen berechtigt:</w:t>
      </w:r>
    </w:p>
    <w:p w:rsidR="00456002" w:rsidRPr="00BB5519" w:rsidRDefault="00456002" w:rsidP="00456002">
      <w:pPr>
        <w:tabs>
          <w:tab w:val="left" w:pos="360"/>
        </w:tabs>
        <w:ind w:left="720"/>
        <w:rPr>
          <w:lang w:val="de-DE"/>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BB5519" w:rsidTr="007E466C">
        <w:trPr>
          <w:trHeight w:val="80"/>
        </w:trPr>
        <w:tc>
          <w:tcPr>
            <w:tcW w:w="5000" w:type="pct"/>
            <w:gridSpan w:val="2"/>
            <w:shd w:val="clear" w:color="auto" w:fill="FABF8F"/>
          </w:tcPr>
          <w:p w:rsidR="00456002" w:rsidRPr="00BB5519" w:rsidRDefault="00456002" w:rsidP="005C647E">
            <w:pPr>
              <w:jc w:val="center"/>
              <w:rPr>
                <w:rFonts w:cs="Tahoma"/>
                <w:b/>
              </w:rPr>
            </w:pPr>
            <w:r w:rsidRPr="00BB5519">
              <w:rPr>
                <w:rFonts w:cs="Tahoma"/>
                <w:b/>
              </w:rPr>
              <w:t>Onlinedienste</w:t>
            </w:r>
          </w:p>
        </w:tc>
      </w:tr>
      <w:tr w:rsidR="00456002" w:rsidRPr="00BB5519" w:rsidTr="007E466C">
        <w:trPr>
          <w:trHeight w:val="219"/>
        </w:trPr>
        <w:tc>
          <w:tcPr>
            <w:tcW w:w="2500" w:type="pct"/>
          </w:tcPr>
          <w:p w:rsidR="00456002" w:rsidRPr="00BB5519" w:rsidRDefault="00456002" w:rsidP="007E466C">
            <w:pPr>
              <w:numPr>
                <w:ilvl w:val="0"/>
                <w:numId w:val="50"/>
              </w:numPr>
              <w:spacing w:before="80"/>
            </w:pPr>
            <w:r w:rsidRPr="00BB5519">
              <w:rPr>
                <w:rFonts w:cs="Tahoma"/>
              </w:rPr>
              <w:t>Exchange Online Kiosk*</w:t>
            </w:r>
          </w:p>
          <w:p w:rsidR="00456002" w:rsidRPr="00BB5519" w:rsidRDefault="00456002" w:rsidP="007E466C">
            <w:pPr>
              <w:numPr>
                <w:ilvl w:val="0"/>
                <w:numId w:val="50"/>
              </w:numPr>
              <w:spacing w:before="80"/>
            </w:pPr>
            <w:r w:rsidRPr="00BB5519">
              <w:rPr>
                <w:rFonts w:cs="Tahoma"/>
              </w:rPr>
              <w:t>Exchange Online Plan 1*</w:t>
            </w:r>
          </w:p>
          <w:p w:rsidR="00456002" w:rsidRPr="00BB5519" w:rsidRDefault="00456002" w:rsidP="007E466C">
            <w:pPr>
              <w:numPr>
                <w:ilvl w:val="0"/>
                <w:numId w:val="50"/>
              </w:numPr>
              <w:spacing w:before="80"/>
            </w:pPr>
            <w:r w:rsidRPr="00BB5519">
              <w:rPr>
                <w:rFonts w:cs="Tahoma"/>
              </w:rPr>
              <w:t>Exchange Online Plan 2*</w:t>
            </w:r>
          </w:p>
          <w:p w:rsidR="00456002" w:rsidRPr="00BB5519" w:rsidRDefault="00456002" w:rsidP="007E466C">
            <w:pPr>
              <w:numPr>
                <w:ilvl w:val="0"/>
                <w:numId w:val="50"/>
              </w:numPr>
              <w:spacing w:before="80"/>
            </w:pPr>
            <w:r w:rsidRPr="00BB5519">
              <w:rPr>
                <w:rFonts w:cs="Tahoma"/>
              </w:rPr>
              <w:t>Lync Online Plan 1*</w:t>
            </w:r>
          </w:p>
          <w:p w:rsidR="00456002" w:rsidRPr="00BB5519" w:rsidRDefault="00456002" w:rsidP="007E466C">
            <w:pPr>
              <w:numPr>
                <w:ilvl w:val="0"/>
                <w:numId w:val="50"/>
              </w:numPr>
              <w:spacing w:before="80"/>
            </w:pPr>
            <w:r w:rsidRPr="00BB5519">
              <w:rPr>
                <w:rFonts w:cs="Tahoma"/>
              </w:rPr>
              <w:t>Lync Online Plan 2*</w:t>
            </w:r>
          </w:p>
          <w:p w:rsidR="00E77288" w:rsidRPr="00BB5519" w:rsidRDefault="00E77288" w:rsidP="007E466C">
            <w:pPr>
              <w:numPr>
                <w:ilvl w:val="0"/>
                <w:numId w:val="50"/>
              </w:numPr>
              <w:spacing w:before="80"/>
            </w:pPr>
            <w:r w:rsidRPr="00BB5519">
              <w:rPr>
                <w:rFonts w:cs="Tahoma"/>
              </w:rPr>
              <w:t>Lync Online Plan 3*</w:t>
            </w:r>
          </w:p>
          <w:p w:rsidR="00456002" w:rsidRPr="00BB5519" w:rsidRDefault="00456002" w:rsidP="007E466C">
            <w:pPr>
              <w:numPr>
                <w:ilvl w:val="0"/>
                <w:numId w:val="50"/>
              </w:numPr>
              <w:spacing w:before="80"/>
            </w:pPr>
            <w:r w:rsidRPr="00BB5519">
              <w:rPr>
                <w:rFonts w:cs="Tahoma"/>
              </w:rPr>
              <w:t>Office 365 (Enterprise K1)*</w:t>
            </w:r>
          </w:p>
          <w:p w:rsidR="00456002" w:rsidRPr="00BB5519" w:rsidRDefault="00456002" w:rsidP="007E466C">
            <w:pPr>
              <w:numPr>
                <w:ilvl w:val="0"/>
                <w:numId w:val="50"/>
              </w:numPr>
              <w:spacing w:before="80"/>
            </w:pPr>
            <w:r w:rsidRPr="00BB5519">
              <w:rPr>
                <w:rFonts w:cs="Tahoma"/>
              </w:rPr>
              <w:t>Office 365 (Enterprise K2)*</w:t>
            </w:r>
          </w:p>
          <w:p w:rsidR="00456002" w:rsidRPr="00BB5519" w:rsidRDefault="00456002" w:rsidP="007E466C">
            <w:pPr>
              <w:numPr>
                <w:ilvl w:val="0"/>
                <w:numId w:val="50"/>
              </w:numPr>
              <w:spacing w:before="80"/>
            </w:pPr>
            <w:r w:rsidRPr="00BB5519">
              <w:rPr>
                <w:rFonts w:cs="Tahoma"/>
              </w:rPr>
              <w:t>Office 365 (Enterprise E1)</w:t>
            </w:r>
          </w:p>
          <w:p w:rsidR="00456002" w:rsidRPr="00BB5519" w:rsidRDefault="00456002" w:rsidP="007E466C">
            <w:pPr>
              <w:numPr>
                <w:ilvl w:val="0"/>
                <w:numId w:val="50"/>
              </w:numPr>
              <w:spacing w:before="80"/>
            </w:pPr>
            <w:r w:rsidRPr="00BB5519">
              <w:rPr>
                <w:rFonts w:cs="Tahoma"/>
              </w:rPr>
              <w:t>Office 365 (Enterprise E2)</w:t>
            </w:r>
          </w:p>
          <w:p w:rsidR="00456002" w:rsidRPr="00BB5519" w:rsidRDefault="00456002" w:rsidP="007E466C">
            <w:pPr>
              <w:numPr>
                <w:ilvl w:val="0"/>
                <w:numId w:val="50"/>
              </w:numPr>
              <w:spacing w:before="80"/>
            </w:pPr>
            <w:r w:rsidRPr="00BB5519">
              <w:rPr>
                <w:rFonts w:cs="Tahoma"/>
              </w:rPr>
              <w:t>Office 365 (Enterprise E3)</w:t>
            </w:r>
          </w:p>
          <w:p w:rsidR="00456002" w:rsidRPr="00BB5519" w:rsidRDefault="00456002" w:rsidP="007E466C">
            <w:pPr>
              <w:numPr>
                <w:ilvl w:val="0"/>
                <w:numId w:val="50"/>
              </w:numPr>
              <w:spacing w:before="80"/>
            </w:pPr>
            <w:r w:rsidRPr="00BB5519">
              <w:rPr>
                <w:rFonts w:cs="Tahoma"/>
              </w:rPr>
              <w:t>Office 365 (Enterprise E4)</w:t>
            </w:r>
          </w:p>
          <w:p w:rsidR="005272FA" w:rsidRPr="00BB5519" w:rsidRDefault="005272FA" w:rsidP="005272FA">
            <w:pPr>
              <w:numPr>
                <w:ilvl w:val="0"/>
                <w:numId w:val="50"/>
              </w:numPr>
              <w:spacing w:before="80"/>
              <w:jc w:val="both"/>
            </w:pPr>
            <w:r w:rsidRPr="00BB5519">
              <w:rPr>
                <w:rFonts w:cs="Tahoma"/>
                <w:color w:val="000000"/>
              </w:rPr>
              <w:t>Office 365 (Government G1)</w:t>
            </w:r>
          </w:p>
          <w:p w:rsidR="005272FA" w:rsidRPr="00BB5519" w:rsidRDefault="005272FA" w:rsidP="005272FA">
            <w:pPr>
              <w:numPr>
                <w:ilvl w:val="0"/>
                <w:numId w:val="50"/>
              </w:numPr>
              <w:spacing w:before="80"/>
              <w:jc w:val="both"/>
            </w:pPr>
            <w:r w:rsidRPr="00BB5519">
              <w:rPr>
                <w:rFonts w:cs="Tahoma"/>
                <w:color w:val="000000"/>
              </w:rPr>
              <w:t>Office 365 (Government G2)</w:t>
            </w:r>
          </w:p>
          <w:p w:rsidR="005272FA" w:rsidRPr="00BB5519" w:rsidRDefault="005272FA" w:rsidP="005272FA">
            <w:pPr>
              <w:numPr>
                <w:ilvl w:val="0"/>
                <w:numId w:val="50"/>
              </w:numPr>
              <w:spacing w:before="80"/>
              <w:jc w:val="both"/>
            </w:pPr>
            <w:r w:rsidRPr="00BB5519">
              <w:rPr>
                <w:rFonts w:cs="Tahoma"/>
                <w:color w:val="000000"/>
              </w:rPr>
              <w:t>Office 365 (Government G3)</w:t>
            </w:r>
          </w:p>
          <w:p w:rsidR="005272FA" w:rsidRPr="00BB5519" w:rsidRDefault="005272FA" w:rsidP="005272FA">
            <w:pPr>
              <w:numPr>
                <w:ilvl w:val="0"/>
                <w:numId w:val="50"/>
              </w:numPr>
              <w:spacing w:before="80"/>
              <w:jc w:val="both"/>
            </w:pPr>
            <w:r w:rsidRPr="00BB5519">
              <w:rPr>
                <w:rFonts w:cs="Tahoma"/>
                <w:color w:val="000000"/>
              </w:rPr>
              <w:t>Office 365 (Government G4)</w:t>
            </w:r>
          </w:p>
          <w:p w:rsidR="005272FA" w:rsidRPr="00BB5519" w:rsidRDefault="005272FA" w:rsidP="007E466C">
            <w:pPr>
              <w:spacing w:before="80"/>
              <w:ind w:left="522"/>
              <w:rPr>
                <w:rFonts w:cs="Tahoma"/>
              </w:rPr>
            </w:pPr>
          </w:p>
        </w:tc>
        <w:tc>
          <w:tcPr>
            <w:tcW w:w="2500" w:type="pct"/>
          </w:tcPr>
          <w:p w:rsidR="00456002" w:rsidRPr="00BB5519" w:rsidRDefault="00456002" w:rsidP="007E466C">
            <w:pPr>
              <w:numPr>
                <w:ilvl w:val="0"/>
                <w:numId w:val="50"/>
              </w:numPr>
              <w:spacing w:before="80"/>
              <w:jc w:val="both"/>
            </w:pPr>
            <w:r w:rsidRPr="00BB5519">
              <w:rPr>
                <w:rFonts w:cs="Tahoma"/>
                <w:color w:val="000000"/>
              </w:rPr>
              <w:t>Office-Webanwendungen*</w:t>
            </w:r>
          </w:p>
          <w:p w:rsidR="00CE1716" w:rsidRPr="00BB5519" w:rsidRDefault="00CE1716" w:rsidP="007E466C">
            <w:pPr>
              <w:numPr>
                <w:ilvl w:val="0"/>
                <w:numId w:val="50"/>
              </w:numPr>
              <w:spacing w:before="80"/>
              <w:jc w:val="both"/>
            </w:pPr>
            <w:r w:rsidRPr="00BB5519">
              <w:rPr>
                <w:rFonts w:cs="Tahoma"/>
                <w:color w:val="000000"/>
              </w:rPr>
              <w:t>Project Online</w:t>
            </w:r>
          </w:p>
          <w:p w:rsidR="005272FA" w:rsidRPr="00BB5519" w:rsidRDefault="005272FA" w:rsidP="007E466C">
            <w:pPr>
              <w:numPr>
                <w:ilvl w:val="0"/>
                <w:numId w:val="50"/>
              </w:numPr>
              <w:spacing w:before="80"/>
              <w:jc w:val="both"/>
            </w:pPr>
            <w:r w:rsidRPr="00BB5519">
              <w:rPr>
                <w:rFonts w:cs="Tahoma"/>
                <w:color w:val="000000"/>
              </w:rPr>
              <w:t>Project Pro für Office 365*</w:t>
            </w:r>
          </w:p>
          <w:p w:rsidR="00456002" w:rsidRPr="00BB5519" w:rsidRDefault="00456002" w:rsidP="007E466C">
            <w:pPr>
              <w:numPr>
                <w:ilvl w:val="0"/>
                <w:numId w:val="50"/>
              </w:numPr>
              <w:spacing w:before="80"/>
              <w:jc w:val="both"/>
            </w:pPr>
            <w:r w:rsidRPr="00BB5519">
              <w:rPr>
                <w:rFonts w:cs="Tahoma"/>
                <w:color w:val="000000"/>
              </w:rPr>
              <w:t>SharePoint Online Plan 1*</w:t>
            </w:r>
          </w:p>
          <w:p w:rsidR="00456002" w:rsidRPr="00BB5519" w:rsidRDefault="00456002" w:rsidP="007E466C">
            <w:pPr>
              <w:numPr>
                <w:ilvl w:val="0"/>
                <w:numId w:val="50"/>
              </w:numPr>
              <w:spacing w:before="80"/>
              <w:jc w:val="both"/>
            </w:pPr>
            <w:r w:rsidRPr="00BB5519">
              <w:rPr>
                <w:rFonts w:cs="Tahoma"/>
                <w:color w:val="000000"/>
              </w:rPr>
              <w:t>SharePoint Online Plan 2*</w:t>
            </w:r>
          </w:p>
          <w:p w:rsidR="00456002" w:rsidRPr="00BB5519" w:rsidRDefault="00456002" w:rsidP="007E466C">
            <w:pPr>
              <w:numPr>
                <w:ilvl w:val="0"/>
                <w:numId w:val="50"/>
              </w:numPr>
              <w:spacing w:before="80"/>
              <w:ind w:right="270"/>
              <w:jc w:val="both"/>
            </w:pPr>
            <w:r w:rsidRPr="00BB5519">
              <w:rPr>
                <w:rFonts w:cs="Tahoma"/>
                <w:color w:val="000000"/>
              </w:rPr>
              <w:t>SharePoint Online Partner Access*</w:t>
            </w:r>
          </w:p>
          <w:p w:rsidR="00456002" w:rsidRPr="00BB5519" w:rsidRDefault="00456002" w:rsidP="007E466C">
            <w:pPr>
              <w:numPr>
                <w:ilvl w:val="0"/>
                <w:numId w:val="50"/>
              </w:numPr>
              <w:spacing w:before="80"/>
              <w:jc w:val="both"/>
            </w:pPr>
            <w:r w:rsidRPr="00BB5519">
              <w:rPr>
                <w:rFonts w:cs="Tahoma"/>
                <w:color w:val="000000"/>
              </w:rPr>
              <w:t>Windows Intune</w:t>
            </w:r>
          </w:p>
          <w:p w:rsidR="00456002" w:rsidRPr="00BB5519" w:rsidRDefault="00456002" w:rsidP="007E466C">
            <w:pPr>
              <w:numPr>
                <w:ilvl w:val="0"/>
                <w:numId w:val="50"/>
              </w:numPr>
              <w:spacing w:before="80"/>
              <w:jc w:val="both"/>
            </w:pPr>
            <w:r w:rsidRPr="00BB5519">
              <w:rPr>
                <w:rFonts w:cs="Tahoma"/>
                <w:color w:val="000000"/>
              </w:rPr>
              <w:t>Add-On für Windows Intune*</w:t>
            </w:r>
          </w:p>
          <w:p w:rsidR="00A2058E" w:rsidRPr="00BB5519" w:rsidRDefault="00A2058E" w:rsidP="007E466C">
            <w:pPr>
              <w:numPr>
                <w:ilvl w:val="0"/>
                <w:numId w:val="50"/>
              </w:numPr>
              <w:spacing w:before="80"/>
              <w:jc w:val="both"/>
            </w:pPr>
            <w:r w:rsidRPr="00BB5519">
              <w:rPr>
                <w:rFonts w:cs="Tahoma"/>
                <w:color w:val="000000"/>
              </w:rPr>
              <w:t>Microsoft Dynamics CRM Online*</w:t>
            </w:r>
          </w:p>
          <w:p w:rsidR="005272FA" w:rsidRPr="00BB5519" w:rsidRDefault="005272FA" w:rsidP="007E466C">
            <w:pPr>
              <w:numPr>
                <w:ilvl w:val="0"/>
                <w:numId w:val="50"/>
              </w:numPr>
              <w:spacing w:before="80"/>
              <w:jc w:val="both"/>
            </w:pPr>
            <w:r w:rsidRPr="00BB5519">
              <w:rPr>
                <w:rFonts w:cs="Tahoma"/>
                <w:color w:val="000000"/>
              </w:rPr>
              <w:t>Visio Pro für Office 365*</w:t>
            </w:r>
          </w:p>
          <w:p w:rsidR="00F27B29" w:rsidRPr="00BB5519" w:rsidRDefault="00F27B29" w:rsidP="007E466C">
            <w:pPr>
              <w:numPr>
                <w:ilvl w:val="0"/>
                <w:numId w:val="50"/>
              </w:numPr>
              <w:spacing w:before="80" w:after="120"/>
              <w:jc w:val="both"/>
              <w:rPr>
                <w:rFonts w:cs="Tahoma"/>
              </w:rPr>
            </w:pPr>
            <w:r w:rsidRPr="00BB5519">
              <w:rPr>
                <w:rFonts w:cs="Tahoma"/>
                <w:color w:val="000000"/>
              </w:rPr>
              <w:t>Yammer Enterprise</w:t>
            </w:r>
          </w:p>
        </w:tc>
      </w:tr>
    </w:tbl>
    <w:p w:rsidR="00A12176" w:rsidRPr="00BB5519" w:rsidRDefault="00456002" w:rsidP="005011A6">
      <w:pPr>
        <w:tabs>
          <w:tab w:val="left" w:pos="360"/>
        </w:tabs>
        <w:spacing w:before="40"/>
        <w:ind w:left="720"/>
      </w:pPr>
      <w:r w:rsidRPr="00BB5519">
        <w:rPr>
          <w:rFonts w:cs="Tahoma"/>
          <w:i/>
          <w:sz w:val="16"/>
          <w:szCs w:val="20"/>
        </w:rPr>
        <w:t>* Zusätzliches Produkt</w:t>
      </w:r>
      <w:bookmarkStart w:id="692" w:name="_Toc336338196"/>
    </w:p>
    <w:p w:rsidR="005011A6" w:rsidRPr="00A12176" w:rsidRDefault="005011A6" w:rsidP="005011A6">
      <w:pPr>
        <w:pStyle w:val="Heading2"/>
        <w:ind w:left="0"/>
        <w:rPr>
          <w:rFonts w:ascii="Tahoma" w:hAnsi="Tahoma" w:cs="Tahoma"/>
          <w:sz w:val="18"/>
        </w:rPr>
      </w:pPr>
    </w:p>
    <w:p w:rsidR="00456002" w:rsidRPr="005011A6" w:rsidRDefault="00456002" w:rsidP="00366502">
      <w:pPr>
        <w:pStyle w:val="Heading2"/>
        <w:ind w:left="0"/>
        <w:rPr>
          <w:rFonts w:ascii="Tahoma" w:hAnsi="Tahoma" w:cs="Tahoma"/>
        </w:rPr>
      </w:pPr>
      <w:bookmarkStart w:id="693" w:name="_Toc354054890"/>
      <w:r w:rsidRPr="005011A6">
        <w:rPr>
          <w:rFonts w:ascii="Tahoma" w:hAnsi="Tahoma" w:cs="Tahoma"/>
        </w:rPr>
        <w:t>Dienstkontinuität mittels Verlängerter Laufzeit</w:t>
      </w:r>
      <w:bookmarkEnd w:id="692"/>
      <w:bookmarkEnd w:id="693"/>
      <w:r w:rsidRPr="005011A6">
        <w:rPr>
          <w:rFonts w:ascii="Tahoma" w:hAnsi="Tahoma" w:cs="Tahoma"/>
        </w:rPr>
        <w:t xml:space="preserve"> </w:t>
      </w:r>
    </w:p>
    <w:p w:rsidR="005011A6" w:rsidRDefault="005011A6" w:rsidP="005011A6">
      <w:pPr>
        <w:tabs>
          <w:tab w:val="left" w:pos="360"/>
        </w:tabs>
        <w:rPr>
          <w:rFonts w:cs="Tahoma"/>
          <w:szCs w:val="20"/>
        </w:rPr>
      </w:pPr>
    </w:p>
    <w:p w:rsidR="00456002" w:rsidRPr="00BB5519" w:rsidRDefault="00456002" w:rsidP="005011A6">
      <w:pPr>
        <w:tabs>
          <w:tab w:val="left" w:pos="360"/>
        </w:tabs>
        <w:rPr>
          <w:lang w:val="de-DE"/>
        </w:rPr>
      </w:pPr>
      <w:r w:rsidRPr="00BB5519">
        <w:rPr>
          <w:rFonts w:cs="Tahoma"/>
          <w:b/>
          <w:szCs w:val="20"/>
          <w:lang w:val="de-DE"/>
        </w:rPr>
        <w:t>Anmerkung:</w:t>
      </w:r>
      <w:r w:rsidRPr="00BB5519">
        <w:rPr>
          <w:rFonts w:cs="Tahoma"/>
          <w:szCs w:val="20"/>
          <w:lang w:val="de-DE"/>
        </w:rPr>
        <w:t xml:space="preserve"> Die folgenden Bestimmungen gelten für Kunden mit Konzern- und Konzern-Abonnement-Beitritt, die</w:t>
      </w:r>
      <w:r w:rsidR="005011A6">
        <w:rPr>
          <w:rFonts w:cs="Tahoma"/>
          <w:szCs w:val="20"/>
          <w:lang w:val="de-DE"/>
        </w:rPr>
        <w:t> </w:t>
      </w:r>
      <w:r w:rsidRPr="00BB5519">
        <w:rPr>
          <w:rFonts w:cs="Tahoma"/>
          <w:szCs w:val="20"/>
          <w:lang w:val="de-DE"/>
        </w:rPr>
        <w:t>zur Dienstkontinuität mittels verlängerter Laufzeit berechtigt sind.</w:t>
      </w:r>
      <w:r w:rsidR="009E4976" w:rsidRPr="00BB5519">
        <w:rPr>
          <w:rFonts w:cs="Tahoma"/>
          <w:szCs w:val="20"/>
          <w:lang w:val="de-DE"/>
        </w:rPr>
        <w:t xml:space="preserve"> </w:t>
      </w:r>
      <w:r w:rsidRPr="00BB5519">
        <w:rPr>
          <w:rFonts w:cs="Tahoma"/>
          <w:szCs w:val="20"/>
          <w:lang w:val="de-DE"/>
        </w:rPr>
        <w:t>Kunden, die hinsichtlich der Berechtigung zu Dienstkontinuität mittels verlängerter Laufzeit unsicher sind, erhalten von ihrem Software Advisor, Handelspartner oder Microsoft-Kundenbetreuer weitere Informationen.</w:t>
      </w:r>
      <w:r w:rsidR="009E4976" w:rsidRPr="00BB5519">
        <w:rPr>
          <w:rFonts w:cs="Tahoma"/>
          <w:szCs w:val="20"/>
          <w:lang w:val="de-DE"/>
        </w:rPr>
        <w:t xml:space="preserve"> </w:t>
      </w:r>
    </w:p>
    <w:p w:rsidR="005011A6" w:rsidRPr="00D15040" w:rsidRDefault="005011A6" w:rsidP="005011A6">
      <w:pPr>
        <w:tabs>
          <w:tab w:val="left" w:pos="360"/>
        </w:tabs>
        <w:rPr>
          <w:rFonts w:cs="Tahoma"/>
          <w:szCs w:val="20"/>
          <w:lang w:val="de-DE"/>
        </w:rPr>
      </w:pPr>
    </w:p>
    <w:p w:rsidR="00456002" w:rsidRDefault="00456002" w:rsidP="00366502">
      <w:pPr>
        <w:tabs>
          <w:tab w:val="left" w:pos="360"/>
        </w:tabs>
        <w:rPr>
          <w:rFonts w:cs="Tahoma"/>
          <w:szCs w:val="20"/>
          <w:lang w:val="de-DE"/>
        </w:rPr>
      </w:pPr>
      <w:r w:rsidRPr="00BB5519">
        <w:rPr>
          <w:rFonts w:cs="Tahoma"/>
          <w:szCs w:val="20"/>
          <w:lang w:val="de-DE"/>
        </w:rPr>
        <w:t>Die folgenden Onlinedienste sind vorbehaltlich der Bestimmungen der Volumenlizenzverträge der Kunden zu Dienstkontinuität mittels verlängerter Laufzeit berechtigt. Die Laufzeit des Onlinedienste-Abonnements eines Kunden muss am Enddatum des Kundenvertrags enden („identische Laufzeit“), damit die Berechtigung für Dienstkontinuität mittels verlängerter Laufzeit gegeben ist:</w:t>
      </w:r>
    </w:p>
    <w:p w:rsidR="005011A6" w:rsidRPr="00BB5519" w:rsidRDefault="005011A6" w:rsidP="00366502">
      <w:pPr>
        <w:tabs>
          <w:tab w:val="left" w:pos="360"/>
        </w:tabs>
        <w:rPr>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BB5519" w:rsidTr="005C647E">
        <w:trPr>
          <w:trHeight w:val="80"/>
          <w:tblHeader/>
        </w:trPr>
        <w:tc>
          <w:tcPr>
            <w:tcW w:w="5000" w:type="pct"/>
            <w:gridSpan w:val="2"/>
            <w:shd w:val="clear" w:color="auto" w:fill="FABF8F"/>
          </w:tcPr>
          <w:p w:rsidR="00456002" w:rsidRPr="00BB5519" w:rsidRDefault="00456002" w:rsidP="005011A6">
            <w:pPr>
              <w:keepNext/>
              <w:keepLines/>
              <w:jc w:val="center"/>
              <w:rPr>
                <w:rFonts w:cs="Tahoma"/>
                <w:b/>
                <w:sz w:val="20"/>
              </w:rPr>
            </w:pPr>
            <w:r w:rsidRPr="00BB5519">
              <w:rPr>
                <w:rFonts w:cs="Tahoma"/>
                <w:b/>
                <w:sz w:val="20"/>
              </w:rPr>
              <w:lastRenderedPageBreak/>
              <w:t>Onlinedienste</w:t>
            </w:r>
          </w:p>
        </w:tc>
      </w:tr>
      <w:tr w:rsidR="00456002" w:rsidRPr="00BB5519" w:rsidTr="005C647E">
        <w:trPr>
          <w:trHeight w:val="219"/>
        </w:trPr>
        <w:tc>
          <w:tcPr>
            <w:tcW w:w="2603" w:type="pct"/>
          </w:tcPr>
          <w:p w:rsidR="00456002" w:rsidRPr="00BB5519" w:rsidRDefault="00456002" w:rsidP="005011A6">
            <w:pPr>
              <w:keepNext/>
              <w:keepLines/>
              <w:numPr>
                <w:ilvl w:val="0"/>
                <w:numId w:val="50"/>
              </w:numPr>
              <w:spacing w:before="80"/>
              <w:ind w:left="905" w:hanging="540"/>
              <w:jc w:val="both"/>
            </w:pPr>
            <w:r w:rsidRPr="00BB5519">
              <w:rPr>
                <w:rFonts w:cs="Tahoma"/>
              </w:rPr>
              <w:t>Exchange Online Kiosk*</w:t>
            </w:r>
          </w:p>
          <w:p w:rsidR="00456002" w:rsidRPr="00BB5519" w:rsidRDefault="00456002" w:rsidP="005011A6">
            <w:pPr>
              <w:keepNext/>
              <w:keepLines/>
              <w:numPr>
                <w:ilvl w:val="0"/>
                <w:numId w:val="50"/>
              </w:numPr>
              <w:spacing w:before="80"/>
              <w:ind w:left="905" w:hanging="540"/>
              <w:jc w:val="both"/>
            </w:pPr>
            <w:r w:rsidRPr="00BB5519">
              <w:rPr>
                <w:rFonts w:cs="Tahoma"/>
              </w:rPr>
              <w:t>Exchange Online Plan 1*</w:t>
            </w:r>
          </w:p>
          <w:p w:rsidR="00456002" w:rsidRPr="00BB5519" w:rsidRDefault="00456002" w:rsidP="005011A6">
            <w:pPr>
              <w:keepNext/>
              <w:keepLines/>
              <w:numPr>
                <w:ilvl w:val="0"/>
                <w:numId w:val="50"/>
              </w:numPr>
              <w:spacing w:before="80"/>
              <w:ind w:left="905" w:hanging="540"/>
              <w:jc w:val="both"/>
            </w:pPr>
            <w:r w:rsidRPr="00BB5519">
              <w:rPr>
                <w:rFonts w:cs="Tahoma"/>
              </w:rPr>
              <w:t>Exchange Online Plan 2*</w:t>
            </w:r>
          </w:p>
          <w:p w:rsidR="00456002" w:rsidRPr="00BB5519" w:rsidRDefault="00456002" w:rsidP="005011A6">
            <w:pPr>
              <w:keepNext/>
              <w:keepLines/>
              <w:numPr>
                <w:ilvl w:val="0"/>
                <w:numId w:val="50"/>
              </w:numPr>
              <w:spacing w:before="80"/>
              <w:ind w:left="905" w:hanging="540"/>
              <w:jc w:val="both"/>
            </w:pPr>
            <w:r w:rsidRPr="00BB5519">
              <w:rPr>
                <w:rFonts w:cs="Tahoma"/>
              </w:rPr>
              <w:t>Lync Online Plan 1*</w:t>
            </w:r>
          </w:p>
          <w:p w:rsidR="00456002" w:rsidRPr="00BB5519" w:rsidRDefault="00456002" w:rsidP="005011A6">
            <w:pPr>
              <w:keepNext/>
              <w:keepLines/>
              <w:numPr>
                <w:ilvl w:val="0"/>
                <w:numId w:val="50"/>
              </w:numPr>
              <w:spacing w:before="80"/>
              <w:ind w:left="905" w:hanging="540"/>
              <w:jc w:val="both"/>
            </w:pPr>
            <w:r w:rsidRPr="00BB5519">
              <w:rPr>
                <w:rFonts w:cs="Tahoma"/>
              </w:rPr>
              <w:t>Lync Online Plan 2*</w:t>
            </w:r>
          </w:p>
          <w:p w:rsidR="00E77288" w:rsidRPr="00BB5519" w:rsidRDefault="00E77288" w:rsidP="005011A6">
            <w:pPr>
              <w:keepNext/>
              <w:keepLines/>
              <w:numPr>
                <w:ilvl w:val="0"/>
                <w:numId w:val="50"/>
              </w:numPr>
              <w:spacing w:before="80"/>
              <w:ind w:left="905" w:hanging="540"/>
              <w:jc w:val="both"/>
            </w:pPr>
            <w:r w:rsidRPr="00BB5519">
              <w:rPr>
                <w:rFonts w:cs="Tahoma"/>
              </w:rPr>
              <w:t>Lync Online Plan 3*</w:t>
            </w:r>
          </w:p>
          <w:p w:rsidR="00456002" w:rsidRPr="00BB5519" w:rsidRDefault="00456002" w:rsidP="005011A6">
            <w:pPr>
              <w:keepNext/>
              <w:keepLines/>
              <w:numPr>
                <w:ilvl w:val="0"/>
                <w:numId w:val="50"/>
              </w:numPr>
              <w:spacing w:before="80"/>
              <w:ind w:left="905" w:hanging="540"/>
              <w:jc w:val="both"/>
            </w:pPr>
            <w:r w:rsidRPr="00BB5519">
              <w:rPr>
                <w:rFonts w:cs="Tahoma"/>
              </w:rPr>
              <w:t>Office 365 (Enterprise K1)*</w:t>
            </w:r>
          </w:p>
          <w:p w:rsidR="00456002" w:rsidRPr="00BB5519" w:rsidRDefault="00456002" w:rsidP="005011A6">
            <w:pPr>
              <w:keepNext/>
              <w:keepLines/>
              <w:numPr>
                <w:ilvl w:val="0"/>
                <w:numId w:val="50"/>
              </w:numPr>
              <w:spacing w:before="80"/>
              <w:ind w:left="905" w:hanging="540"/>
              <w:jc w:val="both"/>
            </w:pPr>
            <w:r w:rsidRPr="00BB5519">
              <w:rPr>
                <w:rFonts w:cs="Tahoma"/>
              </w:rPr>
              <w:t>Office 365 (Enterprise K2)*</w:t>
            </w:r>
          </w:p>
          <w:p w:rsidR="00456002" w:rsidRPr="00BB5519" w:rsidRDefault="00456002" w:rsidP="005011A6">
            <w:pPr>
              <w:keepNext/>
              <w:keepLines/>
              <w:numPr>
                <w:ilvl w:val="0"/>
                <w:numId w:val="50"/>
              </w:numPr>
              <w:spacing w:before="80"/>
              <w:ind w:left="905" w:hanging="540"/>
              <w:jc w:val="both"/>
            </w:pPr>
            <w:r w:rsidRPr="00BB5519">
              <w:rPr>
                <w:rFonts w:cs="Tahoma"/>
              </w:rPr>
              <w:t>Office 365 (Enterprise E1)</w:t>
            </w:r>
          </w:p>
          <w:p w:rsidR="00456002" w:rsidRPr="00BB5519" w:rsidRDefault="00456002" w:rsidP="005011A6">
            <w:pPr>
              <w:keepNext/>
              <w:keepLines/>
              <w:numPr>
                <w:ilvl w:val="0"/>
                <w:numId w:val="50"/>
              </w:numPr>
              <w:spacing w:before="80"/>
              <w:ind w:left="905" w:hanging="540"/>
              <w:jc w:val="both"/>
            </w:pPr>
            <w:r w:rsidRPr="00BB5519">
              <w:rPr>
                <w:rFonts w:cs="Tahoma"/>
              </w:rPr>
              <w:t>Office 365 (Enterprise E2)</w:t>
            </w:r>
          </w:p>
          <w:p w:rsidR="00456002" w:rsidRPr="00BB5519" w:rsidRDefault="00456002" w:rsidP="005011A6">
            <w:pPr>
              <w:keepNext/>
              <w:keepLines/>
              <w:numPr>
                <w:ilvl w:val="0"/>
                <w:numId w:val="50"/>
              </w:numPr>
              <w:spacing w:before="80"/>
              <w:ind w:left="895" w:hanging="530"/>
              <w:jc w:val="both"/>
            </w:pPr>
            <w:r w:rsidRPr="00BB5519">
              <w:rPr>
                <w:rFonts w:cs="Tahoma"/>
              </w:rPr>
              <w:t>Office 365 (Enterprise E3)</w:t>
            </w:r>
          </w:p>
          <w:p w:rsidR="00456002" w:rsidRPr="00BB5519" w:rsidRDefault="00456002" w:rsidP="005011A6">
            <w:pPr>
              <w:keepNext/>
              <w:keepLines/>
              <w:numPr>
                <w:ilvl w:val="0"/>
                <w:numId w:val="50"/>
              </w:numPr>
              <w:spacing w:before="80"/>
              <w:ind w:left="895" w:hanging="530"/>
              <w:jc w:val="both"/>
              <w:rPr>
                <w:rFonts w:cs="Tahoma"/>
              </w:rPr>
            </w:pPr>
            <w:r w:rsidRPr="00BB5519">
              <w:rPr>
                <w:rFonts w:cs="Tahoma"/>
              </w:rPr>
              <w:t>Office 365 (Enterprise E4)</w:t>
            </w:r>
          </w:p>
        </w:tc>
        <w:tc>
          <w:tcPr>
            <w:tcW w:w="2397" w:type="pct"/>
          </w:tcPr>
          <w:p w:rsidR="00C177EF" w:rsidRPr="00BB5519" w:rsidRDefault="00C177EF" w:rsidP="005011A6">
            <w:pPr>
              <w:keepNext/>
              <w:keepLines/>
              <w:numPr>
                <w:ilvl w:val="0"/>
                <w:numId w:val="50"/>
              </w:numPr>
              <w:spacing w:before="80"/>
              <w:ind w:left="725"/>
              <w:jc w:val="both"/>
            </w:pPr>
            <w:r w:rsidRPr="00BB5519">
              <w:rPr>
                <w:rFonts w:cs="Tahoma"/>
              </w:rPr>
              <w:t>Microsoft Dynamics CRM Online*</w:t>
            </w:r>
          </w:p>
          <w:p w:rsidR="009E224B" w:rsidRPr="00BB5519" w:rsidRDefault="009E224B" w:rsidP="005011A6">
            <w:pPr>
              <w:keepNext/>
              <w:keepLines/>
              <w:numPr>
                <w:ilvl w:val="0"/>
                <w:numId w:val="50"/>
              </w:numPr>
              <w:spacing w:before="80"/>
              <w:ind w:left="725"/>
              <w:jc w:val="both"/>
            </w:pPr>
            <w:r w:rsidRPr="00BB5519">
              <w:rPr>
                <w:rFonts w:cs="Tahoma"/>
              </w:rPr>
              <w:t>Office 365 (Government G1)</w:t>
            </w:r>
          </w:p>
          <w:p w:rsidR="009E224B" w:rsidRPr="00BB5519" w:rsidRDefault="009E224B" w:rsidP="005011A6">
            <w:pPr>
              <w:keepNext/>
              <w:keepLines/>
              <w:numPr>
                <w:ilvl w:val="0"/>
                <w:numId w:val="50"/>
              </w:numPr>
              <w:spacing w:before="80"/>
              <w:ind w:left="725"/>
              <w:jc w:val="both"/>
            </w:pPr>
            <w:r w:rsidRPr="00BB5519">
              <w:rPr>
                <w:rFonts w:cs="Tahoma"/>
              </w:rPr>
              <w:t>Office 365 (Government G2)</w:t>
            </w:r>
          </w:p>
          <w:p w:rsidR="009E224B" w:rsidRPr="00BB5519" w:rsidRDefault="009E224B" w:rsidP="005011A6">
            <w:pPr>
              <w:keepNext/>
              <w:keepLines/>
              <w:numPr>
                <w:ilvl w:val="0"/>
                <w:numId w:val="50"/>
              </w:numPr>
              <w:spacing w:before="80"/>
              <w:ind w:left="725"/>
              <w:jc w:val="both"/>
            </w:pPr>
            <w:r w:rsidRPr="00BB5519">
              <w:rPr>
                <w:rFonts w:cs="Tahoma"/>
              </w:rPr>
              <w:t>Office 365 (Government G3)</w:t>
            </w:r>
          </w:p>
          <w:p w:rsidR="009E224B" w:rsidRPr="00BB5519" w:rsidRDefault="009E224B" w:rsidP="005011A6">
            <w:pPr>
              <w:keepNext/>
              <w:keepLines/>
              <w:numPr>
                <w:ilvl w:val="0"/>
                <w:numId w:val="50"/>
              </w:numPr>
              <w:spacing w:before="80"/>
              <w:ind w:left="725"/>
              <w:jc w:val="both"/>
            </w:pPr>
            <w:r w:rsidRPr="00BB5519">
              <w:rPr>
                <w:rFonts w:cs="Tahoma"/>
              </w:rPr>
              <w:t>Office 365 (Government G4)</w:t>
            </w:r>
          </w:p>
          <w:p w:rsidR="00456002" w:rsidRPr="00BB5519" w:rsidRDefault="00456002" w:rsidP="005011A6">
            <w:pPr>
              <w:keepNext/>
              <w:keepLines/>
              <w:numPr>
                <w:ilvl w:val="0"/>
                <w:numId w:val="50"/>
              </w:numPr>
              <w:spacing w:before="80"/>
              <w:ind w:left="725"/>
              <w:jc w:val="both"/>
            </w:pPr>
            <w:r w:rsidRPr="00BB5519">
              <w:rPr>
                <w:rFonts w:cs="Tahoma"/>
              </w:rPr>
              <w:t>Office-Webanwendungen*</w:t>
            </w:r>
          </w:p>
          <w:p w:rsidR="00C177EF" w:rsidRPr="00BB5519" w:rsidRDefault="00C177EF" w:rsidP="005011A6">
            <w:pPr>
              <w:keepNext/>
              <w:keepLines/>
              <w:numPr>
                <w:ilvl w:val="0"/>
                <w:numId w:val="50"/>
              </w:numPr>
              <w:spacing w:before="80"/>
              <w:ind w:left="725"/>
              <w:jc w:val="both"/>
            </w:pPr>
            <w:r w:rsidRPr="00BB5519">
              <w:rPr>
                <w:rFonts w:cs="Tahoma"/>
              </w:rPr>
              <w:t>Project Online*</w:t>
            </w:r>
          </w:p>
          <w:p w:rsidR="00C177EF" w:rsidRPr="00BB5519" w:rsidRDefault="00C177EF" w:rsidP="005011A6">
            <w:pPr>
              <w:keepNext/>
              <w:keepLines/>
              <w:numPr>
                <w:ilvl w:val="0"/>
                <w:numId w:val="50"/>
              </w:numPr>
              <w:spacing w:before="80"/>
              <w:ind w:left="725"/>
              <w:jc w:val="both"/>
            </w:pPr>
            <w:r w:rsidRPr="00BB5519">
              <w:rPr>
                <w:rFonts w:cs="Tahoma"/>
              </w:rPr>
              <w:t>Project Pro für Office 365*</w:t>
            </w:r>
          </w:p>
          <w:p w:rsidR="00456002" w:rsidRPr="00BB5519" w:rsidRDefault="00456002" w:rsidP="005011A6">
            <w:pPr>
              <w:keepNext/>
              <w:keepLines/>
              <w:numPr>
                <w:ilvl w:val="0"/>
                <w:numId w:val="50"/>
              </w:numPr>
              <w:spacing w:before="80"/>
              <w:ind w:left="725"/>
              <w:jc w:val="both"/>
            </w:pPr>
            <w:r w:rsidRPr="00BB5519">
              <w:rPr>
                <w:rFonts w:cs="Tahoma"/>
              </w:rPr>
              <w:t>SharePoint Online Plan 1*</w:t>
            </w:r>
          </w:p>
          <w:p w:rsidR="00456002" w:rsidRPr="00BB5519" w:rsidRDefault="00456002" w:rsidP="005011A6">
            <w:pPr>
              <w:keepNext/>
              <w:keepLines/>
              <w:numPr>
                <w:ilvl w:val="0"/>
                <w:numId w:val="50"/>
              </w:numPr>
              <w:spacing w:before="80"/>
              <w:ind w:left="725"/>
              <w:jc w:val="both"/>
            </w:pPr>
            <w:r w:rsidRPr="00BB5519">
              <w:rPr>
                <w:rFonts w:cs="Tahoma"/>
              </w:rPr>
              <w:t>SharePoint Online Plan 2*</w:t>
            </w:r>
          </w:p>
          <w:p w:rsidR="00456002" w:rsidRPr="00BB5519" w:rsidRDefault="00456002" w:rsidP="005011A6">
            <w:pPr>
              <w:keepNext/>
              <w:keepLines/>
              <w:numPr>
                <w:ilvl w:val="0"/>
                <w:numId w:val="50"/>
              </w:numPr>
              <w:spacing w:before="80"/>
              <w:ind w:left="725"/>
              <w:jc w:val="both"/>
            </w:pPr>
            <w:r w:rsidRPr="00BB5519">
              <w:rPr>
                <w:rFonts w:cs="Tahoma"/>
              </w:rPr>
              <w:t>SharePoint Online Partner Access*</w:t>
            </w:r>
          </w:p>
          <w:p w:rsidR="00C177EF" w:rsidRPr="00BB5519" w:rsidRDefault="00C177EF" w:rsidP="005011A6">
            <w:pPr>
              <w:keepNext/>
              <w:keepLines/>
              <w:numPr>
                <w:ilvl w:val="0"/>
                <w:numId w:val="50"/>
              </w:numPr>
              <w:spacing w:before="80"/>
              <w:ind w:left="725"/>
              <w:jc w:val="both"/>
            </w:pPr>
            <w:r w:rsidRPr="00BB5519">
              <w:rPr>
                <w:rFonts w:cs="Tahoma"/>
              </w:rPr>
              <w:t>Viso Pro für Office 365*</w:t>
            </w:r>
          </w:p>
          <w:p w:rsidR="00776E3B" w:rsidRPr="00BB5519" w:rsidRDefault="00776E3B" w:rsidP="005011A6">
            <w:pPr>
              <w:keepNext/>
              <w:keepLines/>
              <w:numPr>
                <w:ilvl w:val="0"/>
                <w:numId w:val="50"/>
              </w:numPr>
              <w:spacing w:before="80"/>
              <w:ind w:left="725"/>
              <w:jc w:val="both"/>
            </w:pPr>
            <w:r w:rsidRPr="00BB5519">
              <w:rPr>
                <w:rFonts w:cs="Tahoma"/>
              </w:rPr>
              <w:t>Windows Azure-Dienste*</w:t>
            </w:r>
          </w:p>
          <w:p w:rsidR="00456002" w:rsidRPr="00BB5519" w:rsidRDefault="00456002" w:rsidP="005011A6">
            <w:pPr>
              <w:keepNext/>
              <w:keepLines/>
              <w:numPr>
                <w:ilvl w:val="0"/>
                <w:numId w:val="50"/>
              </w:numPr>
              <w:spacing w:before="80"/>
              <w:ind w:left="720"/>
              <w:jc w:val="both"/>
            </w:pPr>
            <w:r w:rsidRPr="00BB5519">
              <w:rPr>
                <w:rFonts w:cs="Tahoma"/>
              </w:rPr>
              <w:t>Windows Intune</w:t>
            </w:r>
          </w:p>
          <w:p w:rsidR="00456002" w:rsidRPr="00BB5519" w:rsidRDefault="00456002" w:rsidP="005011A6">
            <w:pPr>
              <w:keepNext/>
              <w:keepLines/>
              <w:numPr>
                <w:ilvl w:val="0"/>
                <w:numId w:val="50"/>
              </w:numPr>
              <w:spacing w:before="80"/>
              <w:ind w:left="725"/>
              <w:jc w:val="both"/>
            </w:pPr>
            <w:r w:rsidRPr="00BB5519">
              <w:rPr>
                <w:rFonts w:cs="Tahoma"/>
              </w:rPr>
              <w:t>Add-On für Windows Intune*</w:t>
            </w:r>
          </w:p>
          <w:p w:rsidR="00F27B29" w:rsidRPr="00BB5519" w:rsidRDefault="00F27B29" w:rsidP="005011A6">
            <w:pPr>
              <w:keepNext/>
              <w:keepLines/>
              <w:numPr>
                <w:ilvl w:val="0"/>
                <w:numId w:val="50"/>
              </w:numPr>
              <w:spacing w:before="80" w:after="120"/>
              <w:ind w:left="720"/>
              <w:jc w:val="both"/>
              <w:rPr>
                <w:rFonts w:cs="Tahoma"/>
              </w:rPr>
            </w:pPr>
            <w:r w:rsidRPr="00BB5519">
              <w:rPr>
                <w:rFonts w:cs="Tahoma"/>
              </w:rPr>
              <w:t>Yammer Enterprise*</w:t>
            </w:r>
          </w:p>
        </w:tc>
      </w:tr>
    </w:tbl>
    <w:p w:rsidR="00776E3B" w:rsidRPr="00BB5519" w:rsidRDefault="00776E3B" w:rsidP="005011A6">
      <w:pPr>
        <w:tabs>
          <w:tab w:val="left" w:pos="360"/>
        </w:tabs>
        <w:spacing w:before="40"/>
        <w:ind w:left="720"/>
      </w:pPr>
      <w:r w:rsidRPr="00BB5519">
        <w:rPr>
          <w:rFonts w:cs="Tahoma"/>
          <w:i/>
          <w:sz w:val="16"/>
          <w:szCs w:val="20"/>
        </w:rPr>
        <w:t>* Zusätzliches Produkt</w:t>
      </w:r>
    </w:p>
    <w:p w:rsidR="00023FE7" w:rsidRPr="002A64D3" w:rsidRDefault="00023FE7" w:rsidP="00E1724F">
      <w:pPr>
        <w:pStyle w:val="Heading1"/>
        <w:spacing w:before="0"/>
      </w:pPr>
      <w:r w:rsidRPr="002A64D3">
        <w:br w:type="page"/>
      </w:r>
      <w:bookmarkStart w:id="694" w:name="_Toc336338197"/>
      <w:bookmarkStart w:id="695" w:name="_Toc354054891"/>
      <w:r w:rsidRPr="002A64D3">
        <w:lastRenderedPageBreak/>
        <w:t>ABSCHNITT 4 – Lizenztypen und Gebühren</w:t>
      </w:r>
      <w:bookmarkEnd w:id="694"/>
      <w:bookmarkEnd w:id="695"/>
      <w:r w:rsidRPr="002A64D3">
        <w:t xml:space="preserve"> </w:t>
      </w:r>
    </w:p>
    <w:p w:rsidR="002A64D3" w:rsidRDefault="002A64D3" w:rsidP="002A64D3">
      <w:pPr>
        <w:pStyle w:val="Heading2"/>
        <w:ind w:left="0" w:right="720"/>
        <w:rPr>
          <w:rFonts w:ascii="Tahoma" w:hAnsi="Tahoma" w:cs="Tahoma"/>
        </w:rPr>
      </w:pPr>
      <w:bookmarkStart w:id="696" w:name="_Toc336338198"/>
    </w:p>
    <w:p w:rsidR="00456002" w:rsidRPr="002A64D3" w:rsidRDefault="00456002" w:rsidP="00456002">
      <w:pPr>
        <w:pStyle w:val="Heading2"/>
        <w:tabs>
          <w:tab w:val="left" w:pos="90"/>
        </w:tabs>
        <w:ind w:left="0" w:right="720"/>
        <w:rPr>
          <w:rFonts w:ascii="Tahoma" w:hAnsi="Tahoma" w:cs="Tahoma"/>
        </w:rPr>
      </w:pPr>
      <w:bookmarkStart w:id="697" w:name="_Toc354054892"/>
      <w:r w:rsidRPr="002A64D3">
        <w:rPr>
          <w:rFonts w:ascii="Tahoma" w:hAnsi="Tahoma" w:cs="Tahoma"/>
        </w:rPr>
        <w:t>Gebühren</w:t>
      </w:r>
      <w:bookmarkEnd w:id="696"/>
      <w:bookmarkEnd w:id="697"/>
      <w:r w:rsidRPr="002A64D3">
        <w:rPr>
          <w:rFonts w:ascii="Tahoma" w:hAnsi="Tahoma" w:cs="Tahoma"/>
        </w:rPr>
        <w:t xml:space="preserve"> </w:t>
      </w:r>
    </w:p>
    <w:p w:rsidR="002A64D3" w:rsidRDefault="002A64D3" w:rsidP="002A64D3">
      <w:pPr>
        <w:ind w:right="720"/>
      </w:pPr>
    </w:p>
    <w:p w:rsidR="00456002" w:rsidRPr="00BB5519" w:rsidRDefault="00456002" w:rsidP="002A64D3">
      <w:pPr>
        <w:pStyle w:val="AppendixBodyText"/>
        <w:spacing w:after="0"/>
        <w:ind w:right="90"/>
        <w:rPr>
          <w:lang w:val="de-DE"/>
        </w:rPr>
      </w:pPr>
      <w:r w:rsidRPr="00BB5519">
        <w:rPr>
          <w:rFonts w:ascii="Tahoma" w:hAnsi="Tahoma" w:cs="Tahoma"/>
          <w:sz w:val="18"/>
          <w:lang w:val="de-DE"/>
        </w:rPr>
        <w:t>Dieser Produkttyp ist für einige Onlinedienste und Softwareprodukte verfügbar.</w:t>
      </w:r>
      <w:r w:rsidR="009E4976" w:rsidRPr="00BB5519">
        <w:rPr>
          <w:rFonts w:ascii="Tahoma" w:hAnsi="Tahoma" w:cs="Tahoma"/>
          <w:sz w:val="18"/>
          <w:lang w:val="de-DE"/>
        </w:rPr>
        <w:t xml:space="preserve"> </w:t>
      </w:r>
      <w:r w:rsidRPr="00BB5519">
        <w:rPr>
          <w:rFonts w:ascii="Tahoma" w:hAnsi="Tahoma" w:cs="Tahoma"/>
          <w:sz w:val="18"/>
          <w:lang w:val="de-DE"/>
        </w:rPr>
        <w:t>Er ist nicht versionsspezifisch</w:t>
      </w:r>
      <w:r w:rsidR="009E4976" w:rsidRPr="00BB5519">
        <w:rPr>
          <w:rFonts w:ascii="Tahoma" w:hAnsi="Tahoma" w:cs="Tahoma"/>
          <w:sz w:val="18"/>
          <w:lang w:val="de-DE"/>
        </w:rPr>
        <w:t xml:space="preserve"> </w:t>
      </w:r>
      <w:r w:rsidRPr="00BB5519">
        <w:rPr>
          <w:rFonts w:ascii="Tahoma" w:hAnsi="Tahoma" w:cs="Tahoma"/>
          <w:sz w:val="18"/>
          <w:lang w:val="de-DE"/>
        </w:rPr>
        <w:t>und kann mit Einrichtungskosten oder anderen Angeboten wie Activation Packs verknüpft werden.</w:t>
      </w:r>
      <w:r w:rsidR="009E4976" w:rsidRPr="00BB5519">
        <w:rPr>
          <w:rFonts w:ascii="Tahoma" w:hAnsi="Tahoma" w:cs="Tahoma"/>
          <w:sz w:val="18"/>
          <w:lang w:val="de-DE"/>
        </w:rPr>
        <w:t xml:space="preserve"> </w:t>
      </w:r>
      <w:r w:rsidRPr="00BB5519">
        <w:rPr>
          <w:rFonts w:ascii="Tahoma" w:hAnsi="Tahoma" w:cs="Tahoma"/>
          <w:sz w:val="18"/>
          <w:lang w:val="de-DE"/>
        </w:rPr>
        <w:t>Im Allgemeinen werden damit keine Rechte zur Nutzung eines Produktes oder Onlinediensts gewährt.</w:t>
      </w:r>
      <w:r w:rsidR="009E4976" w:rsidRPr="00BB5519">
        <w:rPr>
          <w:rFonts w:ascii="Tahoma" w:hAnsi="Tahoma" w:cs="Tahoma"/>
          <w:sz w:val="18"/>
          <w:lang w:val="de-DE"/>
        </w:rPr>
        <w:t xml:space="preserve"> </w:t>
      </w:r>
      <w:r w:rsidRPr="00BB5519">
        <w:rPr>
          <w:rFonts w:ascii="Tahoma" w:hAnsi="Tahoma" w:cs="Tahoma"/>
          <w:sz w:val="18"/>
          <w:lang w:val="de-DE"/>
        </w:rPr>
        <w:t>Dementsprechend werden mit diesem Produkttyp keine Vergünstigungen gewährt oder Zwecke abseits des Diensts oder der Software erfüllt, dem bzw. der er entspricht.</w:t>
      </w:r>
      <w:r w:rsidR="009E4976" w:rsidRPr="00BB5519">
        <w:rPr>
          <w:rFonts w:ascii="Tahoma" w:hAnsi="Tahoma" w:cs="Tahoma"/>
          <w:sz w:val="18"/>
          <w:lang w:val="de-DE"/>
        </w:rPr>
        <w:t xml:space="preserve"> </w:t>
      </w:r>
      <w:r w:rsidRPr="00BB5519">
        <w:rPr>
          <w:rFonts w:ascii="Tahoma" w:hAnsi="Tahoma" w:cs="Tahoma"/>
          <w:sz w:val="18"/>
          <w:lang w:val="de-DE"/>
        </w:rPr>
        <w:t>Für die folgenden Programme verfügbar: Open, Open Value, Open Value Subscription, Select und Select Plus.</w:t>
      </w:r>
    </w:p>
    <w:p w:rsidR="002A64D3" w:rsidRPr="00D15040" w:rsidRDefault="002A64D3" w:rsidP="002A64D3">
      <w:pPr>
        <w:ind w:right="720"/>
        <w:rPr>
          <w:color w:val="000000"/>
          <w:sz w:val="20"/>
          <w:lang w:val="de-DE"/>
        </w:rPr>
      </w:pPr>
      <w:bookmarkStart w:id="698" w:name="_Toc323819648"/>
      <w:bookmarkStart w:id="699" w:name="_Toc336338199"/>
    </w:p>
    <w:p w:rsidR="00456002" w:rsidRPr="00EC2A0D" w:rsidRDefault="00456002" w:rsidP="00456002">
      <w:pPr>
        <w:pStyle w:val="Heading2"/>
        <w:tabs>
          <w:tab w:val="left" w:pos="90"/>
        </w:tabs>
        <w:ind w:left="0" w:right="720"/>
        <w:rPr>
          <w:rFonts w:ascii="Tahoma" w:hAnsi="Tahoma" w:cs="Tahoma"/>
          <w:lang w:val="de-DE"/>
        </w:rPr>
      </w:pPr>
      <w:bookmarkStart w:id="700" w:name="_Toc354054893"/>
      <w:r w:rsidRPr="00BB5519">
        <w:rPr>
          <w:rFonts w:ascii="Tahoma" w:hAnsi="Tahoma" w:cs="Tahoma"/>
          <w:lang w:val="de-DE"/>
        </w:rPr>
        <w:t>Lizenz</w:t>
      </w:r>
      <w:bookmarkEnd w:id="698"/>
      <w:bookmarkEnd w:id="699"/>
      <w:bookmarkEnd w:id="700"/>
    </w:p>
    <w:p w:rsidR="002A64D3" w:rsidRPr="00D15040" w:rsidRDefault="002A64D3" w:rsidP="002A64D3">
      <w:pPr>
        <w:pStyle w:val="AppendixIndent"/>
        <w:tabs>
          <w:tab w:val="left" w:pos="90"/>
        </w:tabs>
        <w:spacing w:before="0"/>
        <w:ind w:left="0" w:right="720"/>
        <w:rPr>
          <w:rFonts w:ascii="Tahoma" w:hAnsi="Tahoma" w:cs="Tahoma"/>
          <w:sz w:val="18"/>
          <w:lang w:val="de-DE"/>
        </w:rPr>
      </w:pPr>
    </w:p>
    <w:p w:rsidR="00456002" w:rsidRPr="002A64D3" w:rsidRDefault="00456002" w:rsidP="0014632E">
      <w:pPr>
        <w:pStyle w:val="AppendixBodyText"/>
        <w:spacing w:after="0"/>
        <w:ind w:right="720"/>
        <w:rPr>
          <w:lang w:val="de-DE"/>
        </w:rPr>
      </w:pPr>
      <w:r w:rsidRPr="00BB5519">
        <w:rPr>
          <w:rFonts w:ascii="Tahoma" w:hAnsi="Tahoma" w:cs="Tahoma"/>
          <w:sz w:val="18"/>
          <w:lang w:val="de-DE"/>
        </w:rPr>
        <w:t xml:space="preserve">Dieser Produkttyp ist versionsspezifisch und gewährt das Recht, die Version des Produktes auszuführen, für die er bestellt wurde. </w:t>
      </w:r>
      <w:r w:rsidRPr="002A64D3">
        <w:rPr>
          <w:rFonts w:ascii="Tahoma" w:hAnsi="Tahoma" w:cs="Tahoma"/>
          <w:sz w:val="18"/>
          <w:lang w:val="de-DE"/>
        </w:rPr>
        <w:t xml:space="preserve">Für die folgenden Programme verfügbar: </w:t>
      </w:r>
    </w:p>
    <w:p w:rsidR="00456002" w:rsidRPr="002A64D3" w:rsidRDefault="00456002" w:rsidP="0014632E">
      <w:pPr>
        <w:pStyle w:val="AppendixIndent"/>
        <w:tabs>
          <w:tab w:val="left" w:pos="90"/>
        </w:tabs>
        <w:spacing w:before="0"/>
        <w:ind w:left="0" w:right="720"/>
        <w:rPr>
          <w:lang w:val="de-DE"/>
        </w:rPr>
      </w:pPr>
    </w:p>
    <w:p w:rsidR="00456002" w:rsidRPr="00BB5519" w:rsidRDefault="00456002" w:rsidP="002C1048">
      <w:pPr>
        <w:pStyle w:val="AppendixBulletIndent"/>
        <w:numPr>
          <w:ilvl w:val="0"/>
          <w:numId w:val="77"/>
        </w:numPr>
        <w:tabs>
          <w:tab w:val="left" w:pos="90"/>
        </w:tabs>
        <w:spacing w:after="60"/>
        <w:ind w:left="1440" w:right="720"/>
      </w:pPr>
      <w:r w:rsidRPr="00BB5519">
        <w:rPr>
          <w:rFonts w:ascii="Tahoma" w:hAnsi="Tahoma" w:cs="Tahoma"/>
          <w:sz w:val="18"/>
          <w:szCs w:val="18"/>
        </w:rPr>
        <w:t>Open-Lizenz</w:t>
      </w:r>
    </w:p>
    <w:p w:rsidR="00456002" w:rsidRPr="00BB5519" w:rsidRDefault="00456002" w:rsidP="002C1048">
      <w:pPr>
        <w:pStyle w:val="AppendixBulletIndent"/>
        <w:numPr>
          <w:ilvl w:val="0"/>
          <w:numId w:val="77"/>
        </w:numPr>
        <w:tabs>
          <w:tab w:val="left" w:pos="90"/>
        </w:tabs>
        <w:spacing w:after="60"/>
        <w:ind w:left="1440" w:right="720"/>
        <w:rPr>
          <w:lang w:val="de-DE"/>
        </w:rPr>
      </w:pPr>
      <w:r w:rsidRPr="00BB5519">
        <w:rPr>
          <w:rFonts w:ascii="Tahoma" w:hAnsi="Tahoma" w:cs="Tahoma"/>
          <w:sz w:val="18"/>
          <w:szCs w:val="18"/>
          <w:lang w:val="de-DE"/>
        </w:rPr>
        <w:t xml:space="preserve">Open Value Subscription (nur für Buy-Out-Bestellungen) </w:t>
      </w:r>
    </w:p>
    <w:p w:rsidR="00456002" w:rsidRPr="00BB5519" w:rsidRDefault="00456002" w:rsidP="002C1048">
      <w:pPr>
        <w:pStyle w:val="AppendixBulletIndent"/>
        <w:numPr>
          <w:ilvl w:val="0"/>
          <w:numId w:val="77"/>
        </w:numPr>
        <w:tabs>
          <w:tab w:val="left" w:pos="90"/>
        </w:tabs>
        <w:spacing w:after="60"/>
        <w:ind w:left="1440" w:right="720"/>
      </w:pPr>
      <w:r w:rsidRPr="00BB5519">
        <w:rPr>
          <w:rFonts w:ascii="Tahoma" w:hAnsi="Tahoma" w:cs="Tahoma"/>
          <w:sz w:val="18"/>
          <w:szCs w:val="18"/>
        </w:rPr>
        <w:t xml:space="preserve">Select </w:t>
      </w:r>
    </w:p>
    <w:p w:rsidR="00456002" w:rsidRPr="00BB5519" w:rsidRDefault="00456002" w:rsidP="002C1048">
      <w:pPr>
        <w:pStyle w:val="AppendixBulletIndent"/>
        <w:numPr>
          <w:ilvl w:val="0"/>
          <w:numId w:val="77"/>
        </w:numPr>
        <w:tabs>
          <w:tab w:val="left" w:pos="90"/>
        </w:tabs>
        <w:spacing w:after="60"/>
        <w:ind w:left="1440" w:right="720"/>
      </w:pPr>
      <w:r w:rsidRPr="00BB5519">
        <w:rPr>
          <w:rFonts w:ascii="Tahoma" w:hAnsi="Tahoma" w:cs="Tahoma"/>
          <w:sz w:val="18"/>
          <w:szCs w:val="18"/>
        </w:rPr>
        <w:t>Select Plus</w:t>
      </w:r>
    </w:p>
    <w:p w:rsidR="00456002" w:rsidRPr="00BB5519" w:rsidRDefault="00456002" w:rsidP="002C1048">
      <w:pPr>
        <w:pStyle w:val="AppendixBulletIndent"/>
        <w:numPr>
          <w:ilvl w:val="0"/>
          <w:numId w:val="77"/>
        </w:numPr>
        <w:tabs>
          <w:tab w:val="left" w:pos="90"/>
        </w:tabs>
        <w:spacing w:after="60"/>
        <w:ind w:left="1440" w:right="720"/>
        <w:rPr>
          <w:lang w:val="de-DE"/>
        </w:rPr>
      </w:pPr>
      <w:r w:rsidRPr="00BB5519">
        <w:rPr>
          <w:rFonts w:ascii="Tahoma" w:hAnsi="Tahoma" w:cs="Tahoma"/>
          <w:sz w:val="18"/>
          <w:szCs w:val="18"/>
          <w:lang w:val="de-DE"/>
        </w:rPr>
        <w:t>School-Vertrag (nur für Buy-Out-Bestellungen)</w:t>
      </w:r>
    </w:p>
    <w:p w:rsidR="00456002" w:rsidRPr="00BB5519" w:rsidRDefault="00456002" w:rsidP="002C1048">
      <w:pPr>
        <w:pStyle w:val="AppendixBulletIndent"/>
        <w:numPr>
          <w:ilvl w:val="0"/>
          <w:numId w:val="77"/>
        </w:numPr>
        <w:tabs>
          <w:tab w:val="left" w:pos="90"/>
        </w:tabs>
        <w:spacing w:after="60"/>
        <w:ind w:left="1440" w:right="720"/>
        <w:rPr>
          <w:lang w:val="de-DE"/>
        </w:rPr>
      </w:pPr>
      <w:r w:rsidRPr="00BB5519">
        <w:rPr>
          <w:rFonts w:ascii="Tahoma" w:hAnsi="Tahoma" w:cs="Tahoma"/>
          <w:sz w:val="18"/>
          <w:szCs w:val="18"/>
          <w:lang w:val="de-DE"/>
        </w:rPr>
        <w:t>EES (nur für Buy-Out-Bestellungen)</w:t>
      </w:r>
    </w:p>
    <w:p w:rsidR="00456002" w:rsidRPr="00BB5519" w:rsidRDefault="00456002" w:rsidP="0014632E">
      <w:pPr>
        <w:pStyle w:val="AppendixBulletIndent"/>
        <w:numPr>
          <w:ilvl w:val="0"/>
          <w:numId w:val="77"/>
        </w:numPr>
        <w:tabs>
          <w:tab w:val="left" w:pos="90"/>
        </w:tabs>
        <w:ind w:left="1440" w:right="720"/>
        <w:rPr>
          <w:lang w:val="de-DE"/>
        </w:rPr>
      </w:pPr>
      <w:r w:rsidRPr="00BB5519">
        <w:rPr>
          <w:rFonts w:ascii="Tahoma" w:hAnsi="Tahoma" w:cs="Tahoma"/>
          <w:sz w:val="18"/>
          <w:szCs w:val="18"/>
          <w:lang w:val="de-DE"/>
        </w:rPr>
        <w:t>Konzern-Abonnement-Vertrag (nur für Buy-Out-Bestellungen)</w:t>
      </w:r>
    </w:p>
    <w:p w:rsidR="00456002" w:rsidRPr="00BB5519" w:rsidRDefault="00456002" w:rsidP="0014632E">
      <w:pPr>
        <w:pStyle w:val="AppendixIndent"/>
        <w:tabs>
          <w:tab w:val="left" w:pos="90"/>
        </w:tabs>
        <w:spacing w:before="0"/>
        <w:ind w:left="0" w:right="720"/>
        <w:rPr>
          <w:lang w:val="de-DE"/>
        </w:rPr>
      </w:pPr>
    </w:p>
    <w:p w:rsidR="00456002" w:rsidRPr="00BB5519" w:rsidRDefault="00456002" w:rsidP="00381C87">
      <w:pPr>
        <w:pStyle w:val="AppendixBodyText"/>
        <w:spacing w:after="0"/>
        <w:ind w:right="450"/>
        <w:rPr>
          <w:lang w:val="de-DE"/>
        </w:rPr>
      </w:pPr>
      <w:r w:rsidRPr="00BB5519">
        <w:rPr>
          <w:rFonts w:ascii="Tahoma" w:hAnsi="Tahoma" w:cs="Tahoma"/>
          <w:sz w:val="18"/>
          <w:lang w:val="de-DE"/>
        </w:rPr>
        <w:t>Für den Erwerb einer Lizenz in den Open-Lizenz-, Select- und Select Plus-Programmen muss ein Kunde keinerlei Voraussetzungen erfüllen.</w:t>
      </w:r>
      <w:r w:rsidR="009E4976" w:rsidRPr="00BB5519">
        <w:rPr>
          <w:rFonts w:ascii="Tahoma" w:hAnsi="Tahoma" w:cs="Tahoma"/>
          <w:sz w:val="18"/>
          <w:lang w:val="de-DE"/>
        </w:rPr>
        <w:t xml:space="preserve"> </w:t>
      </w:r>
      <w:r w:rsidRPr="00BB5519">
        <w:rPr>
          <w:rFonts w:ascii="Tahoma" w:hAnsi="Tahoma" w:cs="Tahoma"/>
          <w:sz w:val="18"/>
          <w:lang w:val="de-DE"/>
        </w:rPr>
        <w:t>Die Berechtigungsvorschriften zum Bestellen einer zeitlich unbeschränkten Lizenz durch Buy-Out-Bestellungen finden Sie im jeweiligen Programmvertrag.</w:t>
      </w:r>
    </w:p>
    <w:p w:rsidR="00255158" w:rsidRPr="00BB5519" w:rsidRDefault="00255158" w:rsidP="0014632E">
      <w:pPr>
        <w:pStyle w:val="AppendixIndent"/>
        <w:tabs>
          <w:tab w:val="left" w:pos="90"/>
        </w:tabs>
        <w:spacing w:before="0"/>
        <w:ind w:left="0" w:right="720"/>
        <w:rPr>
          <w:lang w:val="de-DE"/>
        </w:rPr>
      </w:pPr>
    </w:p>
    <w:p w:rsidR="00456002" w:rsidRPr="00BB5519" w:rsidRDefault="00456002" w:rsidP="00456002">
      <w:pPr>
        <w:pStyle w:val="Heading2"/>
        <w:tabs>
          <w:tab w:val="left" w:pos="90"/>
        </w:tabs>
        <w:ind w:left="0" w:right="720"/>
        <w:rPr>
          <w:lang w:val="de-DE"/>
        </w:rPr>
      </w:pPr>
      <w:bookmarkStart w:id="701" w:name="_Toc323819649"/>
      <w:bookmarkStart w:id="702" w:name="_Toc336338200"/>
      <w:bookmarkStart w:id="703" w:name="_Toc354054894"/>
      <w:r w:rsidRPr="00BB5519">
        <w:rPr>
          <w:rFonts w:ascii="Tahoma" w:hAnsi="Tahoma" w:cs="Tahoma"/>
          <w:lang w:val="de-DE"/>
        </w:rPr>
        <w:t>Lizenz und Software Assurance</w:t>
      </w:r>
      <w:bookmarkEnd w:id="701"/>
      <w:bookmarkEnd w:id="702"/>
      <w:bookmarkEnd w:id="703"/>
      <w:r w:rsidRPr="00BB5519">
        <w:rPr>
          <w:rFonts w:ascii="Tahoma" w:hAnsi="Tahoma" w:cs="Tahoma"/>
          <w:lang w:val="de-DE"/>
        </w:rPr>
        <w:t xml:space="preserve"> </w:t>
      </w:r>
    </w:p>
    <w:p w:rsidR="00456002" w:rsidRPr="00BB5519" w:rsidRDefault="00456002" w:rsidP="00ED589D">
      <w:pPr>
        <w:pStyle w:val="AppendixIndent"/>
        <w:tabs>
          <w:tab w:val="left" w:pos="90"/>
        </w:tabs>
        <w:spacing w:before="0"/>
        <w:ind w:left="0" w:right="720"/>
        <w:rPr>
          <w:lang w:val="de-DE"/>
        </w:rPr>
      </w:pPr>
    </w:p>
    <w:p w:rsidR="00456002" w:rsidRPr="00BB5519" w:rsidRDefault="00456002" w:rsidP="00381C87">
      <w:pPr>
        <w:pStyle w:val="AppendixBodyText"/>
        <w:tabs>
          <w:tab w:val="left" w:pos="9270"/>
        </w:tabs>
        <w:spacing w:after="0"/>
        <w:ind w:right="90"/>
      </w:pPr>
      <w:r w:rsidRPr="00BB5519">
        <w:rPr>
          <w:rFonts w:ascii="Tahoma" w:hAnsi="Tahoma" w:cs="Tahoma"/>
          <w:sz w:val="18"/>
          <w:lang w:val="de-DE"/>
        </w:rPr>
        <w:t xml:space="preserve">Dieser Produkttyp ist nicht versionsspezifisch. Er bietet Kunden die Möglichkeit, die Lizenz und Software Assurance zum gleichen Zeitpunkt zu erwerben. </w:t>
      </w:r>
      <w:r w:rsidRPr="00BB5519">
        <w:rPr>
          <w:rFonts w:ascii="Tahoma" w:hAnsi="Tahoma" w:cs="Tahoma"/>
          <w:sz w:val="18"/>
        </w:rPr>
        <w:t>Für die folgenden Programme verfügbar:</w:t>
      </w:r>
    </w:p>
    <w:p w:rsidR="00456002" w:rsidRPr="00BB5519" w:rsidRDefault="00456002" w:rsidP="0014632E">
      <w:pPr>
        <w:pStyle w:val="AppendixIndent"/>
        <w:tabs>
          <w:tab w:val="left" w:pos="90"/>
        </w:tabs>
        <w:spacing w:before="0"/>
        <w:ind w:left="0" w:right="720"/>
      </w:pPr>
    </w:p>
    <w:p w:rsidR="00456002" w:rsidRPr="00BB5519" w:rsidRDefault="00456002" w:rsidP="002C1048">
      <w:pPr>
        <w:pStyle w:val="AppendixBulletIndent"/>
        <w:numPr>
          <w:ilvl w:val="0"/>
          <w:numId w:val="81"/>
        </w:numPr>
        <w:tabs>
          <w:tab w:val="left" w:pos="1440"/>
        </w:tabs>
        <w:spacing w:after="60"/>
        <w:ind w:left="1440" w:right="720"/>
      </w:pPr>
      <w:r w:rsidRPr="00BB5519">
        <w:rPr>
          <w:rFonts w:ascii="Tahoma" w:hAnsi="Tahoma" w:cs="Tahoma"/>
          <w:sz w:val="18"/>
        </w:rPr>
        <w:t xml:space="preserve">Open-Lizenz </w:t>
      </w:r>
    </w:p>
    <w:p w:rsidR="00456002" w:rsidRPr="00BB5519" w:rsidRDefault="00456002" w:rsidP="002C1048">
      <w:pPr>
        <w:pStyle w:val="AppendixBulletIndent"/>
        <w:numPr>
          <w:ilvl w:val="0"/>
          <w:numId w:val="81"/>
        </w:numPr>
        <w:tabs>
          <w:tab w:val="left" w:pos="1440"/>
        </w:tabs>
        <w:spacing w:after="60"/>
        <w:ind w:left="1440" w:right="720"/>
      </w:pPr>
      <w:r w:rsidRPr="00BB5519">
        <w:rPr>
          <w:rFonts w:ascii="Tahoma" w:hAnsi="Tahoma" w:cs="Tahoma"/>
          <w:sz w:val="18"/>
        </w:rPr>
        <w:t>Open Value</w:t>
      </w:r>
    </w:p>
    <w:p w:rsidR="00456002" w:rsidRPr="00BB5519" w:rsidRDefault="00385C82" w:rsidP="002C1048">
      <w:pPr>
        <w:pStyle w:val="AppendixBulletIndent"/>
        <w:numPr>
          <w:ilvl w:val="0"/>
          <w:numId w:val="81"/>
        </w:numPr>
        <w:tabs>
          <w:tab w:val="left" w:pos="1440"/>
        </w:tabs>
        <w:spacing w:after="60"/>
        <w:ind w:left="1440" w:right="720"/>
      </w:pPr>
      <w:r w:rsidRPr="00BB5519">
        <w:rPr>
          <w:rFonts w:ascii="Tahoma" w:hAnsi="Tahoma" w:cs="Tahoma"/>
          <w:sz w:val="18"/>
        </w:rPr>
        <w:t>Open Value Subscription</w:t>
      </w:r>
    </w:p>
    <w:p w:rsidR="00456002" w:rsidRPr="00BB5519" w:rsidRDefault="00456002" w:rsidP="002C1048">
      <w:pPr>
        <w:pStyle w:val="AppendixBulletIndent"/>
        <w:numPr>
          <w:ilvl w:val="0"/>
          <w:numId w:val="81"/>
        </w:numPr>
        <w:tabs>
          <w:tab w:val="left" w:pos="1440"/>
        </w:tabs>
        <w:spacing w:after="60"/>
        <w:ind w:left="1440" w:right="720"/>
      </w:pPr>
      <w:r w:rsidRPr="00BB5519">
        <w:rPr>
          <w:rFonts w:ascii="Tahoma" w:hAnsi="Tahoma" w:cs="Tahoma"/>
          <w:sz w:val="18"/>
        </w:rPr>
        <w:t xml:space="preserve">Select </w:t>
      </w:r>
    </w:p>
    <w:p w:rsidR="00456002" w:rsidRPr="00BB5519" w:rsidRDefault="00456002" w:rsidP="002C1048">
      <w:pPr>
        <w:pStyle w:val="AppendixBulletIndent"/>
        <w:numPr>
          <w:ilvl w:val="0"/>
          <w:numId w:val="81"/>
        </w:numPr>
        <w:tabs>
          <w:tab w:val="left" w:pos="1440"/>
        </w:tabs>
        <w:spacing w:after="60"/>
        <w:ind w:left="1440" w:right="720"/>
      </w:pPr>
      <w:r w:rsidRPr="00BB5519">
        <w:rPr>
          <w:rFonts w:ascii="Tahoma" w:hAnsi="Tahoma" w:cs="Tahoma"/>
          <w:sz w:val="18"/>
        </w:rPr>
        <w:t>Select Plus</w:t>
      </w:r>
    </w:p>
    <w:p w:rsidR="00456002" w:rsidRPr="00BB5519" w:rsidRDefault="00456002" w:rsidP="002C1048">
      <w:pPr>
        <w:pStyle w:val="AppendixBulletIndent"/>
        <w:numPr>
          <w:ilvl w:val="0"/>
          <w:numId w:val="81"/>
        </w:numPr>
        <w:tabs>
          <w:tab w:val="left" w:pos="1440"/>
        </w:tabs>
        <w:spacing w:after="60"/>
        <w:ind w:left="1440" w:right="720"/>
      </w:pPr>
      <w:r w:rsidRPr="00BB5519">
        <w:rPr>
          <w:rFonts w:ascii="Tahoma" w:hAnsi="Tahoma" w:cs="Tahoma"/>
          <w:sz w:val="18"/>
        </w:rPr>
        <w:t>Konzernvertrag</w:t>
      </w:r>
    </w:p>
    <w:p w:rsidR="00456002" w:rsidRPr="00BB5519" w:rsidRDefault="00456002" w:rsidP="0014632E">
      <w:pPr>
        <w:pStyle w:val="AppendixBulletIndent"/>
        <w:numPr>
          <w:ilvl w:val="0"/>
          <w:numId w:val="81"/>
        </w:numPr>
        <w:tabs>
          <w:tab w:val="left" w:pos="1440"/>
        </w:tabs>
        <w:ind w:left="1440" w:right="720"/>
      </w:pPr>
      <w:r w:rsidRPr="00BB5519">
        <w:rPr>
          <w:rFonts w:ascii="Tahoma" w:hAnsi="Tahoma" w:cs="Tahoma"/>
          <w:sz w:val="18"/>
        </w:rPr>
        <w:t>Konzern-Abonnement-Vertrag</w:t>
      </w:r>
    </w:p>
    <w:p w:rsidR="00456002" w:rsidRPr="00BB5519" w:rsidRDefault="00456002" w:rsidP="00EF6A68">
      <w:pPr>
        <w:pStyle w:val="AppendixIndent"/>
        <w:tabs>
          <w:tab w:val="left" w:pos="90"/>
        </w:tabs>
        <w:spacing w:before="0"/>
        <w:ind w:left="0" w:right="720"/>
      </w:pPr>
    </w:p>
    <w:p w:rsidR="00456002" w:rsidRPr="00BB5519" w:rsidRDefault="00456002" w:rsidP="00381C87">
      <w:pPr>
        <w:pStyle w:val="AppendixBodyText"/>
        <w:spacing w:after="0"/>
        <w:ind w:right="180"/>
        <w:rPr>
          <w:lang w:val="de-DE"/>
        </w:rPr>
      </w:pPr>
      <w:r w:rsidRPr="00BB5519">
        <w:rPr>
          <w:rFonts w:ascii="Tahoma" w:hAnsi="Tahoma" w:cs="Tahoma"/>
          <w:sz w:val="18"/>
          <w:lang w:val="de-DE"/>
        </w:rPr>
        <w:t>Für den Erwerb der Lizenzen müssen keinerlei Voraussetzungen erfüllt werden. Software Assurance muss zeitgleich mit der entsprechenden Lizenz oder bei Verlängerung einer bestehenden Software Assurance-Laufzeit erworben werden.</w:t>
      </w:r>
      <w:r w:rsidR="009E4976" w:rsidRPr="00BB5519">
        <w:rPr>
          <w:rFonts w:ascii="Tahoma" w:hAnsi="Tahoma" w:cs="Tahoma"/>
          <w:sz w:val="18"/>
          <w:lang w:val="de-DE"/>
        </w:rPr>
        <w:t xml:space="preserve"> </w:t>
      </w:r>
      <w:r w:rsidRPr="00BB5519">
        <w:rPr>
          <w:rFonts w:ascii="Tahoma" w:hAnsi="Tahoma" w:cs="Tahoma"/>
          <w:sz w:val="18"/>
          <w:lang w:val="de-DE"/>
        </w:rPr>
        <w:t>Bei allen Volumenlizenzprogrammen muss der Kunde das Angebot für Lizenz und Software Assurance erwerben, wenn er die Berechtigungskriterien für Software Assurance nicht erfüllt und Software Assurance erwerben möchte.</w:t>
      </w:r>
    </w:p>
    <w:p w:rsidR="00255158" w:rsidRPr="00BB5519" w:rsidRDefault="00255158" w:rsidP="00EF6A68">
      <w:pPr>
        <w:rPr>
          <w:lang w:val="de-DE"/>
        </w:rPr>
      </w:pPr>
    </w:p>
    <w:p w:rsidR="00456002" w:rsidRPr="00EC2A0D" w:rsidRDefault="00456002" w:rsidP="000E3562">
      <w:pPr>
        <w:pStyle w:val="Heading2"/>
        <w:keepNext/>
        <w:keepLines/>
        <w:tabs>
          <w:tab w:val="left" w:pos="90"/>
        </w:tabs>
        <w:ind w:left="0" w:right="720"/>
        <w:rPr>
          <w:rFonts w:ascii="Tahoma" w:hAnsi="Tahoma" w:cs="Tahoma"/>
          <w:lang w:val="de-DE"/>
        </w:rPr>
      </w:pPr>
      <w:bookmarkStart w:id="704" w:name="_Toc323819650"/>
      <w:bookmarkStart w:id="705" w:name="_Toc336338201"/>
      <w:bookmarkStart w:id="706" w:name="_Toc354054895"/>
      <w:r w:rsidRPr="00EC2A0D">
        <w:rPr>
          <w:rFonts w:ascii="Tahoma" w:hAnsi="Tahoma" w:cs="Tahoma"/>
          <w:lang w:val="de-DE"/>
        </w:rPr>
        <w:lastRenderedPageBreak/>
        <w:t>Software Assurance</w:t>
      </w:r>
      <w:bookmarkEnd w:id="704"/>
      <w:bookmarkEnd w:id="705"/>
      <w:bookmarkEnd w:id="706"/>
    </w:p>
    <w:p w:rsidR="00456002" w:rsidRPr="00D15040" w:rsidRDefault="00456002" w:rsidP="000E3562">
      <w:pPr>
        <w:pStyle w:val="AppendixBodyText"/>
        <w:keepNext/>
        <w:keepLines/>
        <w:tabs>
          <w:tab w:val="left" w:pos="90"/>
        </w:tabs>
        <w:spacing w:after="0"/>
        <w:ind w:right="720"/>
        <w:rPr>
          <w:rFonts w:ascii="Tahoma" w:hAnsi="Tahoma" w:cs="Tahoma"/>
          <w:sz w:val="18"/>
          <w:lang w:val="de-DE" w:eastAsia="ja-JP"/>
        </w:rPr>
      </w:pPr>
    </w:p>
    <w:p w:rsidR="00456002" w:rsidRPr="00BB5519" w:rsidRDefault="00456002" w:rsidP="000E3562">
      <w:pPr>
        <w:pStyle w:val="AppendixBodyText"/>
        <w:keepNext/>
        <w:keepLines/>
        <w:spacing w:after="0"/>
        <w:rPr>
          <w:lang w:val="de-DE"/>
        </w:rPr>
      </w:pPr>
      <w:r w:rsidRPr="00BB5519">
        <w:rPr>
          <w:rFonts w:ascii="Tahoma" w:hAnsi="Tahoma" w:cs="Tahoma"/>
          <w:sz w:val="18"/>
          <w:lang w:val="de-DE"/>
        </w:rPr>
        <w:t>Microsoft Software Assurance ist ein Angebot über Vergünstigungen, die Rechte für neue Versionen, Zugriff auf abgegrenzte Technologien, zusätzliche Nutzungsrechte für die Produkte, für die es erworben wurde, Ratenzahlungen, Beratungsdienste, Schulungen, Support und Zugriff auf exklusive Angebote umfassen können. Informationen zu den einzelnen Vergünstigungen und Richtlinien finden Sie im Abschnitt „Software Assurance (SA)-Vergünstigungen“ dieses Dokuments.</w:t>
      </w:r>
    </w:p>
    <w:p w:rsidR="00381C87" w:rsidRPr="00D15040" w:rsidRDefault="00381C87" w:rsidP="00381C87">
      <w:pPr>
        <w:pStyle w:val="AppendixIndent"/>
        <w:tabs>
          <w:tab w:val="left" w:pos="90"/>
        </w:tabs>
        <w:spacing w:before="0"/>
        <w:ind w:left="0" w:right="720"/>
        <w:rPr>
          <w:rFonts w:ascii="Tahoma" w:hAnsi="Tahoma" w:cs="Tahoma"/>
          <w:color w:val="000000"/>
          <w:sz w:val="18"/>
          <w:lang w:val="de-DE"/>
        </w:rPr>
      </w:pPr>
    </w:p>
    <w:p w:rsidR="00456002" w:rsidRPr="00381C87" w:rsidRDefault="00456002" w:rsidP="00017D8D">
      <w:pPr>
        <w:pStyle w:val="AppendixBodyText"/>
        <w:spacing w:after="0"/>
        <w:ind w:right="180"/>
        <w:rPr>
          <w:lang w:val="de-DE"/>
        </w:rPr>
      </w:pPr>
      <w:r w:rsidRPr="00BB5519">
        <w:rPr>
          <w:rFonts w:ascii="Tahoma" w:hAnsi="Tahoma" w:cs="Tahoma"/>
          <w:sz w:val="18"/>
          <w:lang w:val="de-DE"/>
        </w:rPr>
        <w:t xml:space="preserve">Informationen zu den Nutzungsrechten für Vergünstigungen finden Sie in den Produktbenutzungsrechten für Volumenlizenzprogramme. </w:t>
      </w:r>
      <w:r w:rsidRPr="00381C87">
        <w:rPr>
          <w:rFonts w:ascii="Tahoma" w:hAnsi="Tahoma" w:cs="Tahoma"/>
          <w:sz w:val="18"/>
          <w:lang w:val="de-DE"/>
        </w:rPr>
        <w:t>Software Assurance ist für die folgenden Programme erhältlich:</w:t>
      </w:r>
    </w:p>
    <w:p w:rsidR="00456002" w:rsidRPr="00381C87" w:rsidRDefault="00456002" w:rsidP="00017D8D">
      <w:pPr>
        <w:pStyle w:val="AppendixIndent"/>
        <w:tabs>
          <w:tab w:val="left" w:pos="90"/>
        </w:tabs>
        <w:spacing w:before="0"/>
        <w:ind w:left="0" w:right="180"/>
        <w:rPr>
          <w:lang w:val="de-DE"/>
        </w:rPr>
      </w:pPr>
    </w:p>
    <w:p w:rsidR="00456002" w:rsidRPr="00BB5519" w:rsidRDefault="00456002" w:rsidP="00017D8D">
      <w:pPr>
        <w:pStyle w:val="AppendixBulletIndent"/>
        <w:numPr>
          <w:ilvl w:val="0"/>
          <w:numId w:val="82"/>
        </w:numPr>
        <w:tabs>
          <w:tab w:val="left" w:pos="1440"/>
        </w:tabs>
        <w:spacing w:after="60"/>
        <w:ind w:left="1440" w:right="180"/>
      </w:pPr>
      <w:r w:rsidRPr="00BB5519">
        <w:rPr>
          <w:rFonts w:ascii="Tahoma" w:hAnsi="Tahoma" w:cs="Tahoma"/>
          <w:sz w:val="18"/>
        </w:rPr>
        <w:t xml:space="preserve">Open-Lizenz </w:t>
      </w:r>
    </w:p>
    <w:p w:rsidR="00456002" w:rsidRPr="00BB5519" w:rsidRDefault="00456002" w:rsidP="00017D8D">
      <w:pPr>
        <w:pStyle w:val="AppendixBulletIndent"/>
        <w:numPr>
          <w:ilvl w:val="0"/>
          <w:numId w:val="82"/>
        </w:numPr>
        <w:tabs>
          <w:tab w:val="left" w:pos="1440"/>
        </w:tabs>
        <w:spacing w:after="60"/>
        <w:ind w:left="1440" w:right="180"/>
      </w:pPr>
      <w:r w:rsidRPr="00BB5519">
        <w:rPr>
          <w:rFonts w:ascii="Tahoma" w:hAnsi="Tahoma" w:cs="Tahoma"/>
          <w:sz w:val="18"/>
        </w:rPr>
        <w:t xml:space="preserve">Open Value </w:t>
      </w:r>
    </w:p>
    <w:p w:rsidR="00456002" w:rsidRPr="00BB5519" w:rsidRDefault="00456002" w:rsidP="00017D8D">
      <w:pPr>
        <w:pStyle w:val="AppendixBulletIndent"/>
        <w:numPr>
          <w:ilvl w:val="0"/>
          <w:numId w:val="82"/>
        </w:numPr>
        <w:tabs>
          <w:tab w:val="left" w:pos="1440"/>
        </w:tabs>
        <w:spacing w:after="60"/>
        <w:ind w:left="1440" w:right="180"/>
      </w:pPr>
      <w:r w:rsidRPr="00BB5519">
        <w:rPr>
          <w:rFonts w:ascii="Tahoma" w:hAnsi="Tahoma" w:cs="Tahoma"/>
          <w:sz w:val="18"/>
        </w:rPr>
        <w:t xml:space="preserve">Select </w:t>
      </w:r>
    </w:p>
    <w:p w:rsidR="00456002" w:rsidRPr="00BB5519" w:rsidRDefault="00456002" w:rsidP="00017D8D">
      <w:pPr>
        <w:pStyle w:val="AppendixBulletIndent"/>
        <w:numPr>
          <w:ilvl w:val="0"/>
          <w:numId w:val="82"/>
        </w:numPr>
        <w:tabs>
          <w:tab w:val="left" w:pos="1440"/>
        </w:tabs>
        <w:spacing w:after="60"/>
        <w:ind w:left="1440" w:right="180"/>
      </w:pPr>
      <w:r w:rsidRPr="00BB5519">
        <w:rPr>
          <w:rFonts w:ascii="Tahoma" w:hAnsi="Tahoma" w:cs="Tahoma"/>
          <w:sz w:val="18"/>
        </w:rPr>
        <w:t>Select Plus</w:t>
      </w:r>
    </w:p>
    <w:p w:rsidR="00456002" w:rsidRPr="00BB5519" w:rsidRDefault="00456002" w:rsidP="00017D8D">
      <w:pPr>
        <w:pStyle w:val="AppendixBulletIndent"/>
        <w:numPr>
          <w:ilvl w:val="0"/>
          <w:numId w:val="82"/>
        </w:numPr>
        <w:tabs>
          <w:tab w:val="left" w:pos="1440"/>
        </w:tabs>
        <w:ind w:left="1440" w:right="180"/>
      </w:pPr>
      <w:r w:rsidRPr="00BB5519">
        <w:rPr>
          <w:rFonts w:ascii="Tahoma" w:hAnsi="Tahoma" w:cs="Tahoma"/>
          <w:sz w:val="18"/>
        </w:rPr>
        <w:t>Konzernvertrag</w:t>
      </w:r>
    </w:p>
    <w:p w:rsidR="00456002" w:rsidRPr="00BB5519" w:rsidRDefault="00456002" w:rsidP="00017D8D">
      <w:pPr>
        <w:pStyle w:val="AppendixIndent"/>
        <w:spacing w:before="0"/>
        <w:ind w:left="0" w:right="180"/>
      </w:pPr>
    </w:p>
    <w:p w:rsidR="00456002" w:rsidRPr="00BB5519" w:rsidRDefault="00456002" w:rsidP="00017D8D">
      <w:pPr>
        <w:pStyle w:val="AppendixIndent"/>
        <w:spacing w:before="0"/>
        <w:ind w:left="0" w:right="180"/>
        <w:rPr>
          <w:lang w:val="de-DE"/>
        </w:rPr>
      </w:pPr>
      <w:r w:rsidRPr="00BB5519">
        <w:rPr>
          <w:rFonts w:ascii="Tahoma" w:hAnsi="Tahoma" w:cs="Tahoma"/>
          <w:sz w:val="18"/>
          <w:lang w:val="de-DE"/>
        </w:rPr>
        <w:t>Es gibt drei verschiedene Abnahmestufen, die ein Kunde für Software Assurance auswählen kann.</w:t>
      </w:r>
      <w:r w:rsidR="009E4976" w:rsidRPr="00BB5519">
        <w:rPr>
          <w:rFonts w:ascii="Tahoma" w:hAnsi="Tahoma" w:cs="Tahoma"/>
          <w:sz w:val="18"/>
          <w:lang w:val="de-DE"/>
        </w:rPr>
        <w:t xml:space="preserve"> </w:t>
      </w:r>
      <w:r w:rsidRPr="00BB5519">
        <w:rPr>
          <w:rFonts w:ascii="Tahoma" w:hAnsi="Tahoma" w:cs="Tahoma"/>
          <w:sz w:val="18"/>
          <w:lang w:val="de-DE"/>
        </w:rPr>
        <w:t>Die verfügbaren Stufen hängen vom Programm ab.</w:t>
      </w:r>
      <w:r w:rsidR="009E4976" w:rsidRPr="00BB5519">
        <w:rPr>
          <w:rFonts w:ascii="Tahoma" w:hAnsi="Tahoma" w:cs="Tahoma"/>
          <w:sz w:val="18"/>
          <w:lang w:val="de-DE"/>
        </w:rPr>
        <w:t xml:space="preserve"> </w:t>
      </w:r>
      <w:r w:rsidRPr="00BB5519">
        <w:rPr>
          <w:rFonts w:ascii="Tahoma" w:hAnsi="Tahoma" w:cs="Tahoma"/>
          <w:sz w:val="18"/>
          <w:lang w:val="de-DE"/>
        </w:rPr>
        <w:t>Die Software Assurance-Abnahmestufe eines Kunden ist einer von vielen Faktoren, die die Vergünstigungsberechtigung eines Kunden bestimmen.</w:t>
      </w:r>
      <w:r w:rsidR="009E4976" w:rsidRPr="00BB5519">
        <w:rPr>
          <w:rFonts w:ascii="Tahoma" w:hAnsi="Tahoma" w:cs="Tahoma"/>
          <w:sz w:val="18"/>
          <w:lang w:val="de-DE"/>
        </w:rPr>
        <w:t xml:space="preserve"> </w:t>
      </w:r>
      <w:r w:rsidRPr="00BB5519">
        <w:rPr>
          <w:rFonts w:ascii="Tahoma" w:hAnsi="Tahoma" w:cs="Tahoma"/>
          <w:sz w:val="18"/>
          <w:lang w:val="de-DE"/>
        </w:rPr>
        <w:t>Ein Kunde kann</w:t>
      </w:r>
    </w:p>
    <w:p w:rsidR="004C08A3" w:rsidRPr="00BB5519" w:rsidRDefault="004C08A3" w:rsidP="00017D8D">
      <w:pPr>
        <w:pStyle w:val="AppendixIndent"/>
        <w:spacing w:before="0"/>
        <w:ind w:left="0" w:right="180"/>
        <w:rPr>
          <w:lang w:val="de-DE"/>
        </w:rPr>
      </w:pPr>
    </w:p>
    <w:p w:rsidR="00456002" w:rsidRPr="00BB5519" w:rsidRDefault="00456002" w:rsidP="00017D8D">
      <w:pPr>
        <w:pStyle w:val="AppendixIndent"/>
        <w:numPr>
          <w:ilvl w:val="0"/>
          <w:numId w:val="83"/>
        </w:numPr>
        <w:ind w:left="1440" w:right="180"/>
        <w:rPr>
          <w:lang w:val="de-DE"/>
        </w:rPr>
      </w:pPr>
      <w:r w:rsidRPr="00BB5519">
        <w:rPr>
          <w:rFonts w:ascii="Tahoma" w:hAnsi="Tahoma" w:cs="Tahoma"/>
          <w:sz w:val="18"/>
          <w:lang w:val="de-DE"/>
        </w:rPr>
        <w:t>sich verpflichten, Software Assurance für alle Plattformprodukte zu erwerben.</w:t>
      </w:r>
      <w:r w:rsidR="009E4976" w:rsidRPr="00BB5519">
        <w:rPr>
          <w:rFonts w:ascii="Tahoma" w:hAnsi="Tahoma" w:cs="Tahoma"/>
          <w:sz w:val="18"/>
          <w:lang w:val="de-DE"/>
        </w:rPr>
        <w:t xml:space="preserve"> </w:t>
      </w:r>
      <w:r w:rsidRPr="00BB5519">
        <w:rPr>
          <w:rFonts w:ascii="Tahoma" w:hAnsi="Tahoma" w:cs="Tahoma"/>
          <w:sz w:val="18"/>
          <w:lang w:val="de-DE"/>
        </w:rPr>
        <w:t>Diese Stufe ist in der Regel für Konzernvertrag und Open Value verfügbar.</w:t>
      </w:r>
    </w:p>
    <w:p w:rsidR="00456002" w:rsidRPr="00BB5519" w:rsidRDefault="00456002" w:rsidP="00381C87">
      <w:pPr>
        <w:pStyle w:val="AppendixIndent"/>
        <w:numPr>
          <w:ilvl w:val="0"/>
          <w:numId w:val="83"/>
        </w:numPr>
        <w:ind w:left="1440" w:right="180"/>
      </w:pPr>
      <w:r w:rsidRPr="00BB5519">
        <w:rPr>
          <w:rFonts w:ascii="Tahoma" w:hAnsi="Tahoma" w:cs="Tahoma"/>
          <w:sz w:val="18"/>
          <w:lang w:val="de-DE"/>
        </w:rPr>
        <w:t>sich verpflichten, Software Assurance für alle Erwerbe unter einem bestimmten Produktpool (Anwendungen, Systeme oder Server) zu erwerben.</w:t>
      </w:r>
      <w:r w:rsidR="009E4976" w:rsidRPr="00BB5519">
        <w:rPr>
          <w:rFonts w:ascii="Tahoma" w:hAnsi="Tahoma" w:cs="Tahoma"/>
          <w:sz w:val="18"/>
          <w:lang w:val="de-DE"/>
        </w:rPr>
        <w:t xml:space="preserve"> </w:t>
      </w:r>
      <w:r w:rsidRPr="00BB5519">
        <w:rPr>
          <w:rFonts w:ascii="Tahoma" w:hAnsi="Tahoma" w:cs="Tahoma"/>
          <w:sz w:val="18"/>
          <w:lang w:val="de-DE"/>
        </w:rPr>
        <w:t xml:space="preserve">Dies wird als Mitgliedschaft bei Software Assurance (Software Assurance Membership, SAM) bezeichnet. Eine unternehmensweite Abnahmeverpflichtung für Software Assurance ist hierfür nicht erforderlich. </w:t>
      </w:r>
      <w:r w:rsidRPr="00BB5519">
        <w:rPr>
          <w:rFonts w:ascii="Tahoma" w:hAnsi="Tahoma" w:cs="Tahoma"/>
          <w:sz w:val="18"/>
        </w:rPr>
        <w:t>Diese Stufe ist in der</w:t>
      </w:r>
      <w:r w:rsidR="00381C87">
        <w:rPr>
          <w:rFonts w:ascii="Tahoma" w:hAnsi="Tahoma" w:cs="Tahoma"/>
          <w:sz w:val="18"/>
        </w:rPr>
        <w:t> </w:t>
      </w:r>
      <w:r w:rsidRPr="00BB5519">
        <w:rPr>
          <w:rFonts w:ascii="Tahoma" w:hAnsi="Tahoma" w:cs="Tahoma"/>
          <w:sz w:val="18"/>
        </w:rPr>
        <w:t>Regel für Select verfügbar.</w:t>
      </w:r>
    </w:p>
    <w:p w:rsidR="00456002" w:rsidRPr="00BB5519" w:rsidRDefault="00456002" w:rsidP="002C1048">
      <w:pPr>
        <w:pStyle w:val="AppendixIndent"/>
        <w:numPr>
          <w:ilvl w:val="0"/>
          <w:numId w:val="83"/>
        </w:numPr>
        <w:ind w:left="1440" w:right="720"/>
        <w:rPr>
          <w:lang w:val="de-DE"/>
        </w:rPr>
      </w:pPr>
      <w:r w:rsidRPr="00BB5519">
        <w:rPr>
          <w:rFonts w:ascii="Tahoma" w:hAnsi="Tahoma" w:cs="Tahoma"/>
          <w:sz w:val="18"/>
          <w:lang w:val="de-DE"/>
        </w:rPr>
        <w:t>Software Assurance für einzelne Produkte erwerben, ohne sich zur Ausweitung von Software Assurance auf andere Produkte zu verpflichten.</w:t>
      </w:r>
    </w:p>
    <w:p w:rsidR="0053106B" w:rsidRPr="00BB5519" w:rsidRDefault="0053106B" w:rsidP="00EF6A68">
      <w:pPr>
        <w:pStyle w:val="AppendixBodyText"/>
        <w:spacing w:after="0"/>
        <w:ind w:right="720"/>
        <w:rPr>
          <w:lang w:val="de-DE"/>
        </w:rPr>
      </w:pPr>
    </w:p>
    <w:p w:rsidR="00456002" w:rsidRPr="00BB5519" w:rsidRDefault="00456002" w:rsidP="00017D8D">
      <w:pPr>
        <w:pStyle w:val="AppendixBodyText"/>
        <w:spacing w:after="0"/>
        <w:ind w:right="180"/>
        <w:rPr>
          <w:lang w:val="de-DE"/>
        </w:rPr>
      </w:pPr>
      <w:r w:rsidRPr="00BB5519">
        <w:rPr>
          <w:rFonts w:ascii="Tahoma" w:hAnsi="Tahoma" w:cs="Tahoma"/>
          <w:sz w:val="18"/>
          <w:lang w:val="de-DE"/>
        </w:rPr>
        <w:t>Software Assurance muss zeitgleich mit der Lizenz oder bei Verlängerung einer bestehenden Software Assurance-Laufzeit erworben werden.</w:t>
      </w:r>
      <w:r w:rsidR="009E4976" w:rsidRPr="00BB5519">
        <w:rPr>
          <w:rFonts w:ascii="Tahoma" w:hAnsi="Tahoma" w:cs="Tahoma"/>
          <w:sz w:val="18"/>
          <w:lang w:val="de-DE"/>
        </w:rPr>
        <w:t xml:space="preserve"> </w:t>
      </w:r>
      <w:r w:rsidRPr="00BB5519">
        <w:rPr>
          <w:rFonts w:ascii="Tahoma" w:hAnsi="Tahoma" w:cs="Tahoma"/>
          <w:sz w:val="18"/>
          <w:lang w:val="de-DE"/>
        </w:rPr>
        <w:t>Andernfalls muss der Kunde eine neue Lizenz oder Lizenz und Software Assurance erwerben, um die Lizenz zu einem späteren Datum upzugraden (für Windows Desktop-Betriebssystem sind die Optionen Upgrade und Software Assurance verfügbar).</w:t>
      </w:r>
      <w:r w:rsidR="009E4976" w:rsidRPr="00BB5519">
        <w:rPr>
          <w:rFonts w:ascii="Tahoma" w:hAnsi="Tahoma" w:cs="Tahoma"/>
          <w:sz w:val="18"/>
          <w:lang w:val="de-DE"/>
        </w:rPr>
        <w:t xml:space="preserve"> </w:t>
      </w:r>
      <w:r w:rsidRPr="00BB5519">
        <w:rPr>
          <w:rFonts w:ascii="Tahoma" w:hAnsi="Tahoma" w:cs="Tahoma"/>
          <w:sz w:val="18"/>
          <w:lang w:val="de-DE"/>
        </w:rPr>
        <w:t>Die Berechtigungsvorschriften für den Erwerb von Software Assurance finden Sie im Abschnitt zu den Verlängerungsvorschriften und im jeweiligen Programmvertrag.</w:t>
      </w:r>
    </w:p>
    <w:p w:rsidR="00381C87" w:rsidRPr="00D15040" w:rsidRDefault="00381C87" w:rsidP="00381C87">
      <w:pPr>
        <w:pStyle w:val="AppendixBodyText"/>
        <w:spacing w:after="0"/>
        <w:ind w:right="720"/>
        <w:rPr>
          <w:rFonts w:ascii="Tahoma" w:hAnsi="Tahoma" w:cs="Tahoma"/>
          <w:sz w:val="18"/>
          <w:lang w:val="de-DE" w:eastAsia="ja-JP"/>
        </w:rPr>
      </w:pPr>
    </w:p>
    <w:p w:rsidR="00456002" w:rsidRPr="00BB5519" w:rsidRDefault="00456002" w:rsidP="00017D8D">
      <w:pPr>
        <w:pStyle w:val="AppendixBodyText"/>
        <w:spacing w:after="0"/>
        <w:ind w:right="180"/>
        <w:rPr>
          <w:lang w:val="de-DE"/>
        </w:rPr>
      </w:pPr>
      <w:r w:rsidRPr="00BB5519">
        <w:rPr>
          <w:rFonts w:ascii="Tahoma" w:hAnsi="Tahoma" w:cs="Tahoma"/>
          <w:sz w:val="18"/>
          <w:lang w:val="de-DE"/>
        </w:rPr>
        <w:t xml:space="preserve">Bei einer Übertragung von zeitlich unbeschränkten Lizenzen ist der Übertragungsempfänger berechtigt, innerhalb von 30 Tagen ab dem Übertragungsdatum Software Assurance für diese übertragenen Lizenzen zu erwerben, sofern die übertragenen Lizenzen zum Zeitpunkt der Übertragung über aktive Software Assurance verfügten. </w:t>
      </w:r>
    </w:p>
    <w:p w:rsidR="00381C87" w:rsidRPr="00D15040" w:rsidRDefault="00381C87" w:rsidP="00381C87">
      <w:pPr>
        <w:pStyle w:val="AppendixBodyText"/>
        <w:spacing w:after="0"/>
        <w:ind w:right="720"/>
        <w:rPr>
          <w:rFonts w:ascii="Tahoma" w:hAnsi="Tahoma" w:cs="Tahoma"/>
          <w:sz w:val="18"/>
          <w:lang w:val="de-DE" w:eastAsia="ja-JP"/>
        </w:rPr>
      </w:pPr>
    </w:p>
    <w:p w:rsidR="00456002" w:rsidRPr="00BB5519" w:rsidRDefault="00456002" w:rsidP="00381C87">
      <w:pPr>
        <w:pStyle w:val="AppendixBodyText"/>
        <w:spacing w:after="0"/>
        <w:ind w:right="90"/>
        <w:rPr>
          <w:lang w:val="de-DE"/>
        </w:rPr>
      </w:pPr>
      <w:r w:rsidRPr="00BB5519">
        <w:rPr>
          <w:rFonts w:ascii="Tahoma" w:hAnsi="Tahoma" w:cs="Tahoma"/>
          <w:sz w:val="18"/>
          <w:lang w:val="de-DE"/>
        </w:rPr>
        <w:t>Kunden haben möglicherweise die Option, Software Assurance für bestimmte Lizenzen zu erwerben, die über den Einzelhandel (Full Packaged Product) oder von einem Original Equipment Manufacturer (OEM) erworben wurden. Die Berechtigung hängt vom Programm, vom Produktpool und der Lizenzherkunft ab (siehe unten).</w:t>
      </w:r>
      <w:r w:rsidR="009E4976" w:rsidRPr="00BB5519">
        <w:rPr>
          <w:rFonts w:ascii="Tahoma" w:hAnsi="Tahoma" w:cs="Tahoma"/>
          <w:sz w:val="18"/>
          <w:lang w:val="de-DE"/>
        </w:rPr>
        <w:t xml:space="preserve"> </w:t>
      </w:r>
      <w:r w:rsidRPr="00BB5519">
        <w:rPr>
          <w:rFonts w:ascii="Tahoma" w:hAnsi="Tahoma" w:cs="Tahoma"/>
          <w:sz w:val="18"/>
          <w:lang w:val="de-DE"/>
        </w:rPr>
        <w:t>Sofern nichts</w:t>
      </w:r>
      <w:r w:rsidR="00381C87">
        <w:rPr>
          <w:rFonts w:ascii="Tahoma" w:hAnsi="Tahoma" w:cs="Tahoma"/>
          <w:sz w:val="18"/>
          <w:lang w:val="de-DE"/>
        </w:rPr>
        <w:t> </w:t>
      </w:r>
      <w:r w:rsidRPr="00BB5519">
        <w:rPr>
          <w:rFonts w:ascii="Tahoma" w:hAnsi="Tahoma" w:cs="Tahoma"/>
          <w:sz w:val="18"/>
          <w:lang w:val="de-DE"/>
        </w:rPr>
        <w:t>anderes angegeben ist, sind in jedem Fall nur Lizenzen für die neueste Version eines Produktes berechtigt,</w:t>
      </w:r>
      <w:r w:rsidR="00381C87">
        <w:rPr>
          <w:rFonts w:ascii="Tahoma" w:hAnsi="Tahoma" w:cs="Tahoma"/>
          <w:sz w:val="18"/>
          <w:lang w:val="de-DE"/>
        </w:rPr>
        <w:t> </w:t>
      </w:r>
      <w:r w:rsidRPr="00BB5519">
        <w:rPr>
          <w:rFonts w:ascii="Tahoma" w:hAnsi="Tahoma" w:cs="Tahoma"/>
          <w:sz w:val="18"/>
          <w:lang w:val="de-DE"/>
        </w:rPr>
        <w:t>und Software Assurance muss innerhalb von 90 Tagen ab dem Datum, an dem die Lizenzen erworben</w:t>
      </w:r>
      <w:r w:rsidR="00381C87">
        <w:rPr>
          <w:rFonts w:ascii="Tahoma" w:hAnsi="Tahoma" w:cs="Tahoma"/>
          <w:sz w:val="18"/>
          <w:lang w:val="de-DE"/>
        </w:rPr>
        <w:t> </w:t>
      </w:r>
      <w:r w:rsidRPr="00BB5519">
        <w:rPr>
          <w:rFonts w:ascii="Tahoma" w:hAnsi="Tahoma" w:cs="Tahoma"/>
          <w:sz w:val="18"/>
          <w:lang w:val="de-DE"/>
        </w:rPr>
        <w:t>wurden, erworben</w:t>
      </w:r>
      <w:r w:rsidR="00381C87">
        <w:rPr>
          <w:rFonts w:ascii="Tahoma" w:hAnsi="Tahoma" w:cs="Tahoma"/>
          <w:sz w:val="18"/>
          <w:lang w:val="de-DE"/>
        </w:rPr>
        <w:t> </w:t>
      </w:r>
      <w:r w:rsidRPr="00BB5519">
        <w:rPr>
          <w:rFonts w:ascii="Tahoma" w:hAnsi="Tahoma" w:cs="Tahoma"/>
          <w:sz w:val="18"/>
          <w:lang w:val="de-DE"/>
        </w:rPr>
        <w:t>werden.</w:t>
      </w:r>
      <w:r w:rsidR="009E4976" w:rsidRPr="00BB5519">
        <w:rPr>
          <w:rFonts w:ascii="Tahoma" w:hAnsi="Tahoma" w:cs="Tahoma"/>
          <w:sz w:val="18"/>
          <w:lang w:val="de-DE"/>
        </w:rPr>
        <w:t xml:space="preserve"> </w:t>
      </w:r>
      <w:r w:rsidRPr="00BB5519">
        <w:rPr>
          <w:rFonts w:ascii="Tahoma" w:hAnsi="Tahoma" w:cs="Tahoma"/>
          <w:sz w:val="18"/>
          <w:lang w:val="de-DE"/>
        </w:rPr>
        <w:t>Unter dem Open Value-Programm gilt diese Option nur für nicht organisationsweite/unternehmensweite Produkte.</w:t>
      </w:r>
      <w:r w:rsidR="009E4976" w:rsidRPr="00BB5519">
        <w:rPr>
          <w:rFonts w:ascii="Tahoma" w:hAnsi="Tahoma" w:cs="Tahoma"/>
          <w:sz w:val="18"/>
          <w:lang w:val="de-DE"/>
        </w:rPr>
        <w:t xml:space="preserve"> </w:t>
      </w:r>
      <w:r w:rsidRPr="00BB5519">
        <w:rPr>
          <w:rFonts w:ascii="Tahoma" w:hAnsi="Tahoma" w:cs="Tahoma"/>
          <w:sz w:val="18"/>
          <w:lang w:val="de-DE"/>
        </w:rPr>
        <w:t>Unter Konzernverträgen gilt sie nur für Zusätzliche Produkte innerhalb von 90 Tagen.</w:t>
      </w:r>
      <w:r w:rsidR="009E4976" w:rsidRPr="00BB5519">
        <w:rPr>
          <w:rFonts w:ascii="Tahoma" w:hAnsi="Tahoma" w:cs="Tahoma"/>
          <w:sz w:val="18"/>
          <w:lang w:val="de-DE"/>
        </w:rPr>
        <w:t xml:space="preserve"> </w:t>
      </w:r>
      <w:r w:rsidRPr="00BB5519">
        <w:rPr>
          <w:rFonts w:ascii="Tahoma" w:hAnsi="Tahoma" w:cs="Tahoma"/>
          <w:sz w:val="18"/>
          <w:lang w:val="de-DE"/>
        </w:rPr>
        <w:t>Kunden, die Software Assurance für OEM- oder Einzelhandelslizenzen erwerben, haben die</w:t>
      </w:r>
      <w:r w:rsidR="00381C87">
        <w:rPr>
          <w:rFonts w:ascii="Tahoma" w:hAnsi="Tahoma" w:cs="Tahoma"/>
          <w:sz w:val="18"/>
          <w:lang w:val="de-DE"/>
        </w:rPr>
        <w:t> </w:t>
      </w:r>
      <w:r w:rsidRPr="00BB5519">
        <w:rPr>
          <w:rFonts w:ascii="Tahoma" w:hAnsi="Tahoma" w:cs="Tahoma"/>
          <w:sz w:val="18"/>
          <w:lang w:val="de-DE"/>
        </w:rPr>
        <w:t>Möglichkeit, die Volumenlizenzsoftware für die aktuelle Version jederzeit zu installieren und zu verwenden.</w:t>
      </w:r>
      <w:r w:rsidR="009E4976" w:rsidRPr="00BB5519">
        <w:rPr>
          <w:rFonts w:ascii="Tahoma" w:hAnsi="Tahoma" w:cs="Tahoma"/>
          <w:sz w:val="18"/>
          <w:lang w:val="de-DE"/>
        </w:rPr>
        <w:t xml:space="preserve"> </w:t>
      </w:r>
      <w:r w:rsidRPr="00BB5519">
        <w:rPr>
          <w:rFonts w:ascii="Tahoma" w:hAnsi="Tahoma" w:cs="Tahoma"/>
          <w:sz w:val="18"/>
          <w:lang w:val="de-DE"/>
        </w:rPr>
        <w:t>In diesem Fall unterliegt ihre Nutzung der Software den Produktbenutzungsrechten für dieses Produkt und den Bestimmungen des Volumenlizenzvertrages des Kunden.</w:t>
      </w:r>
    </w:p>
    <w:p w:rsidR="00456002" w:rsidRPr="00BB5519" w:rsidRDefault="00456002" w:rsidP="00381C87">
      <w:pPr>
        <w:pStyle w:val="AppendixIndent"/>
        <w:keepNext/>
        <w:keepLines/>
        <w:spacing w:before="0"/>
        <w:ind w:left="0" w:right="720"/>
        <w:rPr>
          <w:lang w:val="de-DE"/>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2160"/>
        <w:gridCol w:w="3240"/>
      </w:tblGrid>
      <w:tr w:rsidR="00456002" w:rsidRPr="00BB5519" w:rsidTr="00381C87">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BB5519" w:rsidRDefault="00456002" w:rsidP="00381C87">
            <w:pPr>
              <w:pStyle w:val="AppendixTableHeadings"/>
              <w:keepNext/>
              <w:keepLines/>
              <w:rPr>
                <w:rFonts w:ascii="Tahoma" w:hAnsi="Tahoma" w:cs="Tahoma"/>
                <w:sz w:val="20"/>
                <w:szCs w:val="20"/>
                <w:lang w:val="de-DE"/>
              </w:rPr>
            </w:pPr>
          </w:p>
        </w:tc>
        <w:tc>
          <w:tcPr>
            <w:tcW w:w="198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BB5519" w:rsidRDefault="00456002" w:rsidP="00381C87">
            <w:pPr>
              <w:pStyle w:val="AppendixTableHeadings"/>
              <w:keepNext/>
              <w:keepLines/>
              <w:rPr>
                <w:rFonts w:ascii="Tahoma" w:hAnsi="Tahoma" w:cs="Tahoma"/>
                <w:sz w:val="20"/>
              </w:rPr>
            </w:pPr>
            <w:r w:rsidRPr="00BB5519">
              <w:rPr>
                <w:rFonts w:ascii="Tahoma" w:hAnsi="Tahoma" w:cs="Tahoma"/>
                <w:sz w:val="20"/>
              </w:rPr>
              <w:t>Full Packaged Products</w:t>
            </w:r>
          </w:p>
        </w:tc>
        <w:tc>
          <w:tcPr>
            <w:tcW w:w="216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BB5519" w:rsidRDefault="00456002" w:rsidP="00381C87">
            <w:pPr>
              <w:pStyle w:val="AppendixTableHeadings"/>
              <w:keepNext/>
              <w:keepLines/>
              <w:rPr>
                <w:rFonts w:ascii="Tahoma" w:hAnsi="Tahoma" w:cs="Tahoma"/>
                <w:sz w:val="20"/>
              </w:rPr>
            </w:pPr>
            <w:r w:rsidRPr="00BB5519">
              <w:rPr>
                <w:rFonts w:ascii="Tahoma" w:hAnsi="Tahoma" w:cs="Tahoma"/>
                <w:sz w:val="20"/>
              </w:rPr>
              <w:t>OEM</w:t>
            </w:r>
          </w:p>
        </w:tc>
        <w:tc>
          <w:tcPr>
            <w:tcW w:w="3240"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BB5519" w:rsidRDefault="00456002" w:rsidP="00381C87">
            <w:pPr>
              <w:pStyle w:val="AppendixTableHeadings"/>
              <w:keepNext/>
              <w:keepLines/>
              <w:rPr>
                <w:rFonts w:ascii="Tahoma" w:hAnsi="Tahoma" w:cs="Tahoma"/>
                <w:sz w:val="20"/>
              </w:rPr>
            </w:pPr>
            <w:r w:rsidRPr="00BB5519">
              <w:rPr>
                <w:rFonts w:ascii="Tahoma" w:hAnsi="Tahoma" w:cs="Tahoma"/>
                <w:sz w:val="20"/>
              </w:rPr>
              <w:t>Programme</w:t>
            </w:r>
          </w:p>
        </w:tc>
      </w:tr>
      <w:tr w:rsidR="00456002" w:rsidRPr="00BB5519" w:rsidTr="00381C87">
        <w:trPr>
          <w:trHeight w:val="548"/>
        </w:trPr>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381C87">
            <w:pPr>
              <w:pStyle w:val="AppendixTableText"/>
              <w:keepNext/>
              <w:keepLines/>
              <w:rPr>
                <w:rFonts w:ascii="Tahoma" w:hAnsi="Tahoma" w:cs="Tahoma"/>
                <w:b/>
                <w:color w:val="000000"/>
                <w:sz w:val="20"/>
                <w:szCs w:val="20"/>
              </w:rPr>
            </w:pPr>
            <w:r w:rsidRPr="00BB5519">
              <w:rPr>
                <w:rFonts w:ascii="Tahoma" w:hAnsi="Tahoma" w:cs="Tahoma"/>
                <w:b/>
                <w:color w:val="000000"/>
                <w:sz w:val="20"/>
                <w:szCs w:val="20"/>
              </w:rPr>
              <w:t xml:space="preserve">Anwendungs-Pool </w:t>
            </w:r>
          </w:p>
        </w:tc>
        <w:tc>
          <w:tcPr>
            <w:tcW w:w="198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381C87">
            <w:pPr>
              <w:pStyle w:val="AppendixTableText"/>
              <w:keepNext/>
              <w:keepLines/>
              <w:rPr>
                <w:rFonts w:ascii="Tahoma" w:hAnsi="Tahoma" w:cs="Tahoma"/>
                <w:color w:val="000000"/>
              </w:rPr>
            </w:pPr>
            <w:r w:rsidRPr="00BB5519">
              <w:rPr>
                <w:rFonts w:ascii="Tahoma" w:hAnsi="Tahoma" w:cs="Tahoma"/>
                <w:color w:val="00000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381C87">
            <w:pPr>
              <w:pStyle w:val="AppendixTableText"/>
              <w:keepNext/>
              <w:keepLines/>
              <w:rPr>
                <w:rFonts w:ascii="Tahoma" w:hAnsi="Tahoma" w:cs="Tahoma"/>
                <w:color w:val="000000"/>
                <w:lang w:val="de-DE"/>
              </w:rPr>
            </w:pPr>
            <w:r w:rsidRPr="00BB5519">
              <w:rPr>
                <w:rFonts w:ascii="Tahoma" w:hAnsi="Tahoma" w:cs="Tahoma"/>
                <w:color w:val="000000"/>
                <w:lang w:val="de-DE"/>
              </w:rPr>
              <w:t>SA nur wie nachstehend aufgeführt verfügbar</w:t>
            </w:r>
          </w:p>
        </w:tc>
        <w:tc>
          <w:tcPr>
            <w:tcW w:w="3240" w:type="dxa"/>
            <w:vMerge w:val="restart"/>
            <w:tcBorders>
              <w:top w:val="single" w:sz="4" w:space="0" w:color="auto"/>
              <w:left w:val="single" w:sz="4" w:space="0" w:color="auto"/>
              <w:bottom w:val="single" w:sz="4" w:space="0" w:color="auto"/>
              <w:right w:val="single" w:sz="4" w:space="0" w:color="auto"/>
            </w:tcBorders>
            <w:hideMark/>
          </w:tcPr>
          <w:p w:rsidR="00456002" w:rsidRPr="00BB5519" w:rsidRDefault="00456002" w:rsidP="00381C87">
            <w:pPr>
              <w:pStyle w:val="AppendixTableText"/>
              <w:keepNext/>
              <w:keepLines/>
              <w:jc w:val="left"/>
              <w:rPr>
                <w:rFonts w:ascii="Tahoma" w:hAnsi="Tahoma" w:cs="Tahoma"/>
                <w:color w:val="000000"/>
              </w:rPr>
            </w:pPr>
            <w:r w:rsidRPr="00BB5519">
              <w:rPr>
                <w:rFonts w:ascii="Tahoma" w:hAnsi="Tahoma" w:cs="Tahoma"/>
                <w:color w:val="000000"/>
                <w:lang w:val="de-DE"/>
              </w:rPr>
              <w:t xml:space="preserve">Gilt für Open-Lizenz, Select, Select Plus und die nicht </w:t>
            </w:r>
            <w:r w:rsidRPr="00BB5519">
              <w:rPr>
                <w:rFonts w:ascii="Tahoma" w:hAnsi="Tahoma" w:cs="Tahoma"/>
                <w:lang w:val="de-DE"/>
              </w:rPr>
              <w:t>Organisationsweite/Unternehmensweite</w:t>
            </w:r>
            <w:r w:rsidRPr="00BB5519">
              <w:rPr>
                <w:rFonts w:ascii="Tahoma" w:hAnsi="Tahoma" w:cs="Tahoma"/>
                <w:color w:val="000000"/>
                <w:lang w:val="de-DE"/>
              </w:rPr>
              <w:t xml:space="preserve"> Option unter Open Value-Verträgen sowie Zusätzliche Produkte unter Konzernverträgen. </w:t>
            </w:r>
            <w:r w:rsidRPr="00BB5519">
              <w:rPr>
                <w:rFonts w:ascii="Tahoma" w:hAnsi="Tahoma" w:cs="Tahoma"/>
                <w:color w:val="000000"/>
              </w:rPr>
              <w:t>Gilt nicht für Konzernprodukte unter Open Value- und Konzernverträgen</w:t>
            </w:r>
          </w:p>
        </w:tc>
      </w:tr>
      <w:tr w:rsidR="00456002" w:rsidRPr="00BB5519" w:rsidTr="00381C87">
        <w:trPr>
          <w:trHeight w:val="341"/>
        </w:trPr>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5C647E">
            <w:pPr>
              <w:pStyle w:val="AppendixTableText"/>
              <w:rPr>
                <w:rFonts w:ascii="Tahoma" w:hAnsi="Tahoma" w:cs="Tahoma"/>
                <w:b/>
                <w:color w:val="000000"/>
                <w:sz w:val="20"/>
                <w:szCs w:val="20"/>
              </w:rPr>
            </w:pPr>
            <w:r w:rsidRPr="00BB5519">
              <w:rPr>
                <w:rFonts w:ascii="Tahoma" w:hAnsi="Tahoma" w:cs="Tahoma"/>
                <w:b/>
                <w:color w:val="000000"/>
                <w:sz w:val="20"/>
                <w:szCs w:val="20"/>
              </w:rPr>
              <w:t xml:space="preserve">System-Pool </w:t>
            </w:r>
          </w:p>
        </w:tc>
        <w:tc>
          <w:tcPr>
            <w:tcW w:w="198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5C647E">
            <w:pPr>
              <w:pStyle w:val="AppendixTableText"/>
              <w:rPr>
                <w:rFonts w:ascii="Tahoma" w:hAnsi="Tahoma" w:cs="Tahoma"/>
                <w:color w:val="000000"/>
              </w:rPr>
            </w:pPr>
            <w:r w:rsidRPr="00BB5519">
              <w:rPr>
                <w:rFonts w:ascii="Tahoma" w:hAnsi="Tahoma" w:cs="Tahoma"/>
                <w:color w:val="000000"/>
              </w:rPr>
              <w:t xml:space="preserve">SA verfügbar </w:t>
            </w:r>
          </w:p>
        </w:tc>
        <w:tc>
          <w:tcPr>
            <w:tcW w:w="216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5C647E">
            <w:pPr>
              <w:pStyle w:val="AppendixTableText"/>
              <w:rPr>
                <w:rFonts w:ascii="Tahoma" w:hAnsi="Tahoma" w:cs="Tahoma"/>
                <w:color w:val="000000"/>
              </w:rPr>
            </w:pPr>
            <w:r w:rsidRPr="00BB5519">
              <w:rPr>
                <w:rFonts w:ascii="Tahoma" w:hAnsi="Tahoma" w:cs="Tahoma"/>
                <w:color w:val="000000"/>
              </w:rPr>
              <w:t xml:space="preserve">SA verfügbar </w:t>
            </w:r>
          </w:p>
        </w:tc>
        <w:tc>
          <w:tcPr>
            <w:tcW w:w="3240" w:type="dxa"/>
            <w:vMerge/>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5C647E">
            <w:pPr>
              <w:rPr>
                <w:rFonts w:cs="Tahoma"/>
                <w:color w:val="000000"/>
                <w:szCs w:val="18"/>
              </w:rPr>
            </w:pPr>
          </w:p>
        </w:tc>
      </w:tr>
      <w:tr w:rsidR="00456002" w:rsidRPr="00BB5519" w:rsidTr="00381C87">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5C647E">
            <w:pPr>
              <w:pStyle w:val="AppendixTableText"/>
              <w:rPr>
                <w:rFonts w:ascii="Tahoma" w:hAnsi="Tahoma" w:cs="Tahoma"/>
                <w:b/>
                <w:color w:val="000000"/>
                <w:sz w:val="20"/>
                <w:szCs w:val="20"/>
              </w:rPr>
            </w:pPr>
            <w:r w:rsidRPr="00BB5519">
              <w:rPr>
                <w:rFonts w:ascii="Tahoma" w:hAnsi="Tahoma" w:cs="Tahoma"/>
                <w:b/>
                <w:color w:val="000000"/>
                <w:sz w:val="20"/>
                <w:szCs w:val="20"/>
              </w:rPr>
              <w:t>Server-Pool</w:t>
            </w:r>
          </w:p>
        </w:tc>
        <w:tc>
          <w:tcPr>
            <w:tcW w:w="198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5C647E">
            <w:pPr>
              <w:pStyle w:val="AppendixTableText"/>
              <w:rPr>
                <w:rFonts w:ascii="Tahoma" w:hAnsi="Tahoma" w:cs="Tahoma"/>
                <w:color w:val="000000"/>
              </w:rPr>
            </w:pPr>
            <w:r w:rsidRPr="00BB5519">
              <w:rPr>
                <w:rFonts w:ascii="Tahoma" w:hAnsi="Tahoma" w:cs="Tahoma"/>
                <w:color w:val="000000"/>
              </w:rPr>
              <w:t xml:space="preserve">SA verfügbar </w:t>
            </w:r>
          </w:p>
        </w:tc>
        <w:tc>
          <w:tcPr>
            <w:tcW w:w="2160" w:type="dxa"/>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5C647E">
            <w:pPr>
              <w:pStyle w:val="AppendixTableText"/>
              <w:rPr>
                <w:rFonts w:ascii="Tahoma" w:hAnsi="Tahoma" w:cs="Tahoma"/>
                <w:color w:val="000000"/>
              </w:rPr>
            </w:pPr>
            <w:r w:rsidRPr="00BB5519">
              <w:rPr>
                <w:rFonts w:ascii="Tahoma" w:hAnsi="Tahoma" w:cs="Tahoma"/>
                <w:color w:val="000000"/>
              </w:rPr>
              <w:t>SA verfügbar</w:t>
            </w:r>
          </w:p>
        </w:tc>
        <w:tc>
          <w:tcPr>
            <w:tcW w:w="3240" w:type="dxa"/>
            <w:vMerge/>
            <w:tcBorders>
              <w:top w:val="single" w:sz="4" w:space="0" w:color="auto"/>
              <w:left w:val="single" w:sz="4" w:space="0" w:color="auto"/>
              <w:bottom w:val="single" w:sz="4" w:space="0" w:color="auto"/>
              <w:right w:val="single" w:sz="4" w:space="0" w:color="auto"/>
            </w:tcBorders>
            <w:vAlign w:val="center"/>
            <w:hideMark/>
          </w:tcPr>
          <w:p w:rsidR="00456002" w:rsidRPr="00BB5519" w:rsidRDefault="00456002" w:rsidP="005C647E">
            <w:pPr>
              <w:rPr>
                <w:rFonts w:cs="Tahoma"/>
                <w:color w:val="000000"/>
                <w:szCs w:val="18"/>
              </w:rPr>
            </w:pPr>
          </w:p>
        </w:tc>
      </w:tr>
    </w:tbl>
    <w:p w:rsidR="00381C87" w:rsidRDefault="00381C87" w:rsidP="00381C87">
      <w:pPr>
        <w:ind w:right="720"/>
        <w:rPr>
          <w:rFonts w:cs="Tahoma"/>
          <w:szCs w:val="18"/>
        </w:rPr>
      </w:pPr>
    </w:p>
    <w:p w:rsidR="00456002" w:rsidRPr="00BB5519" w:rsidRDefault="00456002" w:rsidP="00381C87">
      <w:pPr>
        <w:pStyle w:val="AppendixBodyText"/>
        <w:spacing w:after="0"/>
        <w:ind w:right="90"/>
        <w:rPr>
          <w:lang w:val="de-DE"/>
        </w:rPr>
      </w:pPr>
      <w:r w:rsidRPr="00BB5519">
        <w:rPr>
          <w:rFonts w:ascii="Tahoma" w:hAnsi="Tahoma" w:cs="Tahoma"/>
          <w:sz w:val="18"/>
          <w:szCs w:val="18"/>
          <w:lang w:val="de-DE"/>
        </w:rPr>
        <w:t>Kunden, die Microsoft Office Professional 2010 von einem OEM erwerben, können Software Assurance für Microsoft</w:t>
      </w:r>
      <w:r w:rsidR="00017D8D">
        <w:rPr>
          <w:rFonts w:ascii="Tahoma" w:hAnsi="Tahoma" w:cs="Tahoma"/>
          <w:sz w:val="18"/>
          <w:szCs w:val="18"/>
          <w:lang w:val="de-DE"/>
        </w:rPr>
        <w:t> </w:t>
      </w:r>
      <w:r w:rsidRPr="00BB5519">
        <w:rPr>
          <w:rFonts w:ascii="Tahoma" w:hAnsi="Tahoma" w:cs="Tahoma"/>
          <w:sz w:val="18"/>
          <w:szCs w:val="18"/>
          <w:lang w:val="de-DE"/>
        </w:rPr>
        <w:t>Office Standard 2010 in den Open-Lizenzprogrammen, Select- und Select Plus-Programmen und der nicht</w:t>
      </w:r>
      <w:r w:rsidR="00017D8D">
        <w:rPr>
          <w:rFonts w:ascii="Tahoma" w:hAnsi="Tahoma" w:cs="Tahoma"/>
          <w:sz w:val="18"/>
          <w:szCs w:val="18"/>
          <w:lang w:val="de-DE"/>
        </w:rPr>
        <w:t> </w:t>
      </w:r>
      <w:r w:rsidRPr="00BB5519">
        <w:rPr>
          <w:rFonts w:ascii="Tahoma" w:hAnsi="Tahoma" w:cs="Tahoma"/>
          <w:sz w:val="18"/>
          <w:szCs w:val="18"/>
          <w:lang w:val="de-DE"/>
        </w:rPr>
        <w:t>unternehmensweiten Option unter Open Value innerhalb von 90 Tagen ab dem Datum des OEM-Kaufs erwerben. Office Product Key Cards (PKC) gelten als Full Packaged Product-Angebot (Einzelhandel) und sind nicht für die Option zum Erwerb von Software Assurance berechtigt.</w:t>
      </w:r>
    </w:p>
    <w:p w:rsidR="00381C87" w:rsidRPr="00D15040" w:rsidRDefault="00381C87" w:rsidP="00381C87">
      <w:pPr>
        <w:pStyle w:val="AppendixBodyText"/>
        <w:spacing w:after="0"/>
        <w:ind w:right="720"/>
        <w:rPr>
          <w:rFonts w:ascii="Tahoma" w:hAnsi="Tahoma" w:cs="Tahoma"/>
          <w:sz w:val="18"/>
          <w:lang w:val="de-DE" w:eastAsia="ja-JP"/>
        </w:rPr>
      </w:pPr>
      <w:bookmarkStart w:id="707" w:name="_Toc323819651"/>
      <w:bookmarkStart w:id="708" w:name="_Toc336338202"/>
    </w:p>
    <w:p w:rsidR="00456002" w:rsidRPr="00EC2A0D" w:rsidRDefault="00456002" w:rsidP="00381C87">
      <w:pPr>
        <w:pStyle w:val="Heading2"/>
        <w:ind w:left="0" w:right="720"/>
        <w:rPr>
          <w:rFonts w:ascii="Tahoma" w:hAnsi="Tahoma" w:cs="Tahoma"/>
          <w:lang w:val="de-DE"/>
        </w:rPr>
      </w:pPr>
      <w:bookmarkStart w:id="709" w:name="_Toc354054896"/>
      <w:r w:rsidRPr="00EC2A0D">
        <w:rPr>
          <w:rFonts w:ascii="Tahoma" w:hAnsi="Tahoma" w:cs="Tahoma"/>
          <w:lang w:val="de-DE"/>
        </w:rPr>
        <w:t>Step Up-Lizenzen</w:t>
      </w:r>
      <w:bookmarkEnd w:id="707"/>
      <w:bookmarkEnd w:id="708"/>
      <w:bookmarkEnd w:id="709"/>
    </w:p>
    <w:p w:rsidR="00381C87" w:rsidRPr="00D15040" w:rsidRDefault="00381C87" w:rsidP="00381C87">
      <w:pPr>
        <w:ind w:right="720"/>
        <w:rPr>
          <w:lang w:val="de-DE"/>
        </w:rPr>
      </w:pPr>
    </w:p>
    <w:p w:rsidR="00456002" w:rsidRPr="00BB5519" w:rsidRDefault="00456002" w:rsidP="003D68DE">
      <w:pPr>
        <w:pStyle w:val="AppendixIndent"/>
        <w:ind w:left="0" w:right="180"/>
        <w:jc w:val="both"/>
        <w:rPr>
          <w:lang w:val="de-DE"/>
        </w:rPr>
      </w:pPr>
      <w:r w:rsidRPr="00BB5519">
        <w:rPr>
          <w:rFonts w:ascii="Tahoma" w:hAnsi="Tahoma" w:cs="Tahoma"/>
          <w:sz w:val="18"/>
          <w:lang w:val="de-DE"/>
        </w:rPr>
        <w:t xml:space="preserve">Kunden können von der Standard Edition zu einer Premium Edition bestimmter Produkte migrieren, und zwar mit einer Step Up-Lizenz. Um eine Step Up-Lizenz erwerben zu können, müssen die Kunden über eine Lizenz </w:t>
      </w:r>
      <w:r w:rsidRPr="00BB5519">
        <w:rPr>
          <w:rFonts w:ascii="Tahoma" w:hAnsi="Tahoma" w:cs="Tahoma"/>
          <w:sz w:val="18"/>
          <w:szCs w:val="18"/>
          <w:lang w:val="de-DE"/>
        </w:rPr>
        <w:t xml:space="preserve">mit aktiver Software </w:t>
      </w:r>
      <w:r w:rsidRPr="00BB5519">
        <w:rPr>
          <w:rFonts w:ascii="Tahoma" w:hAnsi="Tahoma" w:cs="Tahoma"/>
          <w:color w:val="000000"/>
          <w:sz w:val="18"/>
          <w:szCs w:val="18"/>
          <w:lang w:val="de-DE"/>
        </w:rPr>
        <w:t>Assurance für das qualifizierende Produkt verfügen.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 xml:space="preserve">Die Step Up-Lizenz muss unter demselben Volumenlizenzprogramm-Vertrag und -Beitritt (sofern vorhanden) erworben werden, unter dem bzw. denen das Upgrade-Programm für das qualifizierende Produkt ursprünglich erworben wurde. </w:t>
      </w:r>
      <w:r w:rsidRPr="00BB5519">
        <w:rPr>
          <w:rFonts w:ascii="Tahoma" w:hAnsi="Tahoma" w:cs="Tahoma"/>
          <w:color w:val="000000"/>
          <w:sz w:val="18"/>
          <w:lang w:val="de-DE"/>
        </w:rPr>
        <w:t>Das Recht des Kunden, Software unter einer Step Up-Lizenz zu nutzen, setzt voraus, dass der Kunde eine Lizenz für das</w:t>
      </w:r>
      <w:r w:rsidRPr="00BB5519">
        <w:rPr>
          <w:rFonts w:ascii="Tahoma" w:hAnsi="Tahoma" w:cs="Tahoma"/>
          <w:sz w:val="18"/>
          <w:lang w:val="de-DE"/>
        </w:rPr>
        <w:t xml:space="preserve"> qualifizierende Produkt besitzt und diese behält.</w:t>
      </w:r>
      <w:r w:rsidR="009E4976" w:rsidRPr="00BB5519">
        <w:rPr>
          <w:rFonts w:ascii="Tahoma" w:hAnsi="Tahoma" w:cs="Tahoma"/>
          <w:sz w:val="18"/>
          <w:lang w:val="de-DE"/>
        </w:rPr>
        <w:t xml:space="preserve"> </w:t>
      </w:r>
      <w:r w:rsidRPr="00BB5519">
        <w:rPr>
          <w:rFonts w:ascii="Tahoma" w:hAnsi="Tahoma" w:cs="Tahoma"/>
          <w:sz w:val="18"/>
          <w:lang w:val="de-DE"/>
        </w:rPr>
        <w:t xml:space="preserve">Die Kunden können die Lizenz für das qualifizierende Produkt nicht separat von der </w:t>
      </w:r>
      <w:r w:rsidRPr="00BB5519">
        <w:rPr>
          <w:rFonts w:ascii="Tahoma" w:hAnsi="Tahoma" w:cs="Tahoma"/>
          <w:sz w:val="18"/>
          <w:szCs w:val="18"/>
          <w:lang w:val="de-DE"/>
        </w:rPr>
        <w:t>Step Up-Lizenz übertragen.</w:t>
      </w:r>
      <w:r w:rsidR="009E4976" w:rsidRPr="00BB5519">
        <w:rPr>
          <w:rFonts w:ascii="Tahoma" w:hAnsi="Tahoma" w:cs="Tahoma"/>
          <w:sz w:val="18"/>
          <w:szCs w:val="18"/>
          <w:lang w:val="de-DE"/>
        </w:rPr>
        <w:t xml:space="preserve"> </w:t>
      </w:r>
      <w:r w:rsidRPr="00BB5519">
        <w:rPr>
          <w:rFonts w:ascii="Tahoma" w:hAnsi="Tahoma" w:cs="Tahoma"/>
          <w:sz w:val="18"/>
          <w:szCs w:val="18"/>
          <w:lang w:val="de-DE"/>
        </w:rPr>
        <w:t xml:space="preserve">Weitere Informationen und Angaben zur Lizenzverfügbarkeit erhalten Sie in der Volumenlizenz-Kurzdarstellung zu Step Up-Lizenzen für Enterprise Edition: </w:t>
      </w:r>
      <w:r w:rsidR="003D68DE" w:rsidRPr="003D68DE">
        <w:rPr>
          <w:rFonts w:ascii="Tahoma" w:hAnsi="Tahoma" w:cs="Tahoma"/>
          <w:sz w:val="18"/>
          <w:szCs w:val="18"/>
          <w:lang w:val="de-DE"/>
        </w:rPr>
        <w:t>http://</w:t>
      </w:r>
      <w:hyperlink r:id="rId23" w:history="1">
        <w:r w:rsidR="003D68DE" w:rsidRPr="003D68DE">
          <w:rPr>
            <w:rStyle w:val="Hyperlink"/>
            <w:rFonts w:ascii="Tahoma" w:hAnsi="Tahoma" w:cs="Tahoma"/>
            <w:sz w:val="18"/>
            <w:szCs w:val="18"/>
            <w:lang w:val="de-DE"/>
          </w:rPr>
          <w:t>www.microsoft.com/licensing</w:t>
        </w:r>
      </w:hyperlink>
      <w:r w:rsidRPr="00BB5519">
        <w:rPr>
          <w:rFonts w:ascii="Tahoma" w:hAnsi="Tahoma" w:cs="Tahoma"/>
          <w:sz w:val="18"/>
          <w:szCs w:val="18"/>
          <w:lang w:val="de-DE"/>
        </w:rPr>
        <w:t>.</w:t>
      </w:r>
    </w:p>
    <w:p w:rsidR="002B3F83" w:rsidRPr="00D15040" w:rsidRDefault="002B3F83" w:rsidP="002B3F83">
      <w:pPr>
        <w:rPr>
          <w:lang w:val="de-DE"/>
        </w:rPr>
      </w:pPr>
      <w:bookmarkStart w:id="710" w:name="_Toc323819652"/>
      <w:bookmarkStart w:id="711" w:name="_Toc336338203"/>
    </w:p>
    <w:p w:rsidR="00456002" w:rsidRPr="00EC2A0D" w:rsidRDefault="00456002" w:rsidP="002B3F83">
      <w:pPr>
        <w:pStyle w:val="Heading2"/>
        <w:ind w:left="0" w:right="720"/>
        <w:rPr>
          <w:rFonts w:ascii="Tahoma" w:hAnsi="Tahoma" w:cs="Tahoma"/>
          <w:lang w:val="de-DE"/>
        </w:rPr>
      </w:pPr>
      <w:bookmarkStart w:id="712" w:name="_Toc354054897"/>
      <w:r w:rsidRPr="00EC2A0D">
        <w:rPr>
          <w:rFonts w:ascii="Tahoma" w:hAnsi="Tahoma" w:cs="Tahoma"/>
          <w:lang w:val="de-DE"/>
        </w:rPr>
        <w:t>Abonnementlizenzen</w:t>
      </w:r>
      <w:bookmarkEnd w:id="710"/>
      <w:bookmarkEnd w:id="711"/>
      <w:bookmarkEnd w:id="712"/>
      <w:r w:rsidRPr="00EC2A0D">
        <w:rPr>
          <w:rFonts w:ascii="Tahoma" w:hAnsi="Tahoma" w:cs="Tahoma"/>
          <w:lang w:val="de-DE"/>
        </w:rPr>
        <w:t xml:space="preserve"> </w:t>
      </w:r>
    </w:p>
    <w:p w:rsidR="002B3F83" w:rsidRPr="00D15040" w:rsidRDefault="002B3F83" w:rsidP="002B3F83">
      <w:pPr>
        <w:ind w:right="720"/>
        <w:rPr>
          <w:lang w:val="de-DE"/>
        </w:rPr>
      </w:pPr>
    </w:p>
    <w:p w:rsidR="00456002" w:rsidRPr="00BB5519" w:rsidRDefault="00456002" w:rsidP="002B3F83">
      <w:pPr>
        <w:pStyle w:val="AppendixIndent"/>
        <w:spacing w:before="0"/>
        <w:ind w:left="0" w:right="-90"/>
        <w:rPr>
          <w:lang w:val="de-DE"/>
        </w:rPr>
      </w:pPr>
      <w:r w:rsidRPr="00BB5519">
        <w:rPr>
          <w:rFonts w:ascii="Tahoma" w:hAnsi="Tahoma" w:cs="Tahoma"/>
          <w:sz w:val="18"/>
          <w:lang w:val="de-DE"/>
        </w:rPr>
        <w:t>Dieser Produkttyp ist für Onlinedienste und einige Softwareprodukte verfügbar und nicht versionsspezifisch. Er bietet Kunden die Möglichkeit, die Software, und im Falle von Onlinediensten, den Dienst während der Laufzeit des Select- oder Konzernbeitritts oder Open-Vertrages, unter dem sie bzw. er erworben wurde, zu nutzen.</w:t>
      </w:r>
      <w:r w:rsidR="009E4976" w:rsidRPr="00BB5519">
        <w:rPr>
          <w:rFonts w:ascii="Tahoma" w:hAnsi="Tahoma" w:cs="Tahoma"/>
          <w:sz w:val="18"/>
          <w:lang w:val="de-DE"/>
        </w:rPr>
        <w:t xml:space="preserve"> </w:t>
      </w:r>
      <w:r w:rsidRPr="00BB5519">
        <w:rPr>
          <w:rFonts w:ascii="Tahoma" w:hAnsi="Tahoma" w:cs="Tahoma"/>
          <w:sz w:val="18"/>
          <w:lang w:val="de-DE"/>
        </w:rPr>
        <w:t xml:space="preserve">Abonnementlizenzen, die unter einem Konzernvertrag oder Konzern-Abonnement-Vertrag erworben wurden, müssen zu dem Zeitpunkt erworben werden, an dem der Dienst erstmalig aufgerufen wird, und werden anteilig anhand der Anzahl der verbleibenden Monate der Beitritts- oder Vertragslaufzeit berechnet. Für die folgenden Programme verfügbar: </w:t>
      </w:r>
    </w:p>
    <w:p w:rsidR="00456002" w:rsidRPr="00BB5519" w:rsidRDefault="00456002" w:rsidP="00B147AB">
      <w:pPr>
        <w:pStyle w:val="AppendixIndent"/>
        <w:spacing w:before="0"/>
        <w:ind w:left="0" w:right="720"/>
        <w:rPr>
          <w:lang w:val="de-DE"/>
        </w:rPr>
      </w:pPr>
    </w:p>
    <w:p w:rsidR="00456002" w:rsidRPr="00BB5519" w:rsidRDefault="00456002" w:rsidP="002C1048">
      <w:pPr>
        <w:pStyle w:val="AppendixBulletIndent"/>
        <w:numPr>
          <w:ilvl w:val="0"/>
          <w:numId w:val="84"/>
        </w:numPr>
        <w:tabs>
          <w:tab w:val="left" w:pos="1440"/>
        </w:tabs>
        <w:spacing w:after="60"/>
        <w:ind w:left="1440" w:right="720"/>
      </w:pPr>
      <w:r w:rsidRPr="00BB5519">
        <w:rPr>
          <w:rFonts w:ascii="Tahoma" w:hAnsi="Tahoma" w:cs="Tahoma"/>
          <w:sz w:val="18"/>
        </w:rPr>
        <w:t>Open Value</w:t>
      </w:r>
    </w:p>
    <w:p w:rsidR="00456002" w:rsidRPr="00BB5519" w:rsidRDefault="00456002" w:rsidP="002C1048">
      <w:pPr>
        <w:pStyle w:val="AppendixBulletIndent"/>
        <w:numPr>
          <w:ilvl w:val="0"/>
          <w:numId w:val="84"/>
        </w:numPr>
        <w:tabs>
          <w:tab w:val="left" w:pos="1440"/>
        </w:tabs>
        <w:spacing w:after="60"/>
        <w:ind w:left="1440" w:right="720"/>
      </w:pPr>
      <w:r w:rsidRPr="00BB5519">
        <w:rPr>
          <w:rFonts w:ascii="Tahoma" w:hAnsi="Tahoma" w:cs="Tahoma"/>
          <w:sz w:val="18"/>
        </w:rPr>
        <w:t xml:space="preserve">Open Value Subscription </w:t>
      </w:r>
    </w:p>
    <w:p w:rsidR="00456002" w:rsidRPr="00BB5519" w:rsidRDefault="00456002" w:rsidP="002C1048">
      <w:pPr>
        <w:pStyle w:val="AppendixBulletIndent"/>
        <w:numPr>
          <w:ilvl w:val="0"/>
          <w:numId w:val="84"/>
        </w:numPr>
        <w:tabs>
          <w:tab w:val="left" w:pos="1440"/>
        </w:tabs>
        <w:spacing w:after="60"/>
        <w:ind w:left="1440" w:right="720"/>
      </w:pPr>
      <w:r w:rsidRPr="00BB5519">
        <w:rPr>
          <w:rFonts w:ascii="Tahoma" w:hAnsi="Tahoma" w:cs="Tahoma"/>
          <w:sz w:val="18"/>
        </w:rPr>
        <w:t xml:space="preserve">Select </w:t>
      </w:r>
    </w:p>
    <w:p w:rsidR="00456002" w:rsidRPr="00BB5519" w:rsidRDefault="00456002" w:rsidP="002C1048">
      <w:pPr>
        <w:pStyle w:val="AppendixBulletIndent"/>
        <w:numPr>
          <w:ilvl w:val="0"/>
          <w:numId w:val="84"/>
        </w:numPr>
        <w:tabs>
          <w:tab w:val="left" w:pos="1440"/>
        </w:tabs>
        <w:spacing w:after="60"/>
        <w:ind w:left="1440" w:right="720"/>
      </w:pPr>
      <w:r w:rsidRPr="00BB5519">
        <w:rPr>
          <w:rFonts w:ascii="Tahoma" w:hAnsi="Tahoma" w:cs="Tahoma"/>
          <w:sz w:val="18"/>
        </w:rPr>
        <w:t>Select Plus</w:t>
      </w:r>
    </w:p>
    <w:p w:rsidR="00456002" w:rsidRPr="00BB5519" w:rsidRDefault="00456002" w:rsidP="002C1048">
      <w:pPr>
        <w:pStyle w:val="AppendixBulletIndent"/>
        <w:numPr>
          <w:ilvl w:val="0"/>
          <w:numId w:val="84"/>
        </w:numPr>
        <w:tabs>
          <w:tab w:val="left" w:pos="1440"/>
        </w:tabs>
        <w:spacing w:after="60"/>
        <w:ind w:left="1440" w:right="720"/>
      </w:pPr>
      <w:r w:rsidRPr="00BB5519">
        <w:rPr>
          <w:rFonts w:ascii="Tahoma" w:hAnsi="Tahoma" w:cs="Tahoma"/>
          <w:sz w:val="18"/>
        </w:rPr>
        <w:t>School-Vertrag</w:t>
      </w:r>
    </w:p>
    <w:p w:rsidR="00456002" w:rsidRPr="00BB5519" w:rsidRDefault="00456002" w:rsidP="002C1048">
      <w:pPr>
        <w:pStyle w:val="AppendixBulletIndent"/>
        <w:numPr>
          <w:ilvl w:val="0"/>
          <w:numId w:val="84"/>
        </w:numPr>
        <w:tabs>
          <w:tab w:val="left" w:pos="1440"/>
        </w:tabs>
        <w:spacing w:after="60"/>
        <w:ind w:left="1440" w:right="720"/>
      </w:pPr>
      <w:r w:rsidRPr="00BB5519">
        <w:rPr>
          <w:rFonts w:ascii="Tahoma" w:hAnsi="Tahoma" w:cs="Tahoma"/>
          <w:sz w:val="18"/>
        </w:rPr>
        <w:t>EES</w:t>
      </w:r>
    </w:p>
    <w:p w:rsidR="00456002" w:rsidRPr="00BB5519" w:rsidRDefault="00456002" w:rsidP="002C1048">
      <w:pPr>
        <w:pStyle w:val="AppendixBulletIndent"/>
        <w:numPr>
          <w:ilvl w:val="0"/>
          <w:numId w:val="84"/>
        </w:numPr>
        <w:tabs>
          <w:tab w:val="left" w:pos="1440"/>
        </w:tabs>
        <w:spacing w:after="60"/>
        <w:ind w:left="1440" w:right="720"/>
      </w:pPr>
      <w:r w:rsidRPr="00BB5519">
        <w:rPr>
          <w:rFonts w:ascii="Tahoma" w:hAnsi="Tahoma" w:cs="Tahoma"/>
          <w:sz w:val="18"/>
        </w:rPr>
        <w:t>Konzernvertrag</w:t>
      </w:r>
    </w:p>
    <w:p w:rsidR="00456002" w:rsidRPr="00BB5519" w:rsidRDefault="00456002" w:rsidP="00B147AB">
      <w:pPr>
        <w:pStyle w:val="AppendixIndent"/>
        <w:numPr>
          <w:ilvl w:val="0"/>
          <w:numId w:val="84"/>
        </w:numPr>
        <w:tabs>
          <w:tab w:val="left" w:pos="1440"/>
        </w:tabs>
        <w:spacing w:before="0"/>
        <w:ind w:left="1440" w:right="720"/>
      </w:pPr>
      <w:r w:rsidRPr="00BB5519">
        <w:rPr>
          <w:rFonts w:ascii="Tahoma" w:hAnsi="Tahoma" w:cs="Tahoma"/>
          <w:sz w:val="18"/>
        </w:rPr>
        <w:t>Konzern-Abonnement-Vertrag</w:t>
      </w:r>
    </w:p>
    <w:p w:rsidR="00ED589D" w:rsidRPr="00BB5519" w:rsidRDefault="00ED589D" w:rsidP="00B147AB"/>
    <w:p w:rsidR="00456002" w:rsidRPr="002B3F83" w:rsidRDefault="00456002" w:rsidP="00456002">
      <w:pPr>
        <w:pStyle w:val="Heading2"/>
        <w:ind w:left="0" w:right="720"/>
        <w:rPr>
          <w:rFonts w:ascii="Tahoma" w:hAnsi="Tahoma" w:cs="Tahoma"/>
        </w:rPr>
      </w:pPr>
      <w:bookmarkStart w:id="713" w:name="_Toc323819653"/>
      <w:bookmarkStart w:id="714" w:name="_Toc336338204"/>
      <w:bookmarkStart w:id="715" w:name="_Toc354054898"/>
      <w:r w:rsidRPr="002B3F83">
        <w:rPr>
          <w:rFonts w:ascii="Tahoma" w:hAnsi="Tahoma" w:cs="Tahoma"/>
        </w:rPr>
        <w:t>Upgrade</w:t>
      </w:r>
      <w:bookmarkEnd w:id="713"/>
      <w:bookmarkEnd w:id="714"/>
      <w:bookmarkEnd w:id="715"/>
    </w:p>
    <w:p w:rsidR="00456002" w:rsidRPr="00BB5519" w:rsidRDefault="00456002" w:rsidP="00B147AB">
      <w:pPr>
        <w:pStyle w:val="AppendixIndent"/>
        <w:spacing w:before="0"/>
        <w:ind w:left="0" w:right="720"/>
      </w:pPr>
    </w:p>
    <w:p w:rsidR="00456002" w:rsidRPr="00BB5519" w:rsidRDefault="00456002" w:rsidP="00B147AB">
      <w:pPr>
        <w:pStyle w:val="AppendixIndent"/>
        <w:spacing w:before="0"/>
        <w:ind w:left="0" w:right="720"/>
      </w:pPr>
      <w:r w:rsidRPr="00BB5519">
        <w:rPr>
          <w:rFonts w:ascii="Tahoma" w:hAnsi="Tahoma" w:cs="Tahoma"/>
          <w:sz w:val="18"/>
          <w:lang w:val="de-DE"/>
        </w:rPr>
        <w:t xml:space="preserve">Dieser Produkttyp ist nur für das </w:t>
      </w:r>
      <w:r w:rsidRPr="00BB5519">
        <w:rPr>
          <w:rFonts w:ascii="Tahoma" w:hAnsi="Tahoma" w:cs="Tahoma"/>
          <w:sz w:val="18"/>
          <w:u w:val="single"/>
          <w:lang w:val="de-DE"/>
        </w:rPr>
        <w:t>Windows Desktop-Betriebssystem</w:t>
      </w:r>
      <w:r w:rsidRPr="00BB5519">
        <w:rPr>
          <w:rFonts w:ascii="Tahoma" w:hAnsi="Tahoma" w:cs="Tahoma"/>
          <w:sz w:val="18"/>
          <w:lang w:val="de-DE"/>
        </w:rPr>
        <w:t xml:space="preserve"> verfügbar und versionsspezifisch. Er gewährt das Recht, die Version des Produktes auszuführen, für die er bestellt wurde.</w:t>
      </w:r>
      <w:r w:rsidR="009E4976" w:rsidRPr="00BB5519">
        <w:rPr>
          <w:rFonts w:ascii="Tahoma" w:hAnsi="Tahoma" w:cs="Tahoma"/>
          <w:sz w:val="18"/>
          <w:lang w:val="de-DE"/>
        </w:rPr>
        <w:t xml:space="preserve"> </w:t>
      </w:r>
      <w:r w:rsidRPr="00BB5519">
        <w:rPr>
          <w:rFonts w:ascii="Tahoma" w:hAnsi="Tahoma" w:cs="Tahoma"/>
          <w:sz w:val="18"/>
        </w:rPr>
        <w:t>Für die folgenden Programme verfügbar:</w:t>
      </w:r>
    </w:p>
    <w:p w:rsidR="00456002" w:rsidRPr="00BB5519" w:rsidRDefault="00456002" w:rsidP="00B147AB">
      <w:pPr>
        <w:pStyle w:val="AppendixIndent"/>
        <w:spacing w:before="0"/>
        <w:ind w:left="0" w:right="720"/>
      </w:pPr>
    </w:p>
    <w:p w:rsidR="00385C82" w:rsidRPr="00BB5519" w:rsidRDefault="00385C82" w:rsidP="00B147AB">
      <w:pPr>
        <w:pStyle w:val="AppendixBulletIndent"/>
        <w:numPr>
          <w:ilvl w:val="0"/>
          <w:numId w:val="77"/>
        </w:numPr>
        <w:tabs>
          <w:tab w:val="left" w:pos="1440"/>
        </w:tabs>
        <w:spacing w:after="60"/>
        <w:ind w:left="1440" w:right="720"/>
      </w:pPr>
      <w:r w:rsidRPr="00BB5519">
        <w:rPr>
          <w:rFonts w:ascii="Tahoma" w:hAnsi="Tahoma" w:cs="Tahoma"/>
          <w:sz w:val="18"/>
          <w:szCs w:val="18"/>
        </w:rPr>
        <w:lastRenderedPageBreak/>
        <w:t>Open-Lizenz</w:t>
      </w:r>
    </w:p>
    <w:p w:rsidR="00385C82" w:rsidRPr="00BB5519" w:rsidRDefault="00385C82" w:rsidP="002C1048">
      <w:pPr>
        <w:pStyle w:val="AppendixBulletIndent"/>
        <w:numPr>
          <w:ilvl w:val="0"/>
          <w:numId w:val="77"/>
        </w:numPr>
        <w:tabs>
          <w:tab w:val="left" w:pos="1440"/>
        </w:tabs>
        <w:spacing w:after="60"/>
        <w:ind w:left="1440" w:right="720"/>
        <w:rPr>
          <w:lang w:val="de-DE"/>
        </w:rPr>
      </w:pPr>
      <w:r w:rsidRPr="00BB5519">
        <w:rPr>
          <w:rFonts w:ascii="Tahoma" w:hAnsi="Tahoma" w:cs="Tahoma"/>
          <w:sz w:val="18"/>
          <w:szCs w:val="18"/>
          <w:lang w:val="de-DE"/>
        </w:rPr>
        <w:t xml:space="preserve">Open Value Subscription (nur für Buy-Out-Bestellungen) </w:t>
      </w:r>
    </w:p>
    <w:p w:rsidR="00385C82" w:rsidRPr="00BB5519" w:rsidRDefault="00385C82" w:rsidP="002C1048">
      <w:pPr>
        <w:pStyle w:val="AppendixBulletIndent"/>
        <w:numPr>
          <w:ilvl w:val="0"/>
          <w:numId w:val="77"/>
        </w:numPr>
        <w:tabs>
          <w:tab w:val="left" w:pos="1440"/>
        </w:tabs>
        <w:spacing w:after="60"/>
        <w:ind w:left="1440" w:right="720"/>
      </w:pPr>
      <w:r w:rsidRPr="00BB5519">
        <w:rPr>
          <w:rFonts w:ascii="Tahoma" w:hAnsi="Tahoma" w:cs="Tahoma"/>
          <w:sz w:val="18"/>
          <w:szCs w:val="18"/>
        </w:rPr>
        <w:t xml:space="preserve">Select </w:t>
      </w:r>
    </w:p>
    <w:p w:rsidR="00385C82" w:rsidRPr="00BB5519" w:rsidRDefault="00385C82" w:rsidP="002C1048">
      <w:pPr>
        <w:pStyle w:val="AppendixBulletIndent"/>
        <w:numPr>
          <w:ilvl w:val="0"/>
          <w:numId w:val="77"/>
        </w:numPr>
        <w:tabs>
          <w:tab w:val="left" w:pos="1440"/>
        </w:tabs>
        <w:spacing w:after="60"/>
        <w:ind w:left="1440" w:right="720"/>
      </w:pPr>
      <w:r w:rsidRPr="00BB5519">
        <w:rPr>
          <w:rFonts w:ascii="Tahoma" w:hAnsi="Tahoma" w:cs="Tahoma"/>
          <w:sz w:val="18"/>
          <w:szCs w:val="18"/>
        </w:rPr>
        <w:t>Select Plus</w:t>
      </w:r>
    </w:p>
    <w:p w:rsidR="00385C82" w:rsidRPr="00BB5519" w:rsidRDefault="00385C82" w:rsidP="002C1048">
      <w:pPr>
        <w:pStyle w:val="AppendixBulletIndent"/>
        <w:numPr>
          <w:ilvl w:val="0"/>
          <w:numId w:val="77"/>
        </w:numPr>
        <w:tabs>
          <w:tab w:val="left" w:pos="1440"/>
        </w:tabs>
        <w:spacing w:after="60"/>
        <w:ind w:left="1440" w:right="720"/>
        <w:rPr>
          <w:lang w:val="de-DE"/>
        </w:rPr>
      </w:pPr>
      <w:r w:rsidRPr="00BB5519">
        <w:rPr>
          <w:rFonts w:ascii="Tahoma" w:hAnsi="Tahoma" w:cs="Tahoma"/>
          <w:sz w:val="18"/>
          <w:szCs w:val="18"/>
          <w:lang w:val="de-DE"/>
        </w:rPr>
        <w:t>School-Vertrag (nur für Buy-Out-Bestellungen)</w:t>
      </w:r>
    </w:p>
    <w:p w:rsidR="00385C82" w:rsidRPr="00BB5519" w:rsidRDefault="00385C82" w:rsidP="002C1048">
      <w:pPr>
        <w:pStyle w:val="AppendixBulletIndent"/>
        <w:numPr>
          <w:ilvl w:val="0"/>
          <w:numId w:val="77"/>
        </w:numPr>
        <w:tabs>
          <w:tab w:val="left" w:pos="1440"/>
        </w:tabs>
        <w:spacing w:after="60"/>
        <w:ind w:left="1440" w:right="720"/>
        <w:rPr>
          <w:lang w:val="de-DE"/>
        </w:rPr>
      </w:pPr>
      <w:r w:rsidRPr="00BB5519">
        <w:rPr>
          <w:rFonts w:ascii="Tahoma" w:hAnsi="Tahoma" w:cs="Tahoma"/>
          <w:sz w:val="18"/>
          <w:szCs w:val="18"/>
          <w:lang w:val="de-DE"/>
        </w:rPr>
        <w:t>EES (nur für Buy-Out-Bestellungen)</w:t>
      </w:r>
    </w:p>
    <w:p w:rsidR="00385C82" w:rsidRPr="00BB5519" w:rsidRDefault="00385C82" w:rsidP="00B147AB">
      <w:pPr>
        <w:pStyle w:val="AppendixBulletIndent"/>
        <w:numPr>
          <w:ilvl w:val="0"/>
          <w:numId w:val="77"/>
        </w:numPr>
        <w:tabs>
          <w:tab w:val="left" w:pos="1440"/>
        </w:tabs>
        <w:ind w:left="1440" w:right="720"/>
        <w:rPr>
          <w:lang w:val="de-DE"/>
        </w:rPr>
      </w:pPr>
      <w:r w:rsidRPr="00BB5519">
        <w:rPr>
          <w:rFonts w:ascii="Tahoma" w:hAnsi="Tahoma" w:cs="Tahoma"/>
          <w:sz w:val="18"/>
          <w:szCs w:val="18"/>
          <w:lang w:val="de-DE"/>
        </w:rPr>
        <w:t>Konzern-Abonnement-Vertrag (nur für Buy-Out-Bestellungen)</w:t>
      </w:r>
    </w:p>
    <w:p w:rsidR="00456002" w:rsidRPr="00BB5519" w:rsidRDefault="00456002" w:rsidP="00B147AB">
      <w:pPr>
        <w:pStyle w:val="AppendixIndent"/>
        <w:spacing w:before="0"/>
        <w:ind w:left="0" w:right="720"/>
        <w:rPr>
          <w:lang w:val="de-DE"/>
        </w:rPr>
      </w:pPr>
    </w:p>
    <w:p w:rsidR="001C1727" w:rsidRDefault="00456002" w:rsidP="00CF6FD2">
      <w:pPr>
        <w:pStyle w:val="AppendixIndent"/>
        <w:spacing w:before="0"/>
        <w:ind w:left="0"/>
        <w:rPr>
          <w:rFonts w:ascii="Tahoma" w:hAnsi="Tahoma" w:cs="Tahoma"/>
          <w:sz w:val="18"/>
          <w:lang w:val="de-DE"/>
        </w:rPr>
      </w:pPr>
      <w:r w:rsidRPr="00BB5519">
        <w:rPr>
          <w:rFonts w:ascii="Tahoma" w:hAnsi="Tahoma" w:cs="Tahoma"/>
          <w:sz w:val="18"/>
          <w:lang w:val="de-DE"/>
        </w:rPr>
        <w:t>Der Kunde muss über eine qualifizierende, zugrunde liegende Desktop-Betriebssystemlizenz verfügen, bevor er die Lizenz für das Windows Desktop Betriebssystem-Upgrade erwerben darf. Eine Liste der qualifizierenden Desktop-Betriebssysteme finden Sie im Abschnitt über Systemprodukte. Diese Liste hängt vom Programm und den Umständen einer Bestellung ab.</w:t>
      </w:r>
      <w:bookmarkStart w:id="716" w:name="_Toc323819654"/>
      <w:bookmarkStart w:id="717" w:name="_Toc336338205"/>
    </w:p>
    <w:p w:rsidR="002B3F83" w:rsidRPr="00EC2A0D" w:rsidRDefault="002B3F83" w:rsidP="002B3F83">
      <w:pPr>
        <w:rPr>
          <w:rFonts w:cs="Tahoma"/>
          <w:b/>
          <w:sz w:val="24"/>
          <w:szCs w:val="24"/>
          <w:lang w:val="de-DE"/>
        </w:rPr>
      </w:pPr>
    </w:p>
    <w:p w:rsidR="00456002" w:rsidRPr="00EC2A0D" w:rsidRDefault="00456002" w:rsidP="00456002">
      <w:pPr>
        <w:pStyle w:val="Heading2"/>
        <w:ind w:left="0" w:right="720"/>
        <w:rPr>
          <w:rFonts w:ascii="Tahoma" w:hAnsi="Tahoma" w:cs="Tahoma"/>
          <w:lang w:val="de-DE"/>
        </w:rPr>
      </w:pPr>
      <w:bookmarkStart w:id="718" w:name="_Toc354054899"/>
      <w:r w:rsidRPr="00EC2A0D">
        <w:rPr>
          <w:rFonts w:ascii="Tahoma" w:hAnsi="Tahoma" w:cs="Tahoma"/>
          <w:lang w:val="de-DE"/>
        </w:rPr>
        <w:t>Upgrade und Software Assurance</w:t>
      </w:r>
      <w:bookmarkEnd w:id="716"/>
      <w:bookmarkEnd w:id="717"/>
      <w:bookmarkEnd w:id="718"/>
      <w:r w:rsidRPr="00EC2A0D">
        <w:rPr>
          <w:rFonts w:ascii="Tahoma" w:hAnsi="Tahoma" w:cs="Tahoma"/>
          <w:lang w:val="de-DE"/>
        </w:rPr>
        <w:t xml:space="preserve"> </w:t>
      </w:r>
    </w:p>
    <w:p w:rsidR="002B3F83" w:rsidRPr="00D15040" w:rsidRDefault="002B3F83" w:rsidP="002B3F83">
      <w:pPr>
        <w:ind w:right="720"/>
        <w:rPr>
          <w:lang w:val="de-DE"/>
        </w:rPr>
      </w:pPr>
    </w:p>
    <w:p w:rsidR="00456002" w:rsidRPr="00BB5519" w:rsidRDefault="00456002" w:rsidP="00CF6FD2">
      <w:pPr>
        <w:pStyle w:val="AppendixIndent"/>
        <w:spacing w:before="0"/>
        <w:ind w:left="0"/>
      </w:pPr>
      <w:r w:rsidRPr="00BB5519">
        <w:rPr>
          <w:rFonts w:ascii="Tahoma" w:hAnsi="Tahoma" w:cs="Tahoma"/>
          <w:sz w:val="18"/>
          <w:lang w:val="de-DE"/>
        </w:rPr>
        <w:t xml:space="preserve">Dieser Produkttyp ist nur für das Windows Desktop-Betriebssystem verfügbar und nicht versionsspezifisch. Er ermöglicht es Kunden, gleichzeitig das Upgrade und Software Assurance für das Desktop-Betriebssystem zu erwerben. </w:t>
      </w:r>
      <w:r w:rsidRPr="00BB5519">
        <w:rPr>
          <w:rFonts w:ascii="Tahoma" w:hAnsi="Tahoma" w:cs="Tahoma"/>
          <w:sz w:val="18"/>
        </w:rPr>
        <w:t>Für die folgenden Programme verfügbar:</w:t>
      </w:r>
    </w:p>
    <w:p w:rsidR="00116EDC" w:rsidRPr="00BB5519" w:rsidRDefault="00116EDC" w:rsidP="00B147AB">
      <w:pPr>
        <w:pStyle w:val="AppendixIndent"/>
        <w:spacing w:before="0"/>
        <w:ind w:left="0" w:right="720"/>
      </w:pPr>
    </w:p>
    <w:p w:rsidR="00456002" w:rsidRPr="00BB5519" w:rsidRDefault="00456002" w:rsidP="002C1048">
      <w:pPr>
        <w:pStyle w:val="AppendixBulletIndent"/>
        <w:numPr>
          <w:ilvl w:val="0"/>
          <w:numId w:val="78"/>
        </w:numPr>
        <w:tabs>
          <w:tab w:val="clear" w:pos="360"/>
          <w:tab w:val="num" w:pos="1440"/>
        </w:tabs>
        <w:spacing w:after="60"/>
        <w:ind w:left="1440" w:right="720"/>
      </w:pPr>
      <w:r w:rsidRPr="00BB5519">
        <w:rPr>
          <w:rFonts w:ascii="Tahoma" w:hAnsi="Tahoma" w:cs="Tahoma"/>
          <w:sz w:val="18"/>
        </w:rPr>
        <w:t>Open-Lizenz</w:t>
      </w:r>
    </w:p>
    <w:p w:rsidR="00456002" w:rsidRPr="00BB5519" w:rsidRDefault="00456002" w:rsidP="002C1048">
      <w:pPr>
        <w:pStyle w:val="AppendixBulletIndent"/>
        <w:numPr>
          <w:ilvl w:val="0"/>
          <w:numId w:val="78"/>
        </w:numPr>
        <w:tabs>
          <w:tab w:val="clear" w:pos="360"/>
          <w:tab w:val="num" w:pos="1440"/>
        </w:tabs>
        <w:spacing w:after="60"/>
        <w:ind w:left="1440" w:right="720"/>
      </w:pPr>
      <w:r w:rsidRPr="00BB5519">
        <w:rPr>
          <w:rFonts w:ascii="Tahoma" w:hAnsi="Tahoma" w:cs="Tahoma"/>
          <w:sz w:val="18"/>
        </w:rPr>
        <w:t>Open Value</w:t>
      </w:r>
    </w:p>
    <w:p w:rsidR="00456002" w:rsidRPr="00BB5519" w:rsidRDefault="00456002" w:rsidP="002C1048">
      <w:pPr>
        <w:pStyle w:val="AppendixBulletIndent"/>
        <w:numPr>
          <w:ilvl w:val="0"/>
          <w:numId w:val="78"/>
        </w:numPr>
        <w:tabs>
          <w:tab w:val="clear" w:pos="360"/>
          <w:tab w:val="num" w:pos="1440"/>
        </w:tabs>
        <w:spacing w:after="60"/>
        <w:ind w:left="1440" w:right="720"/>
      </w:pPr>
      <w:r w:rsidRPr="00BB5519">
        <w:rPr>
          <w:rFonts w:ascii="Tahoma" w:hAnsi="Tahoma" w:cs="Tahoma"/>
          <w:sz w:val="18"/>
        </w:rPr>
        <w:t>Open Value Subscription</w:t>
      </w:r>
    </w:p>
    <w:p w:rsidR="00456002" w:rsidRPr="00BB5519" w:rsidRDefault="00456002" w:rsidP="002C1048">
      <w:pPr>
        <w:pStyle w:val="AppendixBulletIndent"/>
        <w:numPr>
          <w:ilvl w:val="0"/>
          <w:numId w:val="78"/>
        </w:numPr>
        <w:tabs>
          <w:tab w:val="clear" w:pos="360"/>
          <w:tab w:val="num" w:pos="1440"/>
        </w:tabs>
        <w:spacing w:after="60"/>
        <w:ind w:left="1440" w:right="720"/>
      </w:pPr>
      <w:r w:rsidRPr="00BB5519">
        <w:rPr>
          <w:rFonts w:ascii="Tahoma" w:hAnsi="Tahoma" w:cs="Tahoma"/>
          <w:sz w:val="18"/>
        </w:rPr>
        <w:t xml:space="preserve">Select </w:t>
      </w:r>
    </w:p>
    <w:p w:rsidR="00456002" w:rsidRPr="00BB5519" w:rsidRDefault="00456002" w:rsidP="002C1048">
      <w:pPr>
        <w:pStyle w:val="AppendixBulletIndent"/>
        <w:numPr>
          <w:ilvl w:val="0"/>
          <w:numId w:val="78"/>
        </w:numPr>
        <w:tabs>
          <w:tab w:val="clear" w:pos="360"/>
          <w:tab w:val="num" w:pos="1440"/>
        </w:tabs>
        <w:spacing w:after="60"/>
        <w:ind w:left="1440" w:right="720"/>
      </w:pPr>
      <w:r w:rsidRPr="00BB5519">
        <w:rPr>
          <w:rFonts w:ascii="Tahoma" w:hAnsi="Tahoma" w:cs="Tahoma"/>
          <w:sz w:val="18"/>
        </w:rPr>
        <w:t>Select Plus</w:t>
      </w:r>
    </w:p>
    <w:p w:rsidR="00456002" w:rsidRPr="00BB5519" w:rsidRDefault="00456002" w:rsidP="002C1048">
      <w:pPr>
        <w:pStyle w:val="AppendixBulletIndent"/>
        <w:numPr>
          <w:ilvl w:val="0"/>
          <w:numId w:val="78"/>
        </w:numPr>
        <w:tabs>
          <w:tab w:val="clear" w:pos="360"/>
          <w:tab w:val="num" w:pos="1440"/>
        </w:tabs>
        <w:spacing w:after="60"/>
        <w:ind w:left="1440" w:right="720"/>
      </w:pPr>
      <w:r w:rsidRPr="00BB5519">
        <w:rPr>
          <w:rFonts w:ascii="Tahoma" w:hAnsi="Tahoma" w:cs="Tahoma"/>
          <w:sz w:val="18"/>
        </w:rPr>
        <w:t>School-Vertrag</w:t>
      </w:r>
    </w:p>
    <w:p w:rsidR="00456002" w:rsidRPr="00BB5519" w:rsidRDefault="00456002" w:rsidP="002C1048">
      <w:pPr>
        <w:pStyle w:val="AppendixBulletIndent"/>
        <w:numPr>
          <w:ilvl w:val="0"/>
          <w:numId w:val="78"/>
        </w:numPr>
        <w:tabs>
          <w:tab w:val="clear" w:pos="360"/>
          <w:tab w:val="num" w:pos="1440"/>
        </w:tabs>
        <w:spacing w:after="60"/>
        <w:ind w:left="1440" w:right="720"/>
      </w:pPr>
      <w:r w:rsidRPr="00BB5519">
        <w:rPr>
          <w:rFonts w:ascii="Tahoma" w:hAnsi="Tahoma" w:cs="Tahoma"/>
          <w:sz w:val="18"/>
        </w:rPr>
        <w:t>ESS</w:t>
      </w:r>
    </w:p>
    <w:p w:rsidR="00456002" w:rsidRPr="00BB5519" w:rsidRDefault="00456002" w:rsidP="002C1048">
      <w:pPr>
        <w:pStyle w:val="AppendixBulletIndent"/>
        <w:numPr>
          <w:ilvl w:val="0"/>
          <w:numId w:val="78"/>
        </w:numPr>
        <w:tabs>
          <w:tab w:val="clear" w:pos="360"/>
          <w:tab w:val="num" w:pos="1440"/>
        </w:tabs>
        <w:spacing w:after="60"/>
        <w:ind w:left="1440" w:right="720"/>
      </w:pPr>
      <w:r w:rsidRPr="00BB5519">
        <w:rPr>
          <w:rFonts w:ascii="Tahoma" w:hAnsi="Tahoma" w:cs="Tahoma"/>
          <w:sz w:val="18"/>
        </w:rPr>
        <w:t>Konzernvertrag</w:t>
      </w:r>
    </w:p>
    <w:p w:rsidR="00456002" w:rsidRPr="00BB5519" w:rsidRDefault="00456002" w:rsidP="00B147AB">
      <w:pPr>
        <w:pStyle w:val="AppendixBulletIndent"/>
        <w:numPr>
          <w:ilvl w:val="0"/>
          <w:numId w:val="78"/>
        </w:numPr>
        <w:tabs>
          <w:tab w:val="clear" w:pos="360"/>
          <w:tab w:val="num" w:pos="1440"/>
        </w:tabs>
        <w:ind w:left="1440" w:right="720"/>
      </w:pPr>
      <w:r w:rsidRPr="00BB5519">
        <w:rPr>
          <w:rFonts w:ascii="Tahoma" w:hAnsi="Tahoma" w:cs="Tahoma"/>
          <w:sz w:val="18"/>
        </w:rPr>
        <w:t>Konzern-Abonnement-Vertrag</w:t>
      </w:r>
    </w:p>
    <w:p w:rsidR="00456002" w:rsidRPr="00BB5519" w:rsidRDefault="00456002" w:rsidP="00B147AB">
      <w:pPr>
        <w:pStyle w:val="AppendixIndent"/>
        <w:spacing w:before="0"/>
        <w:ind w:left="0" w:right="720"/>
      </w:pPr>
    </w:p>
    <w:p w:rsidR="00456002" w:rsidRPr="00BB5519" w:rsidRDefault="00456002" w:rsidP="00CF6FD2">
      <w:pPr>
        <w:pStyle w:val="AppendixIndent"/>
        <w:spacing w:before="0"/>
        <w:ind w:left="0"/>
        <w:rPr>
          <w:lang w:val="de-DE"/>
        </w:rPr>
      </w:pPr>
      <w:r w:rsidRPr="00BB5519">
        <w:rPr>
          <w:rFonts w:ascii="Tahoma" w:hAnsi="Tahoma" w:cs="Tahoma"/>
          <w:sz w:val="18"/>
          <w:lang w:val="de-DE"/>
        </w:rPr>
        <w:t>Der Kunde muss über eine qualifizierende, zugrunde liegende Desktop-Betriebssystemlizenz verfügen, bevor er das Upgrade erwerben darf. Software Assurance muss zeitgleich mit dem entsprechenden Upgrade erworben werden, außer im Fall von Abonnementprogrammen, bei denen das Upgrade bei Verlängerung einer bestehenden Software Assurance-Laufzeit erworben werden muss.</w:t>
      </w:r>
    </w:p>
    <w:p w:rsidR="002B3F83" w:rsidRPr="00D15040" w:rsidRDefault="002B3F83" w:rsidP="002B3F83">
      <w:pPr>
        <w:pStyle w:val="AppendixIndent"/>
        <w:spacing w:before="0"/>
        <w:ind w:left="0" w:right="720"/>
        <w:rPr>
          <w:rFonts w:ascii="Tahoma" w:hAnsi="Tahoma" w:cs="Tahoma"/>
          <w:sz w:val="18"/>
          <w:lang w:val="de-DE"/>
        </w:rPr>
      </w:pPr>
      <w:bookmarkStart w:id="719" w:name="_Toc323819656"/>
      <w:bookmarkStart w:id="720" w:name="_Toc336338206"/>
    </w:p>
    <w:p w:rsidR="00456002" w:rsidRPr="00EC2A0D" w:rsidRDefault="00456002" w:rsidP="00456002">
      <w:pPr>
        <w:pStyle w:val="Heading2"/>
        <w:ind w:left="0" w:right="720"/>
        <w:rPr>
          <w:rFonts w:ascii="Tahoma" w:hAnsi="Tahoma" w:cs="Tahoma"/>
          <w:lang w:val="de-DE"/>
        </w:rPr>
      </w:pPr>
      <w:bookmarkStart w:id="721" w:name="_Toc354054900"/>
      <w:r w:rsidRPr="00EC2A0D">
        <w:rPr>
          <w:rFonts w:ascii="Tahoma" w:hAnsi="Tahoma" w:cs="Tahoma"/>
          <w:lang w:val="de-DE"/>
        </w:rPr>
        <w:t>Work-at-Home-Lizenzen</w:t>
      </w:r>
      <w:bookmarkEnd w:id="719"/>
      <w:bookmarkEnd w:id="720"/>
      <w:bookmarkEnd w:id="721"/>
    </w:p>
    <w:p w:rsidR="002B3F83" w:rsidRPr="00D15040" w:rsidRDefault="002B3F83" w:rsidP="002B3F83">
      <w:pPr>
        <w:ind w:right="720"/>
        <w:rPr>
          <w:lang w:val="de-DE"/>
        </w:rPr>
      </w:pPr>
    </w:p>
    <w:p w:rsidR="00456002" w:rsidRPr="00BB5519" w:rsidRDefault="00456002" w:rsidP="00B147AB">
      <w:pPr>
        <w:pStyle w:val="AppendixIndent"/>
        <w:spacing w:before="0"/>
        <w:ind w:left="0" w:right="720"/>
        <w:rPr>
          <w:lang w:val="de-DE"/>
        </w:rPr>
      </w:pPr>
      <w:r w:rsidRPr="00BB5519">
        <w:rPr>
          <w:rFonts w:ascii="Tahoma" w:hAnsi="Tahoma" w:cs="Tahoma"/>
          <w:sz w:val="18"/>
          <w:lang w:val="de-DE"/>
        </w:rPr>
        <w:t>Für die folgenden Programme verfügbar:</w:t>
      </w:r>
    </w:p>
    <w:p w:rsidR="00456002" w:rsidRPr="00BB5519" w:rsidRDefault="00456002" w:rsidP="00B147AB">
      <w:pPr>
        <w:pStyle w:val="AppendixBulletIndent"/>
        <w:ind w:left="0" w:right="720" w:firstLine="0"/>
        <w:rPr>
          <w:lang w:val="de-DE"/>
        </w:rPr>
      </w:pPr>
    </w:p>
    <w:p w:rsidR="00456002" w:rsidRPr="00BB5519" w:rsidRDefault="00456002" w:rsidP="002C1048">
      <w:pPr>
        <w:pStyle w:val="AppendixBulletIndent"/>
        <w:numPr>
          <w:ilvl w:val="0"/>
          <w:numId w:val="80"/>
        </w:numPr>
        <w:tabs>
          <w:tab w:val="clear" w:pos="360"/>
          <w:tab w:val="num" w:pos="1440"/>
        </w:tabs>
        <w:spacing w:after="60"/>
        <w:ind w:left="1440" w:right="720"/>
      </w:pPr>
      <w:r w:rsidRPr="00BB5519">
        <w:rPr>
          <w:rFonts w:ascii="Tahoma" w:hAnsi="Tahoma" w:cs="Tahoma"/>
          <w:sz w:val="18"/>
        </w:rPr>
        <w:t xml:space="preserve">Select </w:t>
      </w:r>
    </w:p>
    <w:p w:rsidR="00456002" w:rsidRPr="00BB5519" w:rsidRDefault="00456002" w:rsidP="002C1048">
      <w:pPr>
        <w:pStyle w:val="AppendixBulletIndent"/>
        <w:numPr>
          <w:ilvl w:val="0"/>
          <w:numId w:val="80"/>
        </w:numPr>
        <w:tabs>
          <w:tab w:val="clear" w:pos="360"/>
          <w:tab w:val="num" w:pos="1440"/>
        </w:tabs>
        <w:spacing w:after="60"/>
        <w:ind w:left="1440" w:right="720"/>
      </w:pPr>
      <w:r w:rsidRPr="00BB5519">
        <w:rPr>
          <w:rFonts w:ascii="Tahoma" w:hAnsi="Tahoma" w:cs="Tahoma"/>
          <w:sz w:val="18"/>
        </w:rPr>
        <w:t>Select Plus</w:t>
      </w:r>
    </w:p>
    <w:p w:rsidR="00456002" w:rsidRPr="00BB5519" w:rsidRDefault="00456002" w:rsidP="00B147AB">
      <w:pPr>
        <w:pStyle w:val="AppendixBulletIndent"/>
        <w:numPr>
          <w:ilvl w:val="0"/>
          <w:numId w:val="80"/>
        </w:numPr>
        <w:tabs>
          <w:tab w:val="clear" w:pos="360"/>
          <w:tab w:val="num" w:pos="1440"/>
        </w:tabs>
        <w:ind w:left="1440" w:right="720"/>
      </w:pPr>
      <w:r w:rsidRPr="00BB5519">
        <w:rPr>
          <w:rFonts w:ascii="Tahoma" w:hAnsi="Tahoma" w:cs="Tahoma"/>
          <w:sz w:val="18"/>
        </w:rPr>
        <w:t>Konzernvertrag</w:t>
      </w:r>
    </w:p>
    <w:p w:rsidR="00456002" w:rsidRPr="00BB5519" w:rsidRDefault="00456002" w:rsidP="00B147AB">
      <w:pPr>
        <w:pStyle w:val="AppendixBulletIndent"/>
        <w:ind w:left="0" w:right="720" w:firstLine="0"/>
      </w:pPr>
    </w:p>
    <w:p w:rsidR="00023FE7" w:rsidRPr="00BB5519" w:rsidRDefault="00456002" w:rsidP="00A12176">
      <w:pPr>
        <w:rPr>
          <w:lang w:val="de-DE"/>
        </w:rPr>
      </w:pPr>
      <w:r w:rsidRPr="00BB5519">
        <w:rPr>
          <w:lang w:val="de-DE"/>
        </w:rPr>
        <w:t>Eine Work-at-Home-Lizenz kann nur in Verbindung mit einem Produkt erworben werde, für dessen Nutzung auf einem At-Work-Desktop eine Lizenz vorhanden ist. Das Work-at-Home-Angebot ist kein Angebot im Rahmen eines Employee Purchase Program. Die Rechte an der Work-at-Home-Lizenz verbleiben beim Select-, Select Plus- oder Konzernvertragskunden (nicht beim Mitarbeiter).</w:t>
      </w:r>
      <w:r w:rsidR="009E4976" w:rsidRPr="00BB5519">
        <w:rPr>
          <w:lang w:val="de-DE"/>
        </w:rPr>
        <w:t xml:space="preserve"> </w:t>
      </w:r>
      <w:r w:rsidRPr="00BB5519">
        <w:rPr>
          <w:lang w:val="de-DE"/>
        </w:rPr>
        <w:t>Weitere Informationen zu den Work-at-Home-Rechten, die berechtigten Kunden akademischer Einrichtungen zur Verfügung stehen, finden Sie im Vertrag/Beitritt.</w:t>
      </w:r>
      <w:r w:rsidR="009E4976" w:rsidRPr="00BB5519">
        <w:rPr>
          <w:lang w:val="de-DE"/>
        </w:rPr>
        <w:t xml:space="preserve"> </w:t>
      </w:r>
    </w:p>
    <w:p w:rsidR="00456002" w:rsidRPr="006F21F8" w:rsidRDefault="00023FE7" w:rsidP="00630D47">
      <w:pPr>
        <w:pStyle w:val="Heading1"/>
        <w:spacing w:before="0"/>
        <w:rPr>
          <w:lang w:val="de-DE"/>
        </w:rPr>
      </w:pPr>
      <w:bookmarkStart w:id="722" w:name="_Section_5_–"/>
      <w:bookmarkStart w:id="723" w:name="_Abschnitt_5_–"/>
      <w:bookmarkStart w:id="724" w:name="_Toc336338207"/>
      <w:bookmarkStart w:id="725" w:name="_Toc354054901"/>
      <w:bookmarkEnd w:id="722"/>
      <w:bookmarkEnd w:id="723"/>
      <w:r w:rsidRPr="006F21F8">
        <w:rPr>
          <w:lang w:val="de-DE"/>
        </w:rPr>
        <w:lastRenderedPageBreak/>
        <w:t>Abschnitt 5 –</w:t>
      </w:r>
      <w:bookmarkStart w:id="726" w:name="Sect5_OnlineServices"/>
      <w:r w:rsidRPr="006F21F8">
        <w:rPr>
          <w:lang w:val="de-DE"/>
        </w:rPr>
        <w:t xml:space="preserve"> PREISE UND ZAHLUNGSBESTIMMUNGEN FÜR ONLINEDIENSTE</w:t>
      </w:r>
      <w:bookmarkEnd w:id="724"/>
      <w:bookmarkEnd w:id="725"/>
      <w:bookmarkEnd w:id="726"/>
    </w:p>
    <w:p w:rsidR="002B3F83" w:rsidRPr="00D15040" w:rsidRDefault="002B3F83" w:rsidP="002B3F83">
      <w:pPr>
        <w:outlineLvl w:val="2"/>
        <w:rPr>
          <w:rFonts w:cs="Tahoma"/>
          <w:sz w:val="24"/>
          <w:szCs w:val="18"/>
          <w:lang w:val="de-DE"/>
        </w:rPr>
      </w:pPr>
    </w:p>
    <w:p w:rsidR="00456002" w:rsidRPr="00BB5519" w:rsidRDefault="00456002" w:rsidP="00017D8D">
      <w:pPr>
        <w:ind w:right="-270"/>
        <w:outlineLvl w:val="2"/>
        <w:rPr>
          <w:lang w:val="de-DE"/>
        </w:rPr>
      </w:pPr>
      <w:r w:rsidRPr="00BB5519">
        <w:rPr>
          <w:rFonts w:cs="Tahoma"/>
          <w:szCs w:val="18"/>
          <w:lang w:val="de-DE"/>
        </w:rPr>
        <w:t>Onlinedienste sind Produkte, die aus Software mit auf Abonnementbasis erhältlichen Diensten bestehen, wie in den Produktbenutzungsrechten beschrieben, und online zur Verfügung gestellt werden.</w:t>
      </w:r>
      <w:r w:rsidR="009E4976" w:rsidRPr="00BB5519">
        <w:rPr>
          <w:rFonts w:cs="Tahoma"/>
          <w:szCs w:val="18"/>
          <w:lang w:val="de-DE"/>
        </w:rPr>
        <w:t xml:space="preserve"> </w:t>
      </w:r>
      <w:r w:rsidRPr="00BB5519">
        <w:rPr>
          <w:rFonts w:cs="Tahoma"/>
          <w:szCs w:val="18"/>
          <w:lang w:val="de-DE"/>
        </w:rPr>
        <w:t>In einigen Volumenlizenzverträgen werden Kunden auf die Produktliste verwiesen, um eine Liste der verfügbaren „Onlinedienste“ zu erhalten. Im Sinne dieses Verweises umfassen Onlinedienste Folgendes:</w:t>
      </w:r>
    </w:p>
    <w:p w:rsidR="002D25C8" w:rsidRPr="002B3F83" w:rsidRDefault="002D25C8" w:rsidP="00212CC6">
      <w:pPr>
        <w:outlineLvl w:val="2"/>
        <w:rPr>
          <w:sz w:val="14"/>
          <w:szCs w:val="14"/>
          <w:lang w:val="de-DE"/>
        </w:rPr>
      </w:pPr>
    </w:p>
    <w:p w:rsidR="00456002" w:rsidRPr="00BB5519" w:rsidRDefault="00456002" w:rsidP="002B3F83">
      <w:pPr>
        <w:numPr>
          <w:ilvl w:val="0"/>
          <w:numId w:val="85"/>
        </w:numPr>
        <w:spacing w:after="40"/>
      </w:pPr>
      <w:r w:rsidRPr="00BB5519">
        <w:rPr>
          <w:rFonts w:eastAsia="Calibri" w:cs="Tahoma"/>
          <w:color w:val="000000"/>
          <w:szCs w:val="18"/>
        </w:rPr>
        <w:t>Dynamics CRM Online</w:t>
      </w:r>
    </w:p>
    <w:p w:rsidR="00456002" w:rsidRPr="00BB5519" w:rsidRDefault="00456002" w:rsidP="002B3F83">
      <w:pPr>
        <w:numPr>
          <w:ilvl w:val="0"/>
          <w:numId w:val="85"/>
        </w:numPr>
        <w:spacing w:after="40"/>
        <w:rPr>
          <w:lang w:val="de-DE"/>
        </w:rPr>
      </w:pPr>
      <w:r w:rsidRPr="00BB5519">
        <w:rPr>
          <w:rFonts w:eastAsia="Calibri" w:cs="Tahoma"/>
          <w:color w:val="000000"/>
          <w:szCs w:val="18"/>
          <w:lang w:val="de-DE"/>
        </w:rPr>
        <w:t>Exchange Online-Archivierung für Exchange Server</w:t>
      </w:r>
    </w:p>
    <w:p w:rsidR="00456002" w:rsidRPr="00BB5519" w:rsidRDefault="00456002" w:rsidP="002B3F83">
      <w:pPr>
        <w:numPr>
          <w:ilvl w:val="0"/>
          <w:numId w:val="85"/>
        </w:numPr>
        <w:spacing w:after="40"/>
        <w:rPr>
          <w:lang w:val="de-DE"/>
        </w:rPr>
      </w:pPr>
      <w:r w:rsidRPr="00BB5519">
        <w:rPr>
          <w:rFonts w:eastAsia="Calibri" w:cs="Tahoma"/>
          <w:color w:val="000000"/>
          <w:szCs w:val="18"/>
          <w:lang w:val="de-DE"/>
        </w:rPr>
        <w:t xml:space="preserve">Exchange Online Kiosk, Plan 1 und Plan 2 </w:t>
      </w:r>
    </w:p>
    <w:p w:rsidR="00456002" w:rsidRPr="00BB5519" w:rsidRDefault="00456002" w:rsidP="002B3F83">
      <w:pPr>
        <w:numPr>
          <w:ilvl w:val="0"/>
          <w:numId w:val="85"/>
        </w:numPr>
        <w:spacing w:after="40"/>
      </w:pPr>
      <w:r w:rsidRPr="00BB5519">
        <w:rPr>
          <w:rFonts w:eastAsia="Calibri" w:cs="Tahoma"/>
          <w:color w:val="000000"/>
          <w:szCs w:val="18"/>
        </w:rPr>
        <w:t>Lync Online Plan 1, 2 und 3</w:t>
      </w:r>
    </w:p>
    <w:p w:rsidR="00456002" w:rsidRPr="00BB5519" w:rsidRDefault="00456002" w:rsidP="002B3F83">
      <w:pPr>
        <w:numPr>
          <w:ilvl w:val="0"/>
          <w:numId w:val="85"/>
        </w:numPr>
        <w:spacing w:after="40"/>
      </w:pPr>
      <w:r w:rsidRPr="00BB5519">
        <w:rPr>
          <w:rFonts w:eastAsia="Calibri" w:cs="Tahoma"/>
          <w:color w:val="000000"/>
          <w:szCs w:val="18"/>
        </w:rPr>
        <w:t>Microsoft Exchange Hosted Continuity</w:t>
      </w:r>
    </w:p>
    <w:p w:rsidR="00456002" w:rsidRPr="00BB5519" w:rsidRDefault="00456002" w:rsidP="002B3F83">
      <w:pPr>
        <w:numPr>
          <w:ilvl w:val="0"/>
          <w:numId w:val="85"/>
        </w:numPr>
        <w:spacing w:after="40"/>
      </w:pPr>
      <w:r w:rsidRPr="00BB5519">
        <w:rPr>
          <w:rFonts w:eastAsia="Calibri" w:cs="Tahoma"/>
          <w:color w:val="000000"/>
          <w:szCs w:val="18"/>
        </w:rPr>
        <w:t>Microsoft Exchange Hosted Encryption</w:t>
      </w:r>
      <w:r w:rsidR="009E4976" w:rsidRPr="00BB5519">
        <w:rPr>
          <w:rFonts w:eastAsia="Calibri" w:cs="Tahoma"/>
          <w:color w:val="000000"/>
          <w:szCs w:val="18"/>
        </w:rPr>
        <w:t xml:space="preserve"> </w:t>
      </w:r>
    </w:p>
    <w:p w:rsidR="00456002" w:rsidRPr="00BB5519" w:rsidRDefault="00456002" w:rsidP="002B3F83">
      <w:pPr>
        <w:numPr>
          <w:ilvl w:val="0"/>
          <w:numId w:val="85"/>
        </w:numPr>
        <w:spacing w:after="40"/>
        <w:rPr>
          <w:lang w:val="it-IT"/>
        </w:rPr>
      </w:pPr>
      <w:r w:rsidRPr="00BB5519">
        <w:rPr>
          <w:rFonts w:eastAsia="Calibri" w:cs="Tahoma"/>
          <w:color w:val="000000"/>
          <w:szCs w:val="18"/>
          <w:lang w:val="it-IT"/>
        </w:rPr>
        <w:t>Office 365 Enterprise K1, E1, E2, E3 und E4</w:t>
      </w:r>
    </w:p>
    <w:p w:rsidR="00456002" w:rsidRPr="00BB5519" w:rsidRDefault="00456002" w:rsidP="002B3F83">
      <w:pPr>
        <w:numPr>
          <w:ilvl w:val="0"/>
          <w:numId w:val="85"/>
        </w:numPr>
        <w:spacing w:after="40"/>
      </w:pPr>
      <w:r w:rsidRPr="00BB5519">
        <w:rPr>
          <w:rFonts w:eastAsia="Calibri" w:cs="Tahoma"/>
          <w:color w:val="000000"/>
          <w:szCs w:val="18"/>
        </w:rPr>
        <w:t>Lync Server Public Instant Messaging Connectivity mit America Online (AOL) Instant Messaging Service und Windows Live Messenger Service</w:t>
      </w:r>
    </w:p>
    <w:p w:rsidR="00456002" w:rsidRPr="00BB5519" w:rsidRDefault="00456002" w:rsidP="002B3F83">
      <w:pPr>
        <w:numPr>
          <w:ilvl w:val="0"/>
          <w:numId w:val="85"/>
        </w:numPr>
        <w:spacing w:after="40"/>
      </w:pPr>
      <w:r w:rsidRPr="00BB5519">
        <w:rPr>
          <w:rFonts w:eastAsia="Calibri" w:cs="Tahoma"/>
          <w:color w:val="000000"/>
          <w:szCs w:val="18"/>
        </w:rPr>
        <w:t xml:space="preserve">Lync Server Public Instant Messaging Connectivity mit Instant Messaging Service von Yahoo </w:t>
      </w:r>
    </w:p>
    <w:p w:rsidR="00456002" w:rsidRPr="00BB5519" w:rsidRDefault="00456002" w:rsidP="002B3F83">
      <w:pPr>
        <w:numPr>
          <w:ilvl w:val="0"/>
          <w:numId w:val="85"/>
        </w:numPr>
        <w:spacing w:after="40"/>
      </w:pPr>
      <w:r w:rsidRPr="00BB5519">
        <w:rPr>
          <w:rFonts w:eastAsia="Calibri" w:cs="Tahoma"/>
          <w:color w:val="000000"/>
          <w:szCs w:val="18"/>
        </w:rPr>
        <w:t xml:space="preserve">Office Groove Enterprise Services </w:t>
      </w:r>
    </w:p>
    <w:p w:rsidR="00061A45" w:rsidRPr="00BB5519" w:rsidRDefault="008368B4" w:rsidP="002B3F83">
      <w:pPr>
        <w:numPr>
          <w:ilvl w:val="0"/>
          <w:numId w:val="85"/>
        </w:numPr>
        <w:spacing w:after="40"/>
      </w:pPr>
      <w:r w:rsidRPr="00BB5519">
        <w:rPr>
          <w:rFonts w:eastAsia="Calibri" w:cs="Tahoma"/>
          <w:color w:val="000000"/>
          <w:szCs w:val="18"/>
        </w:rPr>
        <w:t>Office 365 ProPlus</w:t>
      </w:r>
    </w:p>
    <w:p w:rsidR="00456002" w:rsidRPr="00BB5519" w:rsidRDefault="00456002" w:rsidP="002B3F83">
      <w:pPr>
        <w:numPr>
          <w:ilvl w:val="0"/>
          <w:numId w:val="85"/>
        </w:numPr>
        <w:spacing w:after="40"/>
      </w:pPr>
      <w:r w:rsidRPr="00BB5519">
        <w:rPr>
          <w:rFonts w:eastAsia="Calibri" w:cs="Tahoma"/>
          <w:color w:val="000000"/>
          <w:szCs w:val="18"/>
        </w:rPr>
        <w:t>Office Live Meeting Standard und Professional Edition</w:t>
      </w:r>
    </w:p>
    <w:p w:rsidR="008368B4" w:rsidRPr="00BB5519" w:rsidRDefault="008368B4" w:rsidP="002B3F83">
      <w:pPr>
        <w:numPr>
          <w:ilvl w:val="0"/>
          <w:numId w:val="85"/>
        </w:numPr>
        <w:spacing w:after="40"/>
      </w:pPr>
      <w:r w:rsidRPr="00BB5519">
        <w:rPr>
          <w:rFonts w:eastAsia="Calibri" w:cs="Tahoma"/>
          <w:color w:val="000000"/>
          <w:szCs w:val="18"/>
        </w:rPr>
        <w:t>Project Online</w:t>
      </w:r>
    </w:p>
    <w:p w:rsidR="008368B4" w:rsidRPr="00BB5519" w:rsidRDefault="008368B4" w:rsidP="002B3F83">
      <w:pPr>
        <w:numPr>
          <w:ilvl w:val="0"/>
          <w:numId w:val="85"/>
        </w:numPr>
        <w:spacing w:after="40"/>
      </w:pPr>
      <w:r w:rsidRPr="00BB5519">
        <w:rPr>
          <w:rFonts w:eastAsia="Calibri" w:cs="Tahoma"/>
          <w:color w:val="000000"/>
          <w:szCs w:val="18"/>
        </w:rPr>
        <w:t>Project Pro für Office 365</w:t>
      </w:r>
    </w:p>
    <w:p w:rsidR="00456002" w:rsidRPr="00BB5519" w:rsidRDefault="00456002" w:rsidP="002B3F83">
      <w:pPr>
        <w:numPr>
          <w:ilvl w:val="0"/>
          <w:numId w:val="85"/>
        </w:numPr>
        <w:spacing w:after="40"/>
      </w:pPr>
      <w:r w:rsidRPr="00BB5519">
        <w:rPr>
          <w:rFonts w:eastAsia="Calibri" w:cs="Tahoma"/>
          <w:color w:val="000000"/>
          <w:szCs w:val="18"/>
        </w:rPr>
        <w:t xml:space="preserve">SharePoint Online Plan 1 und Plan 2 </w:t>
      </w:r>
    </w:p>
    <w:p w:rsidR="00456002" w:rsidRPr="00BB5519" w:rsidRDefault="00456002" w:rsidP="002B3F83">
      <w:pPr>
        <w:numPr>
          <w:ilvl w:val="0"/>
          <w:numId w:val="85"/>
        </w:numPr>
        <w:spacing w:after="40"/>
      </w:pPr>
      <w:r w:rsidRPr="00BB5519">
        <w:rPr>
          <w:rFonts w:eastAsia="Calibri" w:cs="Tahoma"/>
          <w:color w:val="000000"/>
          <w:szCs w:val="18"/>
        </w:rPr>
        <w:t>System Center Advisor</w:t>
      </w:r>
    </w:p>
    <w:p w:rsidR="008368B4" w:rsidRPr="00BB5519" w:rsidRDefault="008368B4" w:rsidP="002B3F83">
      <w:pPr>
        <w:numPr>
          <w:ilvl w:val="0"/>
          <w:numId w:val="85"/>
        </w:numPr>
        <w:spacing w:after="40"/>
      </w:pPr>
      <w:r w:rsidRPr="00BB5519">
        <w:rPr>
          <w:rFonts w:eastAsia="Calibri" w:cs="Tahoma"/>
          <w:color w:val="000000"/>
          <w:szCs w:val="18"/>
        </w:rPr>
        <w:t>Visio Pro für Office 365</w:t>
      </w:r>
    </w:p>
    <w:p w:rsidR="00456002" w:rsidRPr="00BB5519" w:rsidRDefault="00456002" w:rsidP="002B3F83">
      <w:pPr>
        <w:numPr>
          <w:ilvl w:val="0"/>
          <w:numId w:val="85"/>
        </w:numPr>
        <w:spacing w:after="40"/>
      </w:pPr>
      <w:r w:rsidRPr="00BB5519">
        <w:rPr>
          <w:rFonts w:eastAsia="Calibri" w:cs="Tahoma"/>
          <w:color w:val="000000"/>
          <w:szCs w:val="18"/>
        </w:rPr>
        <w:t>Windows Azure-Dienste</w:t>
      </w:r>
    </w:p>
    <w:p w:rsidR="00456002" w:rsidRPr="00BB5519" w:rsidRDefault="00456002" w:rsidP="002B3F83">
      <w:pPr>
        <w:numPr>
          <w:ilvl w:val="0"/>
          <w:numId w:val="85"/>
        </w:numPr>
        <w:spacing w:after="40"/>
      </w:pPr>
      <w:r w:rsidRPr="00BB5519">
        <w:rPr>
          <w:rFonts w:eastAsia="Calibri" w:cs="Tahoma"/>
          <w:color w:val="000000"/>
          <w:szCs w:val="18"/>
        </w:rPr>
        <w:t>Windows Intune und Add-On für Windows Intune für System Center Configuration Manager und System Center Endpoint Protection</w:t>
      </w:r>
    </w:p>
    <w:p w:rsidR="002D25C8" w:rsidRPr="002B3F83" w:rsidRDefault="002D25C8" w:rsidP="00212CC6">
      <w:pPr>
        <w:rPr>
          <w:sz w:val="14"/>
          <w:szCs w:val="14"/>
        </w:rPr>
      </w:pPr>
    </w:p>
    <w:p w:rsidR="00456002" w:rsidRPr="00BB5519" w:rsidRDefault="00456002" w:rsidP="002B3F83">
      <w:pPr>
        <w:outlineLvl w:val="2"/>
        <w:rPr>
          <w:lang w:val="de-DE"/>
        </w:rPr>
      </w:pPr>
      <w:r w:rsidRPr="00BB5519">
        <w:rPr>
          <w:rFonts w:cs="Tahoma"/>
          <w:szCs w:val="18"/>
          <w:lang w:val="de-DE"/>
        </w:rPr>
        <w:t>Zusätzlich zu den genannten gibt es weitere Angebote, die im Abschnitt „Onlinedienste“ der Produktbenutzungsrechte aufgeführt werden.</w:t>
      </w:r>
      <w:r w:rsidR="009E4976" w:rsidRPr="00BB5519">
        <w:rPr>
          <w:rFonts w:cs="Tahoma"/>
          <w:szCs w:val="18"/>
          <w:lang w:val="de-DE"/>
        </w:rPr>
        <w:t xml:space="preserve"> </w:t>
      </w:r>
      <w:r w:rsidRPr="00BB5519">
        <w:rPr>
          <w:rFonts w:cs="Tahoma"/>
          <w:szCs w:val="18"/>
          <w:lang w:val="de-DE"/>
        </w:rPr>
        <w:t>Die übrigen Abschnitte dieser „Preise und Zahlungsbestimmungen für Onlinedienste“ gelten für die oben namentlich genannten Onlinedienste und diese weiteren Angebote.</w:t>
      </w:r>
    </w:p>
    <w:p w:rsidR="00116EDC" w:rsidRPr="002B3F83" w:rsidRDefault="00116EDC" w:rsidP="00116EDC">
      <w:pPr>
        <w:outlineLvl w:val="2"/>
        <w:rPr>
          <w:sz w:val="14"/>
          <w:szCs w:val="14"/>
          <w:lang w:val="de-DE"/>
        </w:rPr>
      </w:pPr>
    </w:p>
    <w:p w:rsidR="00456002" w:rsidRPr="00BB5519" w:rsidRDefault="00456002" w:rsidP="00456002">
      <w:pPr>
        <w:pStyle w:val="Heading2"/>
        <w:ind w:left="0"/>
        <w:rPr>
          <w:lang w:val="de-DE"/>
        </w:rPr>
      </w:pPr>
      <w:bookmarkStart w:id="727" w:name="_Toc336338208"/>
      <w:bookmarkStart w:id="728" w:name="_Toc354054902"/>
      <w:r w:rsidRPr="00BB5519">
        <w:rPr>
          <w:rFonts w:ascii="Tahoma" w:hAnsi="Tahoma" w:cs="Tahoma"/>
          <w:lang w:val="de-DE"/>
        </w:rPr>
        <w:t>Laufzeit eines Onlinedienste-Abonnements</w:t>
      </w:r>
      <w:bookmarkEnd w:id="727"/>
      <w:bookmarkEnd w:id="728"/>
    </w:p>
    <w:p w:rsidR="00456002" w:rsidRPr="002B3F83" w:rsidRDefault="00456002" w:rsidP="00116EDC">
      <w:pPr>
        <w:outlineLvl w:val="2"/>
        <w:rPr>
          <w:sz w:val="14"/>
          <w:szCs w:val="14"/>
          <w:lang w:val="de-DE"/>
        </w:rPr>
      </w:pPr>
    </w:p>
    <w:p w:rsidR="001C1727" w:rsidRPr="00BB5519" w:rsidRDefault="00456002" w:rsidP="002B3F83">
      <w:pPr>
        <w:ind w:right="90"/>
        <w:outlineLvl w:val="2"/>
        <w:rPr>
          <w:lang w:val="de-DE"/>
        </w:rPr>
      </w:pPr>
      <w:r w:rsidRPr="00BB5519">
        <w:rPr>
          <w:rFonts w:cs="Tahoma"/>
          <w:szCs w:val="18"/>
          <w:lang w:val="de-DE"/>
        </w:rPr>
        <w:t>Der erste Erwerb eines neuen Onlinedienste-Abonnements bestimmt die Laufzeitdauer des Abonnements.</w:t>
      </w:r>
      <w:r w:rsidR="009E4976" w:rsidRPr="00BB5519">
        <w:rPr>
          <w:rFonts w:cs="Tahoma"/>
          <w:szCs w:val="18"/>
          <w:lang w:val="de-DE"/>
        </w:rPr>
        <w:t xml:space="preserve"> </w:t>
      </w:r>
      <w:r w:rsidRPr="00BB5519">
        <w:rPr>
          <w:rFonts w:cs="Tahoma"/>
          <w:szCs w:val="18"/>
          <w:lang w:val="de-DE"/>
        </w:rPr>
        <w:t>Bei einigen Diensten kann der Kunde entweder eine einjährige Abonnementlaufzeit oder ein Abonnement wählen, das am selben Datum wie der Vertrag des Kunden oder am Enddatum des Beitritts endet („identische Laufzeit“), wie in der Tabelle unten angegeben.</w:t>
      </w:r>
      <w:r w:rsidR="009E4976" w:rsidRPr="00BB5519">
        <w:rPr>
          <w:rFonts w:cs="Tahoma"/>
          <w:szCs w:val="18"/>
          <w:lang w:val="de-DE"/>
        </w:rPr>
        <w:t xml:space="preserve"> </w:t>
      </w:r>
      <w:r w:rsidRPr="00BB5519">
        <w:rPr>
          <w:rFonts w:cs="Tahoma"/>
          <w:szCs w:val="18"/>
          <w:lang w:val="de-DE"/>
        </w:rPr>
        <w:t>Select Plus verfügt nicht über die Option der identischen Laufzeit, bietet dem Kunden jedoch die Wahl bei der Abonnementlaufzeit, darunter 1 Jahr oder 3 Jahre, sowie die Möglichkeit, die Laufzeit auf den 2.</w:t>
      </w:r>
      <w:r w:rsidR="002B3F83">
        <w:rPr>
          <w:rFonts w:cs="Tahoma"/>
          <w:szCs w:val="18"/>
          <w:lang w:val="de-DE"/>
        </w:rPr>
        <w:t> </w:t>
      </w:r>
      <w:r w:rsidRPr="00BB5519">
        <w:rPr>
          <w:rFonts w:cs="Tahoma"/>
          <w:szCs w:val="18"/>
          <w:lang w:val="de-DE"/>
        </w:rPr>
        <w:t>Jahrestag ab dem Startdatum der Laufzeit abzustimmen.</w:t>
      </w:r>
      <w:r w:rsidR="009E4976" w:rsidRPr="00BB5519">
        <w:rPr>
          <w:rFonts w:cs="Tahoma"/>
          <w:szCs w:val="18"/>
          <w:lang w:val="de-DE"/>
        </w:rPr>
        <w:t xml:space="preserve"> </w:t>
      </w:r>
      <w:r w:rsidRPr="00BB5519">
        <w:rPr>
          <w:rFonts w:cs="Tahoma"/>
          <w:szCs w:val="18"/>
          <w:lang w:val="de-DE"/>
        </w:rPr>
        <w:t>Eine einjährige Abonnementlaufzeit kann möglicherweise nicht auf das Enddatum des Kundenvertrages abgestimmt werden und läuft womöglich nicht an diesem Tag ab.</w:t>
      </w:r>
      <w:r w:rsidR="009E4976" w:rsidRPr="00BB5519">
        <w:rPr>
          <w:rFonts w:cs="Tahoma"/>
          <w:szCs w:val="18"/>
          <w:lang w:val="de-DE"/>
        </w:rPr>
        <w:t xml:space="preserve"> </w:t>
      </w:r>
      <w:r w:rsidRPr="00BB5519">
        <w:rPr>
          <w:rFonts w:cs="Tahoma"/>
          <w:szCs w:val="18"/>
          <w:lang w:val="de-DE"/>
        </w:rPr>
        <w:t>Wenn die einjährige Abonnementlaufzeit nach dem Vertrag endet, muss der Kunde über einen aktiven Volumenlizenzvertrag verfügen, um zusätzliche Lizenzen zu bestellen oder den Dienst verlängern zu können.</w:t>
      </w:r>
      <w:r w:rsidR="009E4976" w:rsidRPr="00BB5519">
        <w:rPr>
          <w:rFonts w:cs="Tahoma"/>
          <w:szCs w:val="18"/>
          <w:lang w:val="de-DE"/>
        </w:rPr>
        <w:t xml:space="preserve"> </w:t>
      </w:r>
      <w:r w:rsidRPr="00BB5519">
        <w:rPr>
          <w:rFonts w:cs="Tahoma"/>
          <w:szCs w:val="18"/>
          <w:lang w:val="de-DE"/>
        </w:rPr>
        <w:t>Wenn der Kunde zusätzliche Dienste erwirbt, muss die Abonnementlaufzeit des zusätzlichen Erwerbs mit der bestehenden Abonnementlaufzeit des Kunden für denselben Service übereinstimmen.</w:t>
      </w:r>
      <w:r w:rsidR="009E4976" w:rsidRPr="00BB5519">
        <w:rPr>
          <w:rFonts w:cs="Tahoma"/>
          <w:szCs w:val="18"/>
          <w:lang w:val="de-DE"/>
        </w:rPr>
        <w:t xml:space="preserve"> </w:t>
      </w:r>
      <w:r w:rsidRPr="00BB5519">
        <w:rPr>
          <w:rFonts w:cs="Tahoma"/>
          <w:szCs w:val="18"/>
          <w:lang w:val="de-DE"/>
        </w:rPr>
        <w:t>Wenn die Preise für zusätzliche Bestellungen von Produkten oder Diensten im vorhandenen Vertrag des Kunden nicht genannt werden, ist der Preis, den wir dem eingetragenen Rechnungsempfänger für zusätzliche Mengen von Diensten in Rechnung stellen, der gleiche Preis wie beim ersten Erwerb.</w:t>
      </w:r>
      <w:r w:rsidR="009E4976" w:rsidRPr="00BB5519">
        <w:rPr>
          <w:rFonts w:cs="Tahoma"/>
          <w:szCs w:val="18"/>
          <w:lang w:val="de-DE"/>
        </w:rPr>
        <w:t xml:space="preserve"> </w:t>
      </w:r>
      <w:r w:rsidRPr="00BB5519">
        <w:rPr>
          <w:rFonts w:cs="Tahoma"/>
          <w:szCs w:val="18"/>
          <w:lang w:val="de-DE"/>
        </w:rPr>
        <w:t xml:space="preserve">Spezifische Informationen zu Windows Azure-Diensten finden Sie unten im Abschnitt „Windows Azure-Dienste“. </w:t>
      </w:r>
      <w:r w:rsidR="001C1727" w:rsidRPr="00BB5519">
        <w:rPr>
          <w:lang w:val="de-DE"/>
        </w:rPr>
        <w:br w:type="page"/>
      </w:r>
    </w:p>
    <w:tbl>
      <w:tblPr>
        <w:tblW w:w="0" w:type="auto"/>
        <w:tblInd w:w="108" w:type="dxa"/>
        <w:tblCellMar>
          <w:left w:w="0" w:type="dxa"/>
          <w:right w:w="0" w:type="dxa"/>
        </w:tblCellMar>
        <w:tblLook w:val="04A0" w:firstRow="1" w:lastRow="0" w:firstColumn="1" w:lastColumn="0" w:noHBand="0" w:noVBand="1"/>
      </w:tblPr>
      <w:tblGrid>
        <w:gridCol w:w="4452"/>
        <w:gridCol w:w="4780"/>
      </w:tblGrid>
      <w:tr w:rsidR="00456002" w:rsidRPr="006F21F8" w:rsidTr="00017D8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BB5519" w:rsidRDefault="00456002" w:rsidP="005C647E">
            <w:pPr>
              <w:jc w:val="center"/>
              <w:rPr>
                <w:rFonts w:eastAsia="Calibri" w:cs="Tahoma"/>
                <w:b/>
                <w:bCs/>
                <w:sz w:val="20"/>
                <w:szCs w:val="18"/>
                <w:lang w:val="de-DE"/>
              </w:rPr>
            </w:pPr>
            <w:r w:rsidRPr="00BB5519">
              <w:rPr>
                <w:rFonts w:eastAsia="Calibri" w:cs="Tahoma"/>
                <w:b/>
                <w:bCs/>
                <w:sz w:val="20"/>
                <w:szCs w:val="18"/>
                <w:lang w:val="de-DE"/>
              </w:rPr>
              <w:lastRenderedPageBreak/>
              <w:t>Verfügbare Onlinedienste für ein Abonnement mit einer Laufzeit von einem Jahr oder mit identischer Laufzeit</w:t>
            </w:r>
          </w:p>
        </w:tc>
        <w:tc>
          <w:tcPr>
            <w:tcW w:w="480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BB5519" w:rsidRDefault="00456002" w:rsidP="005C647E">
            <w:pPr>
              <w:jc w:val="center"/>
              <w:rPr>
                <w:rFonts w:eastAsia="Calibri" w:cs="Tahoma"/>
                <w:b/>
                <w:bCs/>
                <w:sz w:val="20"/>
                <w:szCs w:val="18"/>
                <w:lang w:val="de-DE"/>
              </w:rPr>
            </w:pPr>
            <w:r w:rsidRPr="00BB5519">
              <w:rPr>
                <w:rFonts w:eastAsia="Calibri" w:cs="Tahoma"/>
                <w:b/>
                <w:bCs/>
                <w:sz w:val="20"/>
                <w:szCs w:val="18"/>
                <w:lang w:val="de-DE"/>
              </w:rPr>
              <w:t>Verfügbare Onlinedienste nur für ein Abonnement mit identischer Laufzeit</w:t>
            </w:r>
          </w:p>
        </w:tc>
      </w:tr>
      <w:tr w:rsidR="00456002" w:rsidRPr="00BB5519" w:rsidTr="00017D8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BB5519" w:rsidRDefault="00456002" w:rsidP="002C1048">
            <w:pPr>
              <w:numPr>
                <w:ilvl w:val="0"/>
                <w:numId w:val="86"/>
              </w:numPr>
              <w:spacing w:after="60"/>
              <w:ind w:left="720" w:right="259"/>
            </w:pPr>
            <w:r w:rsidRPr="00BB5519">
              <w:rPr>
                <w:rFonts w:eastAsia="Calibri" w:cs="Tahoma"/>
                <w:color w:val="000000"/>
                <w:szCs w:val="18"/>
              </w:rPr>
              <w:t>Bing Maps Professional</w:t>
            </w:r>
          </w:p>
          <w:p w:rsidR="00456002" w:rsidRPr="00BB5519" w:rsidRDefault="00456002" w:rsidP="002C1048">
            <w:pPr>
              <w:numPr>
                <w:ilvl w:val="0"/>
                <w:numId w:val="86"/>
              </w:numPr>
              <w:spacing w:after="60"/>
              <w:ind w:left="720" w:right="259"/>
            </w:pPr>
            <w:r w:rsidRPr="00BB5519">
              <w:rPr>
                <w:rFonts w:eastAsia="Calibri" w:cs="Tahoma"/>
                <w:color w:val="000000"/>
                <w:szCs w:val="18"/>
              </w:rPr>
              <w:t>Exchange Online Protection</w:t>
            </w:r>
          </w:p>
          <w:p w:rsidR="00456002" w:rsidRPr="00BB5519" w:rsidRDefault="00456002" w:rsidP="00017D8D">
            <w:pPr>
              <w:numPr>
                <w:ilvl w:val="0"/>
                <w:numId w:val="86"/>
              </w:numPr>
              <w:spacing w:after="60"/>
              <w:ind w:left="720" w:right="259"/>
            </w:pPr>
            <w:r w:rsidRPr="00BB5519">
              <w:rPr>
                <w:rFonts w:eastAsia="Calibri" w:cs="Tahoma"/>
                <w:color w:val="000000"/>
                <w:szCs w:val="18"/>
              </w:rPr>
              <w:t>Forefront Protection 2010 für Exchange</w:t>
            </w:r>
            <w:r w:rsidR="00017D8D">
              <w:rPr>
                <w:rFonts w:eastAsia="Calibri" w:cs="Tahoma"/>
                <w:color w:val="000000"/>
                <w:szCs w:val="18"/>
              </w:rPr>
              <w:t> </w:t>
            </w:r>
            <w:r w:rsidRPr="00BB5519">
              <w:rPr>
                <w:rFonts w:eastAsia="Calibri" w:cs="Tahoma"/>
                <w:color w:val="000000"/>
                <w:szCs w:val="18"/>
              </w:rPr>
              <w:t>Server</w:t>
            </w:r>
          </w:p>
          <w:p w:rsidR="00456002" w:rsidRPr="00BB5519" w:rsidRDefault="00456002" w:rsidP="002C1048">
            <w:pPr>
              <w:numPr>
                <w:ilvl w:val="0"/>
                <w:numId w:val="86"/>
              </w:numPr>
              <w:spacing w:after="60"/>
              <w:ind w:left="720" w:right="259"/>
            </w:pPr>
            <w:r w:rsidRPr="00BB5519">
              <w:rPr>
                <w:rFonts w:eastAsia="Calibri" w:cs="Tahoma"/>
                <w:color w:val="000000"/>
                <w:szCs w:val="18"/>
              </w:rPr>
              <w:t xml:space="preserve">Forefront Protection 2010 für SharePoint </w:t>
            </w:r>
          </w:p>
          <w:p w:rsidR="00456002" w:rsidRPr="00BB5519" w:rsidRDefault="00456002" w:rsidP="002C1048">
            <w:pPr>
              <w:numPr>
                <w:ilvl w:val="0"/>
                <w:numId w:val="86"/>
              </w:numPr>
              <w:spacing w:after="60"/>
              <w:ind w:left="720" w:right="259"/>
            </w:pPr>
            <w:r w:rsidRPr="00BB5519">
              <w:rPr>
                <w:rFonts w:eastAsia="Calibri" w:cs="Tahoma"/>
                <w:color w:val="000000"/>
                <w:szCs w:val="18"/>
              </w:rPr>
              <w:t>Forefront Protection Suite</w:t>
            </w:r>
          </w:p>
          <w:p w:rsidR="00456002" w:rsidRPr="00BB5519" w:rsidRDefault="00456002" w:rsidP="002C1048">
            <w:pPr>
              <w:numPr>
                <w:ilvl w:val="0"/>
                <w:numId w:val="86"/>
              </w:numPr>
              <w:spacing w:after="60"/>
              <w:ind w:left="720" w:right="259"/>
            </w:pPr>
            <w:r w:rsidRPr="00BB5519">
              <w:rPr>
                <w:rFonts w:eastAsia="Calibri" w:cs="Tahoma"/>
                <w:color w:val="000000"/>
                <w:szCs w:val="18"/>
              </w:rPr>
              <w:t>Forefront Security für Office Communications Server</w:t>
            </w:r>
          </w:p>
          <w:p w:rsidR="00456002" w:rsidRPr="00BB5519" w:rsidRDefault="00456002" w:rsidP="002C1048">
            <w:pPr>
              <w:numPr>
                <w:ilvl w:val="0"/>
                <w:numId w:val="86"/>
              </w:numPr>
              <w:spacing w:after="60"/>
              <w:ind w:left="720" w:right="259"/>
            </w:pPr>
            <w:r w:rsidRPr="00BB5519">
              <w:rPr>
                <w:rFonts w:eastAsia="Calibri" w:cs="Tahoma"/>
                <w:color w:val="000000"/>
                <w:szCs w:val="18"/>
              </w:rPr>
              <w:t>Forefront Threat Management Gateway Web Protection Service</w:t>
            </w:r>
          </w:p>
          <w:p w:rsidR="00456002" w:rsidRPr="00BB5519" w:rsidRDefault="00456002" w:rsidP="002C1048">
            <w:pPr>
              <w:numPr>
                <w:ilvl w:val="0"/>
                <w:numId w:val="86"/>
              </w:numPr>
              <w:spacing w:after="60"/>
              <w:ind w:left="720" w:right="259"/>
            </w:pPr>
            <w:r w:rsidRPr="00BB5519">
              <w:rPr>
                <w:rFonts w:eastAsia="Calibri" w:cs="Tahoma"/>
                <w:color w:val="000000"/>
                <w:szCs w:val="18"/>
              </w:rPr>
              <w:t>Lync Server Public Instant Messaging Connectivity mit America Online (AOL) Instant Messaging Service und Windows Live Messenger Service</w:t>
            </w:r>
          </w:p>
          <w:p w:rsidR="00456002" w:rsidRPr="00BB5519" w:rsidRDefault="00456002" w:rsidP="002C1048">
            <w:pPr>
              <w:numPr>
                <w:ilvl w:val="0"/>
                <w:numId w:val="86"/>
              </w:numPr>
              <w:spacing w:after="60"/>
              <w:ind w:left="720" w:right="259"/>
            </w:pPr>
            <w:r w:rsidRPr="00BB5519">
              <w:rPr>
                <w:rFonts w:eastAsia="Calibri" w:cs="Tahoma"/>
                <w:color w:val="000000"/>
                <w:szCs w:val="18"/>
              </w:rPr>
              <w:t xml:space="preserve">Lync Server Public Instant Messaging Connectivity mit Instant Messaging Service von Yahoo </w:t>
            </w:r>
          </w:p>
          <w:p w:rsidR="00456002" w:rsidRPr="00BB5519" w:rsidRDefault="00456002" w:rsidP="002C1048">
            <w:pPr>
              <w:numPr>
                <w:ilvl w:val="0"/>
                <w:numId w:val="86"/>
              </w:numPr>
              <w:spacing w:after="60"/>
              <w:ind w:left="720" w:right="259"/>
            </w:pPr>
            <w:r w:rsidRPr="00BB5519">
              <w:rPr>
                <w:rFonts w:eastAsia="Calibri" w:cs="Tahoma"/>
                <w:color w:val="000000"/>
                <w:szCs w:val="18"/>
              </w:rPr>
              <w:t>Microsoft Exchange Hosted Encryption</w:t>
            </w:r>
            <w:r w:rsidR="009E4976" w:rsidRPr="00BB5519">
              <w:rPr>
                <w:rFonts w:eastAsia="Calibri" w:cs="Tahoma"/>
                <w:color w:val="000000"/>
                <w:szCs w:val="18"/>
              </w:rPr>
              <w:t xml:space="preserve"> </w:t>
            </w:r>
          </w:p>
          <w:p w:rsidR="00456002" w:rsidRPr="00BB5519" w:rsidRDefault="00456002" w:rsidP="002C1048">
            <w:pPr>
              <w:numPr>
                <w:ilvl w:val="0"/>
                <w:numId w:val="86"/>
              </w:numPr>
              <w:spacing w:after="60"/>
              <w:ind w:left="720" w:right="259"/>
            </w:pPr>
            <w:r w:rsidRPr="00BB5519">
              <w:rPr>
                <w:rFonts w:eastAsia="Calibri" w:cs="Tahoma"/>
                <w:color w:val="000000"/>
                <w:szCs w:val="18"/>
              </w:rPr>
              <w:t>Microsoft Learning Solutions</w:t>
            </w:r>
          </w:p>
          <w:p w:rsidR="00456002" w:rsidRPr="00BB5519" w:rsidRDefault="00456002" w:rsidP="002C1048">
            <w:pPr>
              <w:numPr>
                <w:ilvl w:val="0"/>
                <w:numId w:val="86"/>
              </w:numPr>
              <w:spacing w:after="60"/>
              <w:ind w:left="720" w:right="259"/>
            </w:pPr>
            <w:r w:rsidRPr="00BB5519">
              <w:rPr>
                <w:rFonts w:eastAsia="Calibri" w:cs="Tahoma"/>
                <w:color w:val="000000"/>
                <w:szCs w:val="18"/>
              </w:rPr>
              <w:t>Office Groove Enterprise Services</w:t>
            </w:r>
          </w:p>
          <w:p w:rsidR="00456002" w:rsidRPr="00BB5519" w:rsidRDefault="00456002" w:rsidP="002C1048">
            <w:pPr>
              <w:numPr>
                <w:ilvl w:val="0"/>
                <w:numId w:val="86"/>
              </w:numPr>
              <w:spacing w:after="60"/>
              <w:ind w:left="720" w:right="259"/>
            </w:pPr>
            <w:r w:rsidRPr="00BB5519">
              <w:rPr>
                <w:rFonts w:eastAsia="Calibri" w:cs="Tahoma"/>
                <w:color w:val="000000"/>
                <w:szCs w:val="18"/>
              </w:rPr>
              <w:t>System Center 2012 Endpoint Protection</w:t>
            </w:r>
          </w:p>
          <w:p w:rsidR="00456002" w:rsidRPr="00BB5519" w:rsidRDefault="00456002" w:rsidP="002C1048">
            <w:pPr>
              <w:numPr>
                <w:ilvl w:val="0"/>
                <w:numId w:val="86"/>
              </w:numPr>
              <w:spacing w:after="60"/>
              <w:ind w:left="720" w:right="259"/>
            </w:pPr>
            <w:r w:rsidRPr="00BB5519">
              <w:rPr>
                <w:rFonts w:eastAsia="Calibri" w:cs="Tahoma"/>
                <w:color w:val="000000"/>
                <w:szCs w:val="18"/>
              </w:rPr>
              <w:t xml:space="preserve">Web-Antimalware-Abonnement für Forefront Threat Management Gateway Medium Business Edition </w:t>
            </w:r>
          </w:p>
          <w:p w:rsidR="00456002" w:rsidRPr="00BB5519" w:rsidRDefault="00456002" w:rsidP="002C1048">
            <w:pPr>
              <w:numPr>
                <w:ilvl w:val="0"/>
                <w:numId w:val="86"/>
              </w:numPr>
              <w:spacing w:after="60"/>
              <w:ind w:left="720" w:right="259"/>
              <w:rPr>
                <w:rFonts w:eastAsia="Calibri" w:cs="Tahoma"/>
                <w:color w:val="000000"/>
                <w:szCs w:val="18"/>
              </w:rPr>
            </w:pPr>
            <w:r w:rsidRPr="00BB5519">
              <w:rPr>
                <w:rFonts w:eastAsia="Calibri" w:cs="Tahoma"/>
                <w:color w:val="000000"/>
                <w:szCs w:val="18"/>
              </w:rPr>
              <w:t>Windows Azure-Dienste</w:t>
            </w:r>
          </w:p>
        </w:tc>
        <w:tc>
          <w:tcPr>
            <w:tcW w:w="4801" w:type="dxa"/>
            <w:tcBorders>
              <w:top w:val="nil"/>
              <w:left w:val="nil"/>
              <w:bottom w:val="single" w:sz="8" w:space="0" w:color="auto"/>
              <w:right w:val="single" w:sz="8" w:space="0" w:color="auto"/>
            </w:tcBorders>
            <w:tcMar>
              <w:top w:w="0" w:type="dxa"/>
              <w:left w:w="108" w:type="dxa"/>
              <w:bottom w:w="0" w:type="dxa"/>
              <w:right w:w="108" w:type="dxa"/>
            </w:tcMar>
          </w:tcPr>
          <w:p w:rsidR="00456002" w:rsidRPr="00BB5519" w:rsidRDefault="00456002" w:rsidP="002C1048">
            <w:pPr>
              <w:numPr>
                <w:ilvl w:val="0"/>
                <w:numId w:val="87"/>
              </w:numPr>
              <w:spacing w:after="60"/>
              <w:ind w:left="576" w:right="187"/>
            </w:pPr>
            <w:r w:rsidRPr="00BB5519">
              <w:rPr>
                <w:rFonts w:eastAsia="Calibri" w:cs="Tahoma"/>
                <w:color w:val="000000"/>
                <w:szCs w:val="18"/>
              </w:rPr>
              <w:t xml:space="preserve">Dynamics CRM Online </w:t>
            </w:r>
          </w:p>
          <w:p w:rsidR="00456002" w:rsidRPr="00BB5519" w:rsidRDefault="00456002" w:rsidP="002C1048">
            <w:pPr>
              <w:numPr>
                <w:ilvl w:val="0"/>
                <w:numId w:val="87"/>
              </w:numPr>
              <w:spacing w:after="60"/>
              <w:ind w:left="576" w:right="187"/>
            </w:pPr>
            <w:r w:rsidRPr="00BB5519">
              <w:rPr>
                <w:rFonts w:eastAsia="Calibri" w:cs="Tahoma"/>
                <w:color w:val="000000"/>
                <w:szCs w:val="18"/>
              </w:rPr>
              <w:t>Dynamics Mobile</w:t>
            </w:r>
          </w:p>
          <w:p w:rsidR="00456002" w:rsidRPr="00BB5519" w:rsidRDefault="00456002" w:rsidP="002C1048">
            <w:pPr>
              <w:numPr>
                <w:ilvl w:val="0"/>
                <w:numId w:val="87"/>
              </w:numPr>
              <w:spacing w:after="60"/>
              <w:ind w:left="576" w:right="187"/>
            </w:pPr>
            <w:r w:rsidRPr="00BB5519">
              <w:rPr>
                <w:rFonts w:eastAsia="Calibri" w:cs="Tahoma"/>
                <w:color w:val="000000"/>
                <w:szCs w:val="18"/>
              </w:rPr>
              <w:t>Dynamics Onprem Mobile</w:t>
            </w:r>
          </w:p>
          <w:p w:rsidR="009B3FA2" w:rsidRPr="00BB5519" w:rsidRDefault="009B3FA2" w:rsidP="002B3F83">
            <w:pPr>
              <w:numPr>
                <w:ilvl w:val="0"/>
                <w:numId w:val="87"/>
              </w:numPr>
              <w:spacing w:after="60"/>
              <w:ind w:left="576" w:right="187"/>
              <w:rPr>
                <w:lang w:val="de-DE"/>
              </w:rPr>
            </w:pPr>
            <w:r w:rsidRPr="00BB5519">
              <w:rPr>
                <w:rFonts w:eastAsia="Calibri" w:cs="Tahoma"/>
                <w:color w:val="000000"/>
                <w:szCs w:val="18"/>
                <w:lang w:val="de-DE"/>
              </w:rPr>
              <w:t>Exchange Online-Archivierung für Exchange</w:t>
            </w:r>
            <w:r w:rsidR="002B3F83">
              <w:rPr>
                <w:rFonts w:eastAsia="Calibri" w:cs="Tahoma"/>
                <w:color w:val="000000"/>
                <w:szCs w:val="18"/>
                <w:lang w:val="de-DE"/>
              </w:rPr>
              <w:t> </w:t>
            </w:r>
            <w:r w:rsidRPr="00BB5519">
              <w:rPr>
                <w:rFonts w:eastAsia="Calibri" w:cs="Tahoma"/>
                <w:color w:val="000000"/>
                <w:szCs w:val="18"/>
                <w:lang w:val="de-DE"/>
              </w:rPr>
              <w:t>Online</w:t>
            </w:r>
          </w:p>
          <w:p w:rsidR="00456002" w:rsidRPr="00BB5519" w:rsidRDefault="00456002" w:rsidP="002B3F83">
            <w:pPr>
              <w:numPr>
                <w:ilvl w:val="0"/>
                <w:numId w:val="87"/>
              </w:numPr>
              <w:spacing w:after="60"/>
              <w:ind w:left="576" w:right="187"/>
              <w:rPr>
                <w:lang w:val="de-DE"/>
              </w:rPr>
            </w:pPr>
            <w:r w:rsidRPr="00BB5519">
              <w:rPr>
                <w:rFonts w:eastAsia="Calibri" w:cs="Tahoma"/>
                <w:color w:val="000000"/>
                <w:szCs w:val="18"/>
                <w:lang w:val="de-DE"/>
              </w:rPr>
              <w:t>Exchange Online-Archivierung für Exchange</w:t>
            </w:r>
            <w:r w:rsidR="002B3F83">
              <w:rPr>
                <w:rFonts w:eastAsia="Calibri" w:cs="Tahoma"/>
                <w:color w:val="000000"/>
                <w:szCs w:val="18"/>
                <w:lang w:val="de-DE"/>
              </w:rPr>
              <w:t> </w:t>
            </w:r>
            <w:r w:rsidRPr="00BB5519">
              <w:rPr>
                <w:rFonts w:eastAsia="Calibri" w:cs="Tahoma"/>
                <w:color w:val="000000"/>
                <w:szCs w:val="18"/>
                <w:lang w:val="de-DE"/>
              </w:rPr>
              <w:t>Server</w:t>
            </w:r>
          </w:p>
          <w:p w:rsidR="00456002" w:rsidRPr="00BB5519" w:rsidRDefault="00456002" w:rsidP="002C1048">
            <w:pPr>
              <w:numPr>
                <w:ilvl w:val="0"/>
                <w:numId w:val="87"/>
              </w:numPr>
              <w:spacing w:after="60"/>
              <w:ind w:left="576" w:right="187"/>
              <w:rPr>
                <w:lang w:val="de-DE"/>
              </w:rPr>
            </w:pPr>
            <w:r w:rsidRPr="00BB5519">
              <w:rPr>
                <w:rFonts w:eastAsia="Calibri" w:cs="Tahoma"/>
                <w:color w:val="000000"/>
                <w:szCs w:val="18"/>
                <w:lang w:val="de-DE"/>
              </w:rPr>
              <w:t xml:space="preserve">Exchange Online Kiosk, Plan 1 und Plan 2 </w:t>
            </w:r>
          </w:p>
          <w:p w:rsidR="00456002" w:rsidRPr="00BB5519" w:rsidRDefault="00456002" w:rsidP="002C1048">
            <w:pPr>
              <w:numPr>
                <w:ilvl w:val="0"/>
                <w:numId w:val="87"/>
              </w:numPr>
              <w:spacing w:after="60"/>
              <w:ind w:left="576" w:right="187"/>
            </w:pPr>
            <w:r w:rsidRPr="00BB5519">
              <w:rPr>
                <w:rFonts w:eastAsia="Calibri" w:cs="Tahoma"/>
                <w:color w:val="000000"/>
                <w:szCs w:val="18"/>
              </w:rPr>
              <w:t>Lync Online Plan 1, 2 und 3</w:t>
            </w:r>
          </w:p>
          <w:p w:rsidR="009B3FA2" w:rsidRPr="00BB5519" w:rsidRDefault="00456002" w:rsidP="002C1048">
            <w:pPr>
              <w:numPr>
                <w:ilvl w:val="0"/>
                <w:numId w:val="87"/>
              </w:numPr>
              <w:spacing w:after="60"/>
              <w:ind w:left="576" w:right="187"/>
            </w:pPr>
            <w:r w:rsidRPr="00BB5519">
              <w:rPr>
                <w:rFonts w:eastAsia="Calibri" w:cs="Tahoma"/>
                <w:color w:val="000000"/>
                <w:szCs w:val="18"/>
              </w:rPr>
              <w:t>Office 365 Education A2, A3 und A4</w:t>
            </w:r>
          </w:p>
          <w:p w:rsidR="00456002" w:rsidRPr="00BB5519" w:rsidRDefault="009B3FA2" w:rsidP="002C1048">
            <w:pPr>
              <w:numPr>
                <w:ilvl w:val="0"/>
                <w:numId w:val="87"/>
              </w:numPr>
              <w:spacing w:after="60"/>
              <w:ind w:left="576" w:right="187"/>
              <w:rPr>
                <w:lang w:val="it-IT"/>
              </w:rPr>
            </w:pPr>
            <w:r w:rsidRPr="00BB5519">
              <w:rPr>
                <w:rFonts w:eastAsia="Calibri" w:cs="Tahoma"/>
                <w:color w:val="000000"/>
                <w:szCs w:val="18"/>
                <w:lang w:val="it-IT"/>
              </w:rPr>
              <w:t>Office 365 Enterprise K1, K2, E1, E2, E3 und E4</w:t>
            </w:r>
          </w:p>
          <w:p w:rsidR="00061A45" w:rsidRPr="00BB5519" w:rsidRDefault="008368B4" w:rsidP="002C1048">
            <w:pPr>
              <w:numPr>
                <w:ilvl w:val="0"/>
                <w:numId w:val="87"/>
              </w:numPr>
              <w:spacing w:after="60"/>
              <w:ind w:left="576" w:right="187"/>
            </w:pPr>
            <w:r w:rsidRPr="00BB5519">
              <w:rPr>
                <w:rFonts w:eastAsia="Calibri" w:cs="Tahoma"/>
                <w:color w:val="000000"/>
                <w:szCs w:val="18"/>
              </w:rPr>
              <w:t>Office 365 ProPlus</w:t>
            </w:r>
          </w:p>
          <w:p w:rsidR="00456002" w:rsidRPr="00BB5519" w:rsidRDefault="00456002" w:rsidP="002C1048">
            <w:pPr>
              <w:numPr>
                <w:ilvl w:val="0"/>
                <w:numId w:val="87"/>
              </w:numPr>
              <w:spacing w:after="60"/>
              <w:ind w:left="576" w:right="187"/>
            </w:pPr>
            <w:r w:rsidRPr="00BB5519">
              <w:rPr>
                <w:rFonts w:eastAsia="Calibri" w:cs="Tahoma"/>
                <w:color w:val="000000"/>
                <w:szCs w:val="18"/>
              </w:rPr>
              <w:t>Office-Webanwendungen</w:t>
            </w:r>
          </w:p>
          <w:p w:rsidR="008368B4" w:rsidRPr="00BB5519" w:rsidRDefault="008368B4" w:rsidP="002C1048">
            <w:pPr>
              <w:numPr>
                <w:ilvl w:val="0"/>
                <w:numId w:val="87"/>
              </w:numPr>
              <w:spacing w:after="60"/>
              <w:ind w:left="576" w:right="187"/>
            </w:pPr>
            <w:r w:rsidRPr="00BB5519">
              <w:rPr>
                <w:rFonts w:eastAsia="Calibri" w:cs="Tahoma"/>
                <w:color w:val="000000"/>
                <w:szCs w:val="18"/>
              </w:rPr>
              <w:t>Project Online</w:t>
            </w:r>
          </w:p>
          <w:p w:rsidR="008368B4" w:rsidRPr="00BB5519" w:rsidRDefault="008368B4" w:rsidP="002C1048">
            <w:pPr>
              <w:numPr>
                <w:ilvl w:val="0"/>
                <w:numId w:val="87"/>
              </w:numPr>
              <w:spacing w:after="60"/>
              <w:ind w:left="576" w:right="187"/>
            </w:pPr>
            <w:r w:rsidRPr="00BB5519">
              <w:rPr>
                <w:rFonts w:eastAsia="Calibri" w:cs="Tahoma"/>
                <w:color w:val="000000"/>
                <w:szCs w:val="18"/>
              </w:rPr>
              <w:t>Project Pro für Office 365</w:t>
            </w:r>
          </w:p>
          <w:p w:rsidR="00456002" w:rsidRPr="00BB5519" w:rsidRDefault="00456002" w:rsidP="002C1048">
            <w:pPr>
              <w:numPr>
                <w:ilvl w:val="0"/>
                <w:numId w:val="87"/>
              </w:numPr>
              <w:spacing w:after="60"/>
              <w:ind w:left="576" w:right="187"/>
            </w:pPr>
            <w:r w:rsidRPr="00BB5519">
              <w:rPr>
                <w:rFonts w:eastAsia="Calibri" w:cs="Tahoma"/>
                <w:color w:val="000000"/>
                <w:szCs w:val="18"/>
              </w:rPr>
              <w:t xml:space="preserve">SharePoint Online Plan 1 und Plan 2 </w:t>
            </w:r>
          </w:p>
          <w:p w:rsidR="00456002" w:rsidRPr="00BB5519" w:rsidRDefault="00456002" w:rsidP="009B3FA2">
            <w:pPr>
              <w:numPr>
                <w:ilvl w:val="0"/>
                <w:numId w:val="87"/>
              </w:numPr>
              <w:spacing w:after="60"/>
              <w:ind w:left="576" w:right="187"/>
            </w:pPr>
            <w:r w:rsidRPr="00BB5519">
              <w:rPr>
                <w:rFonts w:eastAsia="Calibri" w:cs="Tahoma"/>
                <w:color w:val="000000"/>
                <w:szCs w:val="18"/>
              </w:rPr>
              <w:t>Windows Intune</w:t>
            </w:r>
          </w:p>
          <w:p w:rsidR="00456002" w:rsidRPr="00BB5519" w:rsidRDefault="003929D1" w:rsidP="002C1048">
            <w:pPr>
              <w:numPr>
                <w:ilvl w:val="0"/>
                <w:numId w:val="87"/>
              </w:numPr>
              <w:spacing w:after="60"/>
              <w:ind w:left="576" w:right="187"/>
            </w:pPr>
            <w:r w:rsidRPr="00BB5519">
              <w:rPr>
                <w:rFonts w:eastAsia="Calibri" w:cs="Tahoma"/>
                <w:color w:val="000000"/>
                <w:szCs w:val="18"/>
              </w:rPr>
              <w:t>Windows Intune-Add-On</w:t>
            </w:r>
          </w:p>
          <w:p w:rsidR="009B3FA2" w:rsidRPr="00BB5519" w:rsidRDefault="009B3FA2" w:rsidP="002C1048">
            <w:pPr>
              <w:numPr>
                <w:ilvl w:val="0"/>
                <w:numId w:val="87"/>
              </w:numPr>
              <w:spacing w:after="60"/>
              <w:ind w:left="576" w:right="187"/>
              <w:rPr>
                <w:rFonts w:eastAsia="Calibri" w:cs="Tahoma"/>
                <w:szCs w:val="18"/>
              </w:rPr>
            </w:pPr>
            <w:r w:rsidRPr="00BB5519">
              <w:rPr>
                <w:rFonts w:eastAsia="Calibri" w:cs="Tahoma"/>
                <w:color w:val="000000"/>
                <w:szCs w:val="18"/>
              </w:rPr>
              <w:t>Yammer Enterprise</w:t>
            </w:r>
          </w:p>
        </w:tc>
      </w:tr>
    </w:tbl>
    <w:p w:rsidR="002B3F83" w:rsidRPr="00116EDC" w:rsidRDefault="002B3F83" w:rsidP="002B3F83">
      <w:pPr>
        <w:pStyle w:val="Heading2"/>
        <w:ind w:left="0"/>
        <w:rPr>
          <w:rFonts w:ascii="Tahoma" w:hAnsi="Tahoma" w:cs="Tahoma"/>
          <w:sz w:val="18"/>
        </w:rPr>
      </w:pPr>
      <w:bookmarkStart w:id="729" w:name="_Toc336338209"/>
    </w:p>
    <w:p w:rsidR="00456002" w:rsidRPr="00EC2A0D" w:rsidRDefault="00456002" w:rsidP="00171817">
      <w:pPr>
        <w:pStyle w:val="Heading2"/>
        <w:ind w:left="0"/>
        <w:rPr>
          <w:rFonts w:ascii="Tahoma" w:hAnsi="Tahoma" w:cs="Tahoma"/>
          <w:lang w:val="de-DE"/>
        </w:rPr>
      </w:pPr>
      <w:bookmarkStart w:id="730" w:name="_Toc354054903"/>
      <w:r w:rsidRPr="00EC2A0D">
        <w:rPr>
          <w:rFonts w:ascii="Tahoma" w:hAnsi="Tahoma" w:cs="Tahoma"/>
          <w:lang w:val="de-DE"/>
        </w:rPr>
        <w:t>Erwerb und automatische Verlängerung von Onlinediensten</w:t>
      </w:r>
      <w:bookmarkEnd w:id="729"/>
      <w:bookmarkEnd w:id="730"/>
      <w:r w:rsidRPr="00EC2A0D">
        <w:rPr>
          <w:rFonts w:ascii="Tahoma" w:hAnsi="Tahoma" w:cs="Tahoma"/>
          <w:lang w:val="de-DE"/>
        </w:rPr>
        <w:t xml:space="preserve"> </w:t>
      </w:r>
    </w:p>
    <w:p w:rsidR="002B3F83" w:rsidRPr="00D15040" w:rsidRDefault="002B3F83" w:rsidP="002B3F83">
      <w:pPr>
        <w:outlineLvl w:val="2"/>
        <w:rPr>
          <w:rFonts w:cs="Tahoma"/>
          <w:b/>
          <w:szCs w:val="18"/>
          <w:lang w:val="de-DE"/>
        </w:rPr>
      </w:pPr>
    </w:p>
    <w:p w:rsidR="00456002" w:rsidRPr="00BB5519" w:rsidRDefault="00456002" w:rsidP="002B3F83">
      <w:pPr>
        <w:outlineLvl w:val="2"/>
        <w:rPr>
          <w:lang w:val="de-DE"/>
        </w:rPr>
      </w:pPr>
      <w:r w:rsidRPr="00BB5519">
        <w:rPr>
          <w:rFonts w:cs="Tahoma"/>
          <w:szCs w:val="18"/>
          <w:lang w:val="de-DE"/>
        </w:rPr>
        <w:t>Kunden müssen über einen aktiven Volumenlizenzvertrag verfügen, um Onlinedienste-Abonnements im Rahmen der Volumenlizenzierung zu bestellen oder zu verlängern.</w:t>
      </w:r>
      <w:r w:rsidR="009E4976" w:rsidRPr="00BB5519">
        <w:rPr>
          <w:rFonts w:cs="Tahoma"/>
          <w:szCs w:val="18"/>
          <w:lang w:val="de-DE"/>
        </w:rPr>
        <w:t xml:space="preserve"> </w:t>
      </w:r>
      <w:r w:rsidRPr="00BB5519">
        <w:rPr>
          <w:rFonts w:cs="Tahoma"/>
          <w:szCs w:val="18"/>
          <w:lang w:val="de-DE"/>
        </w:rPr>
        <w:t>Ein Onlinedienste-Abonnement wird automatisch am Tag nach Ablauf der Abonnementlaufzeit verlängert, es sei denn, der Kunde entscheidet sich gegen eine Verlängerung, indem er</w:t>
      </w:r>
      <w:r w:rsidRPr="00BB5519">
        <w:rPr>
          <w:rFonts w:cs="Tahoma"/>
          <w:color w:val="000000"/>
          <w:szCs w:val="18"/>
          <w:lang w:val="de-DE"/>
        </w:rPr>
        <w:t xml:space="preserve"> </w:t>
      </w:r>
      <w:r w:rsidRPr="00BB5519">
        <w:rPr>
          <w:bCs/>
          <w:color w:val="000000"/>
          <w:lang w:val="de-DE"/>
        </w:rPr>
        <w:t>mindestens 5</w:t>
      </w:r>
      <w:r w:rsidRPr="00BB5519">
        <w:rPr>
          <w:b/>
          <w:bCs/>
          <w:color w:val="1F497D"/>
          <w:lang w:val="de-DE"/>
        </w:rPr>
        <w:t xml:space="preserve"> </w:t>
      </w:r>
      <w:r w:rsidRPr="00BB5519">
        <w:rPr>
          <w:rFonts w:cs="Tahoma"/>
          <w:szCs w:val="18"/>
          <w:lang w:val="de-DE"/>
        </w:rPr>
        <w:t>Tage vor Ablauf des Abonnements die automatische Verlängerung abbestellt.</w:t>
      </w:r>
      <w:r w:rsidR="009E4976" w:rsidRPr="00BB5519">
        <w:rPr>
          <w:rFonts w:cs="Tahoma"/>
          <w:szCs w:val="18"/>
          <w:lang w:val="de-DE"/>
        </w:rPr>
        <w:t xml:space="preserve"> </w:t>
      </w:r>
      <w:r w:rsidRPr="00BB5519">
        <w:rPr>
          <w:rFonts w:cs="Tahoma"/>
          <w:szCs w:val="18"/>
          <w:lang w:val="de-DE"/>
        </w:rPr>
        <w:t>Bei automatischer Verlängerung stellt Microsoft dem eingetragenen Rechnungsempfänger die Anzahl der ablaufenden Lizenzen mit der gleichen Option für die Abonnementlaufzeit in Rechnung, wenn der ursprüngliche Vertrag des Kunden aktiv bleibt.</w:t>
      </w:r>
      <w:r w:rsidR="009E4976" w:rsidRPr="00BB5519">
        <w:rPr>
          <w:rFonts w:cs="Tahoma"/>
          <w:szCs w:val="18"/>
          <w:lang w:val="de-DE"/>
        </w:rPr>
        <w:t xml:space="preserve"> </w:t>
      </w:r>
      <w:r w:rsidRPr="00BB5519">
        <w:rPr>
          <w:rFonts w:cs="Tahoma"/>
          <w:szCs w:val="18"/>
          <w:lang w:val="de-DE"/>
        </w:rPr>
        <w:t>Onlinedienste-Abonnements für Kunden aus Verwaltung sowie Forschung &amp; Lehre werden nur dann automatisch verlängert, wenn sich der Kunde für die automatische Verlängerungsoption entscheidet.</w:t>
      </w:r>
      <w:r w:rsidR="009E4976" w:rsidRPr="00BB5519">
        <w:rPr>
          <w:rFonts w:cs="Tahoma"/>
          <w:szCs w:val="18"/>
          <w:lang w:val="de-DE"/>
        </w:rPr>
        <w:t xml:space="preserve"> </w:t>
      </w:r>
      <w:r w:rsidRPr="00BB5519">
        <w:rPr>
          <w:rFonts w:cs="Tahoma"/>
          <w:szCs w:val="18"/>
          <w:lang w:val="de-DE"/>
        </w:rPr>
        <w:t>Zu Beginn des Verlängerungszeitraums werden die Preise neu festgelegt.</w:t>
      </w:r>
      <w:r w:rsidR="009E4976" w:rsidRPr="00BB5519">
        <w:rPr>
          <w:rFonts w:cs="Tahoma"/>
          <w:szCs w:val="18"/>
          <w:lang w:val="de-DE"/>
        </w:rPr>
        <w:t xml:space="preserve"> </w:t>
      </w:r>
      <w:r w:rsidRPr="00BB5519">
        <w:rPr>
          <w:rFonts w:cs="Tahoma"/>
          <w:szCs w:val="18"/>
          <w:lang w:val="de-DE"/>
        </w:rPr>
        <w:t>Die automatische Verlängerungsoption ist für Windows</w:t>
      </w:r>
      <w:r w:rsidR="002B3F83">
        <w:rPr>
          <w:rFonts w:cs="Tahoma"/>
          <w:szCs w:val="18"/>
          <w:lang w:val="de-DE"/>
        </w:rPr>
        <w:t> </w:t>
      </w:r>
      <w:r w:rsidRPr="00BB5519">
        <w:rPr>
          <w:rFonts w:cs="Tahoma"/>
          <w:szCs w:val="18"/>
          <w:lang w:val="de-DE"/>
        </w:rPr>
        <w:t>Azure-Dienste nicht verfügbar.</w:t>
      </w:r>
    </w:p>
    <w:p w:rsidR="002B3F83" w:rsidRPr="00D15040" w:rsidRDefault="002B3F83" w:rsidP="002B3F83">
      <w:pPr>
        <w:rPr>
          <w:lang w:val="de-DE"/>
        </w:rPr>
      </w:pPr>
      <w:bookmarkStart w:id="731" w:name="_Toc336338210"/>
    </w:p>
    <w:p w:rsidR="00456002" w:rsidRPr="00EC2A0D" w:rsidRDefault="00456002" w:rsidP="00171817">
      <w:pPr>
        <w:pStyle w:val="Heading2"/>
        <w:ind w:left="0"/>
        <w:rPr>
          <w:rFonts w:ascii="Tahoma" w:hAnsi="Tahoma" w:cs="Tahoma"/>
          <w:lang w:val="de-DE"/>
        </w:rPr>
      </w:pPr>
      <w:bookmarkStart w:id="732" w:name="_Toc354054904"/>
      <w:r w:rsidRPr="00EC2A0D">
        <w:rPr>
          <w:rFonts w:ascii="Tahoma" w:hAnsi="Tahoma" w:cs="Tahoma"/>
          <w:lang w:val="de-DE"/>
        </w:rPr>
        <w:t>Verwalten des Verlängerungs- und automatischen Verlängerungsstatus</w:t>
      </w:r>
      <w:bookmarkEnd w:id="731"/>
      <w:bookmarkEnd w:id="732"/>
    </w:p>
    <w:p w:rsidR="002B3F83" w:rsidRPr="00D15040" w:rsidRDefault="002B3F83" w:rsidP="002B3F83">
      <w:pPr>
        <w:outlineLvl w:val="2"/>
        <w:rPr>
          <w:rFonts w:cs="Tahoma"/>
          <w:b/>
          <w:szCs w:val="18"/>
          <w:lang w:val="de-DE"/>
        </w:rPr>
      </w:pPr>
    </w:p>
    <w:p w:rsidR="00456002" w:rsidRPr="00BB5519" w:rsidRDefault="00456002" w:rsidP="002D374A">
      <w:pPr>
        <w:outlineLvl w:val="2"/>
        <w:rPr>
          <w:lang w:val="de-DE"/>
        </w:rPr>
      </w:pPr>
      <w:r w:rsidRPr="00BB5519">
        <w:rPr>
          <w:rFonts w:cs="Tahoma"/>
          <w:szCs w:val="18"/>
          <w:lang w:val="de-DE"/>
        </w:rPr>
        <w:t>Vor dem Ende der Onlinedienste-Abonnementlaufzeit erhalten Kunden Verlängerungsmitteilungen.</w:t>
      </w:r>
      <w:r w:rsidR="009E4976" w:rsidRPr="00BB5519">
        <w:rPr>
          <w:rFonts w:cs="Tahoma"/>
          <w:szCs w:val="18"/>
          <w:lang w:val="de-DE"/>
        </w:rPr>
        <w:t xml:space="preserve"> </w:t>
      </w:r>
      <w:r w:rsidRPr="00BB5519">
        <w:rPr>
          <w:rFonts w:cs="Tahoma"/>
          <w:szCs w:val="18"/>
          <w:lang w:val="de-DE"/>
        </w:rPr>
        <w:t>Kunden können die Verlängerung kündigen oder eine automatische Verlängerungsbestellung ändern, indem sie mindestens 30 Tage vor Ende der Abonnementlaufzeit aktiv werden.</w:t>
      </w:r>
      <w:r w:rsidR="009E4976" w:rsidRPr="00BB5519">
        <w:rPr>
          <w:rFonts w:cs="Tahoma"/>
          <w:szCs w:val="18"/>
          <w:lang w:val="de-DE"/>
        </w:rPr>
        <w:t xml:space="preserve"> </w:t>
      </w:r>
      <w:r w:rsidRPr="00BB5519">
        <w:rPr>
          <w:rFonts w:cs="Tahoma"/>
          <w:szCs w:val="18"/>
          <w:lang w:val="de-DE"/>
        </w:rPr>
        <w:t>Kunden können außerdem die Verlängerungsbestellung ändern, indem sie 30 Tage vor Ablauf des Abonnements eine Bestellung bei ihrem Handelspartner einreichen.</w:t>
      </w:r>
      <w:r w:rsidR="009E4976" w:rsidRPr="00BB5519">
        <w:rPr>
          <w:rFonts w:cs="Tahoma"/>
          <w:szCs w:val="18"/>
          <w:lang w:val="de-DE"/>
        </w:rPr>
        <w:t xml:space="preserve"> </w:t>
      </w:r>
      <w:r w:rsidRPr="00BB5519">
        <w:rPr>
          <w:rFonts w:cs="Tahoma"/>
          <w:szCs w:val="18"/>
          <w:lang w:val="de-DE"/>
        </w:rPr>
        <w:t xml:space="preserve">Kunden sind berechtigt, eine Abonnementverlängerung unter Einhaltung einer Kündigungsfrist von 30 Tagen mit vorheriger schriftlicher Mitteilung an Microsoft mit einem Formular, das beim Handelspartner von Microsoft oder unter </w:t>
      </w:r>
      <w:r w:rsidRPr="0008550D">
        <w:rPr>
          <w:rFonts w:cs="Tahoma"/>
          <w:szCs w:val="18"/>
          <w:lang w:val="de-DE"/>
        </w:rPr>
        <w:t>http://microsoft.com/licensing/contracts</w:t>
      </w:r>
      <w:r w:rsidRPr="008A44CC">
        <w:rPr>
          <w:lang w:val="de-DE"/>
        </w:rPr>
        <w:t xml:space="preserve"> verfügbar ist</w:t>
      </w:r>
      <w:r w:rsidRPr="00BB5519">
        <w:rPr>
          <w:rFonts w:cs="Tahoma"/>
          <w:szCs w:val="18"/>
          <w:lang w:val="de-DE"/>
        </w:rPr>
        <w:t>, zu kündigen.</w:t>
      </w:r>
      <w:r w:rsidR="009E4976" w:rsidRPr="00BB5519">
        <w:rPr>
          <w:rFonts w:cs="Tahoma"/>
          <w:szCs w:val="18"/>
          <w:lang w:val="de-DE"/>
        </w:rPr>
        <w:t xml:space="preserve"> </w:t>
      </w:r>
      <w:r w:rsidRPr="00BB5519">
        <w:rPr>
          <w:rFonts w:cs="Tahoma"/>
          <w:szCs w:val="18"/>
          <w:lang w:val="de-DE"/>
        </w:rPr>
        <w:t>Durch jede Dienstverlängerung wird eine neue</w:t>
      </w:r>
      <w:r w:rsidR="002B3F83">
        <w:rPr>
          <w:rFonts w:cs="Tahoma"/>
          <w:szCs w:val="18"/>
          <w:lang w:val="de-DE"/>
        </w:rPr>
        <w:t> </w:t>
      </w:r>
      <w:r w:rsidRPr="00BB5519">
        <w:rPr>
          <w:rFonts w:cs="Tahoma"/>
          <w:szCs w:val="18"/>
          <w:lang w:val="de-DE"/>
        </w:rPr>
        <w:t>Abonnementlaufzeit gestartet, die am ersten Tag des nächsten Kalendermonats nach Ablauf der vorherigen Abonnementlaufzeit beginnt.</w:t>
      </w:r>
    </w:p>
    <w:p w:rsidR="00456002" w:rsidRPr="00BB5519" w:rsidRDefault="00456002" w:rsidP="00171817">
      <w:pPr>
        <w:outlineLvl w:val="2"/>
        <w:rPr>
          <w:lang w:val="de-DE"/>
        </w:rPr>
      </w:pPr>
      <w:r w:rsidRPr="00BB5519">
        <w:rPr>
          <w:rFonts w:cs="Tahoma"/>
          <w:szCs w:val="18"/>
          <w:lang w:val="de-DE"/>
        </w:rPr>
        <w:lastRenderedPageBreak/>
        <w:t>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w:t>
      </w:r>
      <w:r w:rsidR="009E4976" w:rsidRPr="00BB5519">
        <w:rPr>
          <w:rFonts w:cs="Tahoma"/>
          <w:szCs w:val="18"/>
          <w:lang w:val="de-DE"/>
        </w:rPr>
        <w:t xml:space="preserve"> </w:t>
      </w:r>
    </w:p>
    <w:p w:rsidR="002B3F83" w:rsidRPr="00D15040" w:rsidRDefault="002B3F83" w:rsidP="002B3F83">
      <w:pPr>
        <w:outlineLvl w:val="2"/>
        <w:rPr>
          <w:rFonts w:cs="Tahoma"/>
          <w:b/>
          <w:szCs w:val="18"/>
          <w:lang w:val="de-DE"/>
        </w:rPr>
      </w:pPr>
      <w:bookmarkStart w:id="733" w:name="_Toc336338211"/>
    </w:p>
    <w:p w:rsidR="00456002" w:rsidRPr="00EC2A0D" w:rsidRDefault="00456002" w:rsidP="00456002">
      <w:pPr>
        <w:pStyle w:val="Heading2"/>
        <w:ind w:left="0"/>
        <w:rPr>
          <w:rFonts w:ascii="Tahoma" w:hAnsi="Tahoma" w:cs="Tahoma"/>
          <w:lang w:val="de-DE"/>
        </w:rPr>
      </w:pPr>
      <w:bookmarkStart w:id="734" w:name="_Toc354054905"/>
      <w:r w:rsidRPr="00EC2A0D">
        <w:rPr>
          <w:rFonts w:ascii="Tahoma" w:hAnsi="Tahoma" w:cs="Tahoma"/>
          <w:lang w:val="de-DE"/>
        </w:rPr>
        <w:t>Kündigung von Onlinediensten</w:t>
      </w:r>
      <w:bookmarkEnd w:id="733"/>
      <w:bookmarkEnd w:id="734"/>
    </w:p>
    <w:p w:rsidR="00456002" w:rsidRPr="00BB5519" w:rsidRDefault="00456002" w:rsidP="00456002">
      <w:pPr>
        <w:outlineLvl w:val="2"/>
        <w:rPr>
          <w:lang w:val="de-DE"/>
        </w:rPr>
      </w:pPr>
    </w:p>
    <w:p w:rsidR="00456002" w:rsidRPr="00BB5519" w:rsidRDefault="00456002" w:rsidP="00116EDC">
      <w:pPr>
        <w:outlineLvl w:val="2"/>
        <w:rPr>
          <w:lang w:val="de-DE"/>
        </w:rPr>
      </w:pPr>
      <w:r w:rsidRPr="00BB5519">
        <w:rPr>
          <w:rFonts w:cs="Tahoma"/>
          <w:szCs w:val="18"/>
          <w:lang w:val="de-DE"/>
        </w:rPr>
        <w:t>Abonnements für einen Onlinedienst können ohne Strafe innerhalb von dreißig (30) Tagen nach Anfangsbestellung oder anfänglicher Lizenzreservierung eines Dienstes gekündigt werden, wobei das frühere Datum maßgeblich ist.</w:t>
      </w:r>
      <w:r w:rsidR="009E4976" w:rsidRPr="00BB5519">
        <w:rPr>
          <w:rFonts w:cs="Tahoma"/>
          <w:szCs w:val="18"/>
          <w:lang w:val="de-DE"/>
        </w:rPr>
        <w:t xml:space="preserve"> </w:t>
      </w:r>
      <w:r w:rsidRPr="00BB5519">
        <w:rPr>
          <w:rFonts w:cs="Tahoma"/>
          <w:szCs w:val="18"/>
          <w:lang w:val="de-DE"/>
        </w:rPr>
        <w:t>In den produktspezifischen Abschnitten dieser Produktliste finden Sie gegebenenfalls weitere Kündigungsbestimmungen.</w:t>
      </w:r>
    </w:p>
    <w:p w:rsidR="00116EDC" w:rsidRPr="00BB5519" w:rsidRDefault="00116EDC" w:rsidP="00116EDC">
      <w:pPr>
        <w:outlineLvl w:val="2"/>
        <w:rPr>
          <w:lang w:val="de-DE"/>
        </w:rPr>
      </w:pPr>
    </w:p>
    <w:p w:rsidR="00456002" w:rsidRPr="00EC2A0D" w:rsidRDefault="00456002" w:rsidP="00456002">
      <w:pPr>
        <w:pStyle w:val="Heading2"/>
        <w:ind w:left="0"/>
        <w:rPr>
          <w:rFonts w:ascii="Tahoma" w:hAnsi="Tahoma" w:cs="Tahoma"/>
          <w:lang w:val="de-DE"/>
        </w:rPr>
      </w:pPr>
      <w:bookmarkStart w:id="735" w:name="_Toc328145982"/>
      <w:bookmarkStart w:id="736" w:name="_Toc336338212"/>
      <w:bookmarkStart w:id="737" w:name="_Toc354054906"/>
      <w:r w:rsidRPr="00EC2A0D">
        <w:rPr>
          <w:rFonts w:ascii="Tahoma" w:hAnsi="Tahoma" w:cs="Tahoma"/>
          <w:lang w:val="de-DE"/>
        </w:rPr>
        <w:t>Zahlungsbestimmungsoptionen für Onlinedienste</w:t>
      </w:r>
      <w:bookmarkEnd w:id="735"/>
      <w:bookmarkEnd w:id="736"/>
      <w:bookmarkEnd w:id="737"/>
    </w:p>
    <w:p w:rsidR="00456002" w:rsidRPr="00BB5519" w:rsidRDefault="00456002" w:rsidP="00456002">
      <w:pPr>
        <w:ind w:left="720"/>
        <w:outlineLvl w:val="2"/>
        <w:rPr>
          <w:lang w:val="de-DE"/>
        </w:rPr>
      </w:pPr>
    </w:p>
    <w:p w:rsidR="00456002" w:rsidRPr="00BB5519" w:rsidRDefault="00456002" w:rsidP="002B3F83">
      <w:pPr>
        <w:outlineLvl w:val="2"/>
        <w:rPr>
          <w:lang w:val="de-DE"/>
        </w:rPr>
      </w:pPr>
      <w:r w:rsidRPr="00BB5519">
        <w:rPr>
          <w:rFonts w:cs="Tahoma"/>
          <w:szCs w:val="18"/>
          <w:lang w:val="de-DE"/>
        </w:rPr>
        <w:t>Der Kunde muss einjährige Onlinedienste-Abonnements zu Beginn der Abonnementlaufzeit vollständig bezahlen.</w:t>
      </w:r>
      <w:r w:rsidR="009E4976" w:rsidRPr="00BB5519">
        <w:rPr>
          <w:rFonts w:cs="Tahoma"/>
          <w:szCs w:val="18"/>
          <w:lang w:val="de-DE"/>
        </w:rPr>
        <w:t xml:space="preserve"> </w:t>
      </w:r>
      <w:r w:rsidRPr="00BB5519">
        <w:rPr>
          <w:rFonts w:cs="Tahoma"/>
          <w:szCs w:val="18"/>
          <w:lang w:val="de-DE"/>
        </w:rPr>
        <w:t>Kunden, die sich für die identische Abonnementlaufzeit oder für „Abstimmung auf den 2. Jahrestag“ bei Select Plus entschieden haben, haben die beiden folgenden Zahlungsoptionen: (1) volle Bezahlung zum Zeitpunkt der Bestellung für die gesamte Laufzeit des Abonnements oder (2) Ratenzahlungen, wobei die erste Zahlung zum Zeitpunkt der Bestellung für den Rest des laufenden Vertragsjahres zu leisten ist und die übrigen Zahlungen an jedem Jahrestag des Vertrages fällig sind (bei Select Plus wird der Jahrestag des Wirksamkeitsdatums des verbundenen Unternehmens anstelle des Jahrestages des Vertrages verwendet).</w:t>
      </w:r>
      <w:r w:rsidR="009E4976" w:rsidRPr="00BB5519">
        <w:rPr>
          <w:rFonts w:cs="Tahoma"/>
          <w:szCs w:val="18"/>
          <w:lang w:val="de-DE"/>
        </w:rPr>
        <w:t xml:space="preserve"> </w:t>
      </w:r>
      <w:r w:rsidRPr="00BB5519">
        <w:rPr>
          <w:rFonts w:cs="Tahoma"/>
          <w:szCs w:val="18"/>
          <w:lang w:val="de-DE"/>
        </w:rPr>
        <w:t>Select Plus-Kunden steht eine weitere, dritte Option zur Verfügung: Abrechnung am Jahrestag der Bestellung, wobei die erste Zahlung zum Zeitpunkt der Bestellung für 12 Monate zu leisten ist und die übrigen Zahlungen an jedem Jahrestag der Bestellung fällig sind (die</w:t>
      </w:r>
      <w:r w:rsidR="002B3F83">
        <w:rPr>
          <w:rFonts w:cs="Tahoma"/>
          <w:szCs w:val="18"/>
          <w:lang w:val="de-DE"/>
        </w:rPr>
        <w:t> </w:t>
      </w:r>
      <w:r w:rsidRPr="00BB5519">
        <w:rPr>
          <w:rFonts w:cs="Tahoma"/>
          <w:szCs w:val="18"/>
          <w:lang w:val="de-DE"/>
        </w:rPr>
        <w:t>letzte Zahlung deckt die restliche Laufzeit zwischen dem Jahrestag der Bestellung und dem Enddatum der Abonnementlaufzeit ab).</w:t>
      </w:r>
    </w:p>
    <w:p w:rsidR="00456002" w:rsidRPr="00BB5519" w:rsidRDefault="00456002" w:rsidP="00456002">
      <w:pPr>
        <w:outlineLvl w:val="2"/>
        <w:rPr>
          <w:lang w:val="de-DE"/>
        </w:rPr>
      </w:pPr>
    </w:p>
    <w:p w:rsidR="00456002" w:rsidRPr="00BB5519" w:rsidRDefault="00456002" w:rsidP="00456002">
      <w:pPr>
        <w:outlineLvl w:val="2"/>
        <w:rPr>
          <w:lang w:val="de-DE"/>
        </w:rPr>
      </w:pPr>
      <w:r w:rsidRPr="00BB5519">
        <w:rPr>
          <w:rFonts w:cs="Tahoma"/>
          <w:szCs w:val="18"/>
          <w:lang w:val="de-DE"/>
        </w:rPr>
        <w:t>Darüber hinaus können Open Value-Kunden ebenfalls eine monatliche Zahlungsoption wählen.</w:t>
      </w:r>
      <w:r w:rsidR="009E4976" w:rsidRPr="00BB5519">
        <w:rPr>
          <w:rFonts w:cs="Tahoma"/>
          <w:szCs w:val="18"/>
          <w:lang w:val="de-DE"/>
        </w:rPr>
        <w:t xml:space="preserve"> </w:t>
      </w:r>
      <w:r w:rsidRPr="00BB5519">
        <w:rPr>
          <w:rFonts w:cs="Tahoma"/>
          <w:szCs w:val="18"/>
          <w:lang w:val="de-DE"/>
        </w:rPr>
        <w:t>Für die monatliche Zahlungsoption wird einem teilnehmenden eingetragenen Rechnungsempfänger während der Abonnementlaufzeit automatisch jeden Monat die Anzahl der vom Kunden bestellten Abonnements in Rechnung gestellt.</w:t>
      </w:r>
    </w:p>
    <w:p w:rsidR="00456002" w:rsidRPr="00BB5519" w:rsidRDefault="00456002" w:rsidP="00456002">
      <w:pPr>
        <w:outlineLvl w:val="2"/>
        <w:rPr>
          <w:lang w:val="de-DE"/>
        </w:rPr>
      </w:pPr>
    </w:p>
    <w:p w:rsidR="00456002" w:rsidRPr="00BB5519" w:rsidRDefault="00456002" w:rsidP="00456002">
      <w:pPr>
        <w:outlineLvl w:val="2"/>
        <w:rPr>
          <w:lang w:val="de-DE"/>
        </w:rPr>
      </w:pPr>
      <w:r w:rsidRPr="00BB5519">
        <w:rPr>
          <w:rFonts w:cs="Tahoma"/>
          <w:szCs w:val="18"/>
          <w:lang w:val="de-DE"/>
        </w:rPr>
        <w:t>Die Preise und Zahlungsbestimmungen für Abonnements, die über Handelspartner erworben werden, werden durch den Vertrag zwischen dem Kunden und seinem Handelspartner festgelegt.</w:t>
      </w:r>
      <w:r w:rsidR="009E4976" w:rsidRPr="00BB5519">
        <w:rPr>
          <w:rFonts w:cs="Tahoma"/>
          <w:szCs w:val="18"/>
          <w:lang w:val="de-DE"/>
        </w:rPr>
        <w:t xml:space="preserve"> </w:t>
      </w:r>
      <w:r w:rsidRPr="00BB5519">
        <w:rPr>
          <w:rFonts w:cs="Tahoma"/>
          <w:szCs w:val="18"/>
          <w:lang w:val="de-DE"/>
        </w:rPr>
        <w:t>Es sei denn, der Kunde hat eine Konzernbeitritt-Zusatzvereinbarung – Hinzufügen von Konzern-Onlinediensten abgeschlossen, muss der Kunde ungeachtet gegenteiliger Bestimmungen in seinem Vertrag ein Onlinedienste-Abonnement bestellen, bevor das Abonnement erstmals verwendet wird.</w:t>
      </w:r>
      <w:r w:rsidR="009E4976" w:rsidRPr="00BB5519">
        <w:rPr>
          <w:rFonts w:cs="Tahoma"/>
          <w:szCs w:val="18"/>
          <w:lang w:val="de-DE"/>
        </w:rPr>
        <w:t xml:space="preserve"> </w:t>
      </w:r>
      <w:r w:rsidRPr="00BB5519">
        <w:rPr>
          <w:rFonts w:cs="Tahoma"/>
          <w:szCs w:val="18"/>
          <w:lang w:val="de-DE"/>
        </w:rPr>
        <w:t>Kunden mit einem Konzernvertrag sind nicht berechtigt, eine True Up-Bestellung für weitere Abonnementlizenzen einzureichen.</w:t>
      </w:r>
      <w:r w:rsidR="009E4976" w:rsidRPr="00BB5519">
        <w:rPr>
          <w:rFonts w:cs="Tahoma"/>
          <w:szCs w:val="18"/>
          <w:lang w:val="de-DE"/>
        </w:rPr>
        <w:t xml:space="preserve"> </w:t>
      </w:r>
    </w:p>
    <w:p w:rsidR="00456002" w:rsidRPr="00BB5519" w:rsidRDefault="00456002" w:rsidP="00DF28F2">
      <w:pPr>
        <w:outlineLvl w:val="2"/>
        <w:rPr>
          <w:lang w:val="de-DE"/>
        </w:rPr>
      </w:pPr>
    </w:p>
    <w:p w:rsidR="00456002" w:rsidRPr="00BB5519" w:rsidRDefault="006A5DAE" w:rsidP="00116EDC">
      <w:pPr>
        <w:outlineLvl w:val="2"/>
        <w:rPr>
          <w:lang w:val="de-DE"/>
        </w:rPr>
      </w:pPr>
      <w:r w:rsidRPr="00BB5519">
        <w:rPr>
          <w:rFonts w:cs="Tahoma"/>
          <w:szCs w:val="18"/>
          <w:lang w:val="de-DE"/>
        </w:rPr>
        <w:t>Spezifische Informationen zu Windows Azure-Diensten finden Sie unten im Abschnitt „Windows Azure-Dienste“.</w:t>
      </w:r>
    </w:p>
    <w:p w:rsidR="00116EDC" w:rsidRPr="00BB5519" w:rsidRDefault="00116EDC" w:rsidP="00116EDC">
      <w:pPr>
        <w:outlineLvl w:val="2"/>
        <w:rPr>
          <w:lang w:val="de-DE"/>
        </w:rPr>
      </w:pPr>
    </w:p>
    <w:p w:rsidR="00456002" w:rsidRPr="00BB5519" w:rsidRDefault="00456002" w:rsidP="00456002">
      <w:pPr>
        <w:pStyle w:val="Heading2"/>
        <w:ind w:left="0"/>
        <w:rPr>
          <w:lang w:val="de-DE"/>
        </w:rPr>
      </w:pPr>
      <w:bookmarkStart w:id="738" w:name="_Toc328145983"/>
      <w:bookmarkStart w:id="739" w:name="_Toc336338213"/>
      <w:bookmarkStart w:id="740" w:name="_Toc354054907"/>
      <w:r w:rsidRPr="00BB5519">
        <w:rPr>
          <w:rFonts w:ascii="Tahoma" w:hAnsi="Tahoma" w:cs="Tahoma"/>
          <w:lang w:val="de-DE"/>
        </w:rPr>
        <w:t>Mindesterwerbsanforderungen für Onlinedienste im Rahmen der Volumenlizenzierung</w:t>
      </w:r>
      <w:bookmarkEnd w:id="738"/>
      <w:bookmarkEnd w:id="739"/>
      <w:bookmarkEnd w:id="740"/>
    </w:p>
    <w:p w:rsidR="00456002" w:rsidRPr="00BB5519" w:rsidRDefault="00456002" w:rsidP="00DF28F2">
      <w:pPr>
        <w:outlineLvl w:val="2"/>
        <w:rPr>
          <w:lang w:val="de-DE"/>
        </w:rPr>
      </w:pPr>
    </w:p>
    <w:p w:rsidR="00116EDC" w:rsidRPr="00BB5519" w:rsidRDefault="00456002" w:rsidP="002B3F83">
      <w:pPr>
        <w:outlineLvl w:val="2"/>
        <w:rPr>
          <w:lang w:val="de-DE"/>
        </w:rPr>
      </w:pPr>
      <w:r w:rsidRPr="00BB5519">
        <w:rPr>
          <w:rFonts w:cs="Tahoma"/>
          <w:szCs w:val="18"/>
          <w:lang w:val="de-DE"/>
        </w:rPr>
        <w:t>Ein Kunde ist mit einem Mindesterwerb von 5 Lizenzen für das Open Value-Programm qualifiziert.</w:t>
      </w:r>
      <w:r w:rsidR="009E4976" w:rsidRPr="00BB5519">
        <w:rPr>
          <w:rFonts w:cs="Tahoma"/>
          <w:szCs w:val="18"/>
          <w:lang w:val="de-DE"/>
        </w:rPr>
        <w:t xml:space="preserve"> </w:t>
      </w:r>
      <w:r w:rsidRPr="00BB5519">
        <w:rPr>
          <w:rFonts w:cs="Tahoma"/>
          <w:szCs w:val="18"/>
          <w:lang w:val="de-DE"/>
        </w:rPr>
        <w:t>Diese Regel gilt auch für das Bestimmen der Anzahl von Nutzer-Abonnementlizenzen für Onlinedienste (Nutzer-ALs).</w:t>
      </w:r>
      <w:r w:rsidR="009E4976" w:rsidRPr="00BB5519">
        <w:rPr>
          <w:rFonts w:cs="Tahoma"/>
          <w:szCs w:val="18"/>
          <w:lang w:val="de-DE"/>
        </w:rPr>
        <w:t xml:space="preserve"> </w:t>
      </w:r>
      <w:r w:rsidRPr="00BB5519">
        <w:rPr>
          <w:rFonts w:cs="Tahoma"/>
          <w:szCs w:val="18"/>
          <w:lang w:val="de-DE"/>
        </w:rPr>
        <w:t>Eine Nutzer-AL kann bei der Bestimmung der Mindestmenge von 5 Lizenzen mitgezählt werden.</w:t>
      </w:r>
      <w:r w:rsidR="009E4976" w:rsidRPr="00BB5519">
        <w:rPr>
          <w:rFonts w:cs="Tahoma"/>
          <w:szCs w:val="18"/>
          <w:lang w:val="de-DE"/>
        </w:rPr>
        <w:t xml:space="preserve"> </w:t>
      </w:r>
      <w:r w:rsidRPr="00BB5519">
        <w:rPr>
          <w:rFonts w:cs="Tahoma"/>
          <w:szCs w:val="18"/>
          <w:lang w:val="de-DE"/>
        </w:rPr>
        <w:t>Eine Bestellung von 5 Nutzer-A</w:t>
      </w:r>
      <w:r w:rsidR="002B3F83" w:rsidRPr="00BB5519">
        <w:rPr>
          <w:rFonts w:cs="Tahoma"/>
          <w:szCs w:val="18"/>
          <w:lang w:val="de-DE"/>
        </w:rPr>
        <w:t>l</w:t>
      </w:r>
      <w:r w:rsidRPr="00BB5519">
        <w:rPr>
          <w:rFonts w:cs="Tahoma"/>
          <w:szCs w:val="18"/>
          <w:lang w:val="de-DE"/>
        </w:rPr>
        <w:t>s</w:t>
      </w:r>
      <w:r w:rsidR="002B3F83">
        <w:rPr>
          <w:rFonts w:cs="Tahoma"/>
          <w:szCs w:val="18"/>
          <w:lang w:val="de-DE"/>
        </w:rPr>
        <w:t> </w:t>
      </w:r>
      <w:r w:rsidRPr="00BB5519">
        <w:rPr>
          <w:rFonts w:cs="Tahoma"/>
          <w:szCs w:val="18"/>
          <w:lang w:val="de-DE"/>
        </w:rPr>
        <w:t>erfüllt die Mindestanforderung des Open Value-Programms.</w:t>
      </w:r>
      <w:r w:rsidR="009E4976" w:rsidRPr="00BB5519">
        <w:rPr>
          <w:rFonts w:cs="Tahoma"/>
          <w:szCs w:val="18"/>
          <w:lang w:val="de-DE"/>
        </w:rPr>
        <w:t xml:space="preserve"> </w:t>
      </w:r>
      <w:r w:rsidRPr="00BB5519">
        <w:rPr>
          <w:rFonts w:cs="Tahoma"/>
          <w:szCs w:val="18"/>
          <w:lang w:val="de-DE"/>
        </w:rPr>
        <w:t>Allerdings erfüllen 5 Nutzer-ALs allein nicht die Mindestanforderung für die unternehmensweite Option von Open Value und für Open Value Subscription.</w:t>
      </w:r>
      <w:r w:rsidR="009E4976" w:rsidRPr="00BB5519">
        <w:rPr>
          <w:rFonts w:cs="Tahoma"/>
          <w:szCs w:val="18"/>
          <w:lang w:val="de-DE"/>
        </w:rPr>
        <w:t xml:space="preserve"> </w:t>
      </w:r>
      <w:r w:rsidRPr="00BB5519">
        <w:rPr>
          <w:rFonts w:cs="Tahoma"/>
          <w:szCs w:val="18"/>
          <w:lang w:val="de-DE"/>
        </w:rPr>
        <w:t>Für die</w:t>
      </w:r>
      <w:r w:rsidR="002B3F83">
        <w:rPr>
          <w:rFonts w:cs="Tahoma"/>
          <w:szCs w:val="18"/>
          <w:lang w:val="de-DE"/>
        </w:rPr>
        <w:t> </w:t>
      </w:r>
      <w:r w:rsidRPr="00BB5519">
        <w:rPr>
          <w:rFonts w:cs="Tahoma"/>
          <w:szCs w:val="18"/>
          <w:lang w:val="de-DE"/>
        </w:rPr>
        <w:t>unternehmensweite OV-Option und OV Subscription muss die Anfangsbestellung zusätzlich zu Nutzer-ALs mindestens</w:t>
      </w:r>
      <w:r w:rsidR="002B3F83">
        <w:rPr>
          <w:rFonts w:cs="Tahoma"/>
          <w:szCs w:val="18"/>
          <w:lang w:val="de-DE"/>
        </w:rPr>
        <w:t> </w:t>
      </w:r>
      <w:r w:rsidRPr="00BB5519">
        <w:rPr>
          <w:rFonts w:cs="Tahoma"/>
          <w:szCs w:val="18"/>
          <w:lang w:val="de-DE"/>
        </w:rPr>
        <w:t>5 Desktop-Plattform- oder Desktop-Komponenten-Lizenzen umfassen.</w:t>
      </w:r>
      <w:r w:rsidR="009E4976" w:rsidRPr="00BB5519">
        <w:rPr>
          <w:rFonts w:cs="Tahoma"/>
          <w:szCs w:val="18"/>
          <w:lang w:val="de-DE"/>
        </w:rPr>
        <w:t xml:space="preserve"> </w:t>
      </w:r>
    </w:p>
    <w:p w:rsidR="002B3F83" w:rsidRPr="00D15040" w:rsidRDefault="002B3F83" w:rsidP="002B3F83">
      <w:pPr>
        <w:outlineLvl w:val="2"/>
        <w:rPr>
          <w:rFonts w:cs="Tahoma"/>
          <w:szCs w:val="18"/>
          <w:lang w:val="de-DE"/>
        </w:rPr>
      </w:pPr>
      <w:bookmarkStart w:id="741" w:name="_Toc336338214"/>
    </w:p>
    <w:p w:rsidR="00776E3B" w:rsidRPr="00EC2A0D" w:rsidRDefault="00776E3B" w:rsidP="00776E3B">
      <w:pPr>
        <w:pStyle w:val="Heading3"/>
        <w:rPr>
          <w:rFonts w:ascii="Tahoma" w:hAnsi="Tahoma" w:cs="Tahoma"/>
          <w:sz w:val="24"/>
          <w:lang w:val="de-DE"/>
        </w:rPr>
      </w:pPr>
      <w:bookmarkStart w:id="742" w:name="_Toc354054908"/>
      <w:r w:rsidRPr="00EC2A0D">
        <w:rPr>
          <w:rFonts w:ascii="Tahoma" w:hAnsi="Tahoma" w:cs="Tahoma"/>
          <w:sz w:val="24"/>
          <w:lang w:val="de-DE"/>
        </w:rPr>
        <w:t>Windows Azure-Dienste</w:t>
      </w:r>
      <w:bookmarkEnd w:id="741"/>
      <w:bookmarkEnd w:id="742"/>
    </w:p>
    <w:p w:rsidR="002B3F83" w:rsidRPr="00D15040" w:rsidRDefault="002B3F83" w:rsidP="002B3F83">
      <w:pPr>
        <w:outlineLvl w:val="1"/>
        <w:rPr>
          <w:rFonts w:cs="Tahoma"/>
          <w:szCs w:val="18"/>
          <w:lang w:val="de-DE"/>
        </w:rPr>
      </w:pPr>
    </w:p>
    <w:p w:rsidR="006A5DAE" w:rsidRPr="00D15040" w:rsidRDefault="005242EC" w:rsidP="005242EC">
      <w:pPr>
        <w:spacing w:after="60"/>
        <w:outlineLvl w:val="1"/>
        <w:rPr>
          <w:rFonts w:cs="Tahoma"/>
          <w:b/>
          <w:szCs w:val="18"/>
          <w:lang w:val="de-DE"/>
        </w:rPr>
      </w:pPr>
      <w:r w:rsidRPr="00D15040">
        <w:rPr>
          <w:rFonts w:cs="Tahoma"/>
          <w:b/>
          <w:szCs w:val="18"/>
          <w:lang w:val="de-DE"/>
        </w:rPr>
        <w:t>Definitionen</w:t>
      </w:r>
    </w:p>
    <w:p w:rsidR="006A5DAE" w:rsidRPr="00BB5519" w:rsidRDefault="006A5DAE" w:rsidP="006A5DAE">
      <w:pPr>
        <w:outlineLvl w:val="1"/>
        <w:rPr>
          <w:lang w:val="de-DE"/>
        </w:rPr>
      </w:pPr>
      <w:r w:rsidRPr="00BB5519">
        <w:rPr>
          <w:rFonts w:cs="Tahoma"/>
          <w:szCs w:val="18"/>
          <w:u w:val="single"/>
          <w:lang w:val="de-DE"/>
        </w:rPr>
        <w:t>Verpflichtungspreise</w:t>
      </w:r>
      <w:r w:rsidRPr="00170B74">
        <w:rPr>
          <w:rFonts w:cs="Tahoma"/>
          <w:bCs/>
          <w:szCs w:val="18"/>
          <w:lang w:val="de-DE"/>
        </w:rPr>
        <w:t xml:space="preserve"> </w:t>
      </w:r>
      <w:r w:rsidRPr="00BB5519">
        <w:rPr>
          <w:rFonts w:cs="Tahoma"/>
          <w:szCs w:val="18"/>
          <w:lang w:val="de-DE"/>
        </w:rPr>
        <w:t>sind Preise für jegliche Nutzung von Windows Azure-Diensten bis zur Zugewiesenen Jährlichen Verpflichtung.</w:t>
      </w:r>
    </w:p>
    <w:p w:rsidR="006A5DAE" w:rsidRPr="00BB5519" w:rsidRDefault="006A5DAE" w:rsidP="006A5DAE">
      <w:pPr>
        <w:outlineLvl w:val="1"/>
        <w:rPr>
          <w:lang w:val="de-DE"/>
        </w:rPr>
      </w:pPr>
    </w:p>
    <w:p w:rsidR="006A5DAE" w:rsidRDefault="006A5DAE" w:rsidP="006A5DAE">
      <w:pPr>
        <w:outlineLvl w:val="1"/>
        <w:rPr>
          <w:rFonts w:cs="Tahoma"/>
          <w:szCs w:val="18"/>
          <w:lang w:val="de-DE"/>
        </w:rPr>
      </w:pPr>
      <w:r w:rsidRPr="00BB5519">
        <w:rPr>
          <w:rFonts w:cs="Tahoma"/>
          <w:szCs w:val="18"/>
          <w:u w:val="single"/>
          <w:lang w:val="de-DE"/>
        </w:rPr>
        <w:lastRenderedPageBreak/>
        <w:t>Nutzungsabhängige Preise</w:t>
      </w:r>
      <w:r w:rsidRPr="00BB5519">
        <w:rPr>
          <w:rFonts w:cs="Tahoma"/>
          <w:szCs w:val="18"/>
          <w:lang w:val="de-DE"/>
        </w:rPr>
        <w:t xml:space="preserve"> sind Preise für jegliche Nutzung von Windows Azure-Diensten, die über die Zugewiesene Jährliche Verpflichtung hinausgeht. Nutzungsabhängige Preise können in anderen Microsoft- oder Windows Azure-Dokumenten auch als „Überschreitungspreise“ oder „Überschreitung“ bezeichnet werden.</w:t>
      </w:r>
    </w:p>
    <w:p w:rsidR="00914E43" w:rsidRPr="00BB5519" w:rsidRDefault="00914E43" w:rsidP="006A5DAE">
      <w:pPr>
        <w:outlineLvl w:val="1"/>
        <w:rPr>
          <w:lang w:val="de-DE"/>
        </w:rPr>
      </w:pPr>
    </w:p>
    <w:p w:rsidR="006A5DAE" w:rsidRPr="00BB5519" w:rsidRDefault="006A5DAE" w:rsidP="006A5DAE">
      <w:pPr>
        <w:outlineLvl w:val="1"/>
        <w:rPr>
          <w:lang w:val="de-DE"/>
        </w:rPr>
      </w:pPr>
      <w:r w:rsidRPr="00BB5519">
        <w:rPr>
          <w:rFonts w:cs="Tahoma"/>
          <w:szCs w:val="18"/>
          <w:u w:val="single"/>
          <w:lang w:val="de-DE"/>
        </w:rPr>
        <w:t>Finanzielle Verpflichtung</w:t>
      </w:r>
      <w:r w:rsidRPr="00BB5519">
        <w:rPr>
          <w:rFonts w:cs="Tahoma"/>
          <w:szCs w:val="18"/>
          <w:lang w:val="de-DE"/>
        </w:rPr>
        <w:t xml:space="preserve"> ist der Gesamtgeldbetrag, zu dessen Zahlung sich ein Kunde während der Abonnementlaufzeit für seine Nutzung der Windows Azure-Dienste verpflichtet.</w:t>
      </w:r>
    </w:p>
    <w:p w:rsidR="00BD1A6A" w:rsidRPr="00BB5519" w:rsidRDefault="00BD1A6A" w:rsidP="006A5DAE">
      <w:pPr>
        <w:outlineLvl w:val="1"/>
        <w:rPr>
          <w:lang w:val="de-DE"/>
        </w:rPr>
      </w:pPr>
    </w:p>
    <w:p w:rsidR="006A5DAE" w:rsidRPr="00BB5519" w:rsidRDefault="006A5DAE" w:rsidP="006A5DAE">
      <w:pPr>
        <w:outlineLvl w:val="1"/>
        <w:rPr>
          <w:lang w:val="de-DE"/>
        </w:rPr>
      </w:pPr>
      <w:r w:rsidRPr="00BB5519">
        <w:rPr>
          <w:rFonts w:cs="Tahoma"/>
          <w:szCs w:val="18"/>
          <w:u w:val="single"/>
          <w:lang w:val="de-DE"/>
        </w:rPr>
        <w:t>Zugewiesene Jährliche Verpflichtung</w:t>
      </w:r>
      <w:r w:rsidRPr="00BB5519">
        <w:rPr>
          <w:rFonts w:cs="Tahoma"/>
          <w:szCs w:val="18"/>
          <w:lang w:val="de-DE"/>
        </w:rPr>
        <w:t xml:space="preserve"> ist der Teil der Finanziellen Verpflichtung, der jährlich auf die gesamte Beitrittslaufzeit zugewiesen ist. Bei der Option eines Ein-Jahres-Abonnements entspricht die Zugewiesene Jährliche Verpflichtung der Finanziellen Verpflichtung.</w:t>
      </w:r>
    </w:p>
    <w:p w:rsidR="001C1727" w:rsidRPr="00BB5519" w:rsidRDefault="001C1727">
      <w:pPr>
        <w:rPr>
          <w:lang w:val="de-DE"/>
        </w:rPr>
      </w:pPr>
    </w:p>
    <w:p w:rsidR="006A5DAE" w:rsidRPr="00BB5519" w:rsidRDefault="006A5DAE" w:rsidP="005242EC">
      <w:pPr>
        <w:spacing w:after="60"/>
        <w:outlineLvl w:val="1"/>
        <w:rPr>
          <w:lang w:val="de-DE"/>
        </w:rPr>
      </w:pPr>
      <w:r w:rsidRPr="00BB5519">
        <w:rPr>
          <w:rFonts w:cs="Tahoma"/>
          <w:b/>
          <w:szCs w:val="18"/>
          <w:lang w:val="de-DE"/>
        </w:rPr>
        <w:t>Abonnementlaufzeit</w:t>
      </w:r>
    </w:p>
    <w:p w:rsidR="006A5DAE" w:rsidRPr="00BB5519" w:rsidRDefault="006A5DAE" w:rsidP="00017D8D">
      <w:pPr>
        <w:ind w:right="-90"/>
        <w:outlineLvl w:val="1"/>
        <w:rPr>
          <w:lang w:val="de-DE"/>
        </w:rPr>
      </w:pPr>
      <w:r w:rsidRPr="00BB5519">
        <w:rPr>
          <w:rFonts w:cs="Tahoma"/>
          <w:szCs w:val="18"/>
          <w:lang w:val="de-DE"/>
        </w:rPr>
        <w:t xml:space="preserve">Bei Windows Azure-Diensten können Kunden entweder eine einjährige Abonnementlaufzeit oder eine Abonnementlaufzeit wählen, die am Enddatum des Beitritts endet („identische Laufzeit“). </w:t>
      </w:r>
      <w:r w:rsidRPr="00BB5519">
        <w:rPr>
          <w:lang w:val="de-DE"/>
        </w:rPr>
        <w:t>Kunden, die sich für die Ein-Jahres-Option entscheiden, müssen über mindestens 12 verbleibende Monate in ihrer Beitrittslaufzeit verfügen, und Kunden, die sich für die Option mit identischer Laufzeit entscheiden, müssen über mindestens zwei verbleibende Monate in ihrer Beitrittslaufzeit verfügen</w:t>
      </w:r>
      <w:r w:rsidRPr="00BB5519">
        <w:rPr>
          <w:rFonts w:cs="Tahoma"/>
          <w:szCs w:val="18"/>
          <w:lang w:val="de-DE"/>
        </w:rPr>
        <w:t>.</w:t>
      </w:r>
    </w:p>
    <w:p w:rsidR="006A5DAE" w:rsidRPr="00BB5519" w:rsidRDefault="006A5DAE" w:rsidP="006A5DAE">
      <w:pPr>
        <w:rPr>
          <w:lang w:val="de-DE"/>
        </w:rPr>
      </w:pPr>
    </w:p>
    <w:p w:rsidR="006A5DAE" w:rsidRPr="00BB5519" w:rsidRDefault="005242EC" w:rsidP="005242EC">
      <w:pPr>
        <w:spacing w:after="60"/>
        <w:outlineLvl w:val="1"/>
        <w:rPr>
          <w:lang w:val="de-DE"/>
        </w:rPr>
      </w:pPr>
      <w:r w:rsidRPr="00BB5519">
        <w:rPr>
          <w:rFonts w:cs="Tahoma"/>
          <w:b/>
          <w:szCs w:val="18"/>
          <w:lang w:val="de-DE"/>
        </w:rPr>
        <w:t>Finanzielle Verpflichtung</w:t>
      </w:r>
    </w:p>
    <w:p w:rsidR="006A5DAE" w:rsidRPr="00BB5519" w:rsidRDefault="006A5DAE" w:rsidP="00017D8D">
      <w:pPr>
        <w:ind w:right="-180"/>
        <w:outlineLvl w:val="1"/>
        <w:rPr>
          <w:lang w:val="de-DE"/>
        </w:rPr>
      </w:pPr>
      <w:r w:rsidRPr="00BB5519">
        <w:rPr>
          <w:rFonts w:cs="Tahoma"/>
          <w:szCs w:val="18"/>
          <w:lang w:val="de-DE"/>
        </w:rPr>
        <w:t>Die Anfangsbestellung des Kunden muss eine Finanzielle Verpflichtung enthalten und kann jederzeit vor dem letzten Monat der Beitrittslaufzeit abgegeben werden. Die Finanzielle Verpflichtung unter der Option eines Ein-Jahres-Abonnements wird für die folgenden 12 Monate anteilig berechnet. Die Finanzielle Verpflichtung unter der Abonnementoption mit identischer Laufzeit wird anteilig auf die gesamte Beitrittslaufzeit verteilt.</w:t>
      </w:r>
    </w:p>
    <w:p w:rsidR="006A5DAE" w:rsidRPr="00BB5519" w:rsidRDefault="006A5DAE" w:rsidP="006A5DAE">
      <w:pPr>
        <w:outlineLvl w:val="1"/>
        <w:rPr>
          <w:lang w:val="de-DE"/>
        </w:rPr>
      </w:pPr>
    </w:p>
    <w:p w:rsidR="006A5DAE" w:rsidRPr="00BB5519" w:rsidRDefault="006A5DAE" w:rsidP="006A5DAE">
      <w:pPr>
        <w:rPr>
          <w:lang w:val="de-DE"/>
        </w:rPr>
      </w:pPr>
      <w:r w:rsidRPr="00BB5519">
        <w:rPr>
          <w:lang w:val="de-DE"/>
        </w:rPr>
        <w:t>Kunden können ihre Finanzielle Verpflichtung jederzeit durch Abgabe zusätzlicher Bestellungen erhöhen.</w:t>
      </w:r>
      <w:r w:rsidR="009E4976" w:rsidRPr="00BB5519">
        <w:rPr>
          <w:lang w:val="de-DE"/>
        </w:rPr>
        <w:t xml:space="preserve"> </w:t>
      </w:r>
      <w:r w:rsidRPr="00BB5519">
        <w:rPr>
          <w:lang w:val="de-DE"/>
        </w:rPr>
        <w:t xml:space="preserve">Zusätzliche Bestellungen werden der aktuellen Zugewiesenen Jährlichen Verpflichtung hinzugefügt und stehen am ersten Tag des Monats, nachdem Microsoft diese Bestellung bearbeitet hat, zur Verwendung zur Verfügung. Bei der </w:t>
      </w:r>
      <w:r w:rsidRPr="00BB5519">
        <w:rPr>
          <w:rFonts w:cs="Tahoma"/>
          <w:szCs w:val="18"/>
          <w:lang w:val="de-DE"/>
        </w:rPr>
        <w:t>Abonnementoption mit identischer Laufzeit</w:t>
      </w:r>
      <w:r w:rsidRPr="00BB5519">
        <w:rPr>
          <w:lang w:val="de-DE"/>
        </w:rPr>
        <w:t xml:space="preserve"> werden die künftigen Zugewiesenen Jährlichen Verpflichtungen des Kunden um den Betrag der zusätzlichen Bestellung multipliziert mit zwölf und dividiert durch die Anzahl der vollständigen, in dem Jahr verbleibenden Monate, in dem die zusätzliche Bestellung abgegeben wurde, erhöht.</w:t>
      </w:r>
    </w:p>
    <w:p w:rsidR="006A5DAE" w:rsidRPr="00BB5519" w:rsidRDefault="006A5DAE" w:rsidP="006A5DAE">
      <w:pPr>
        <w:rPr>
          <w:lang w:val="de-DE"/>
        </w:rPr>
      </w:pPr>
    </w:p>
    <w:p w:rsidR="006A5DAE" w:rsidRPr="00BB5519" w:rsidRDefault="006A5DAE" w:rsidP="002B3F83">
      <w:pPr>
        <w:outlineLvl w:val="1"/>
        <w:rPr>
          <w:lang w:val="de-DE"/>
        </w:rPr>
      </w:pPr>
      <w:r w:rsidRPr="00BB5519">
        <w:rPr>
          <w:rFonts w:cs="Tahoma"/>
          <w:szCs w:val="18"/>
          <w:lang w:val="de-DE"/>
        </w:rPr>
        <w:t xml:space="preserve">Bei der Option eines Ein-Jahres-Abonnements müssen Kunden ihre </w:t>
      </w:r>
      <w:r w:rsidRPr="00BB5519">
        <w:rPr>
          <w:lang w:val="de-DE"/>
        </w:rPr>
        <w:t>Zugewiesene Jährliche Verpflichtung</w:t>
      </w:r>
      <w:r w:rsidRPr="00BB5519">
        <w:rPr>
          <w:rFonts w:cs="Tahoma"/>
          <w:szCs w:val="18"/>
          <w:lang w:val="de-DE"/>
        </w:rPr>
        <w:t xml:space="preserve"> bis zum letzten Tag des 12. Monats nach der Bestellung und bei der Abonnementoption mit identischer Laufzeit bis zum letzten Tag des Monats vor dem Jahrestag des Beitritts verbraucht haben. Nicht verwendete Teile der </w:t>
      </w:r>
      <w:r w:rsidRPr="00BB5519">
        <w:rPr>
          <w:lang w:val="de-DE"/>
        </w:rPr>
        <w:t>Zugewiesenen</w:t>
      </w:r>
      <w:r w:rsidR="002B3F83">
        <w:rPr>
          <w:lang w:val="de-DE"/>
        </w:rPr>
        <w:t> </w:t>
      </w:r>
      <w:r w:rsidRPr="00BB5519">
        <w:rPr>
          <w:lang w:val="de-DE"/>
        </w:rPr>
        <w:t xml:space="preserve">Jährlichen Verpflichtung </w:t>
      </w:r>
      <w:r w:rsidRPr="00BB5519">
        <w:rPr>
          <w:rFonts w:cs="Tahoma"/>
          <w:szCs w:val="18"/>
          <w:lang w:val="de-DE"/>
        </w:rPr>
        <w:t xml:space="preserve">werden </w:t>
      </w:r>
      <w:r w:rsidRPr="00BB5519">
        <w:rPr>
          <w:lang w:val="de-DE"/>
        </w:rPr>
        <w:t>nicht übertragen</w:t>
      </w:r>
      <w:r w:rsidRPr="00BB5519">
        <w:rPr>
          <w:rFonts w:cs="Tahoma"/>
          <w:szCs w:val="18"/>
          <w:lang w:val="de-DE"/>
        </w:rPr>
        <w:t xml:space="preserve"> und verfallen. </w:t>
      </w:r>
    </w:p>
    <w:p w:rsidR="006A5DAE" w:rsidRPr="00BB5519" w:rsidRDefault="006A5DAE" w:rsidP="006A5DAE">
      <w:pPr>
        <w:rPr>
          <w:lang w:val="de-DE"/>
        </w:rPr>
      </w:pPr>
    </w:p>
    <w:p w:rsidR="006A5DAE" w:rsidRPr="00D15040" w:rsidRDefault="005242EC" w:rsidP="005242EC">
      <w:pPr>
        <w:spacing w:after="60"/>
        <w:outlineLvl w:val="1"/>
        <w:rPr>
          <w:rFonts w:cs="Tahoma"/>
          <w:b/>
          <w:szCs w:val="18"/>
          <w:lang w:val="de-DE"/>
        </w:rPr>
      </w:pPr>
      <w:r w:rsidRPr="00D15040">
        <w:rPr>
          <w:rFonts w:cs="Tahoma"/>
          <w:b/>
          <w:szCs w:val="18"/>
          <w:lang w:val="de-DE"/>
        </w:rPr>
        <w:t xml:space="preserve">Zahlung und Gebühren </w:t>
      </w:r>
    </w:p>
    <w:p w:rsidR="006A5DAE" w:rsidRPr="00BB5519" w:rsidRDefault="006A5DAE" w:rsidP="00017D8D">
      <w:pPr>
        <w:ind w:right="-90"/>
        <w:rPr>
          <w:lang w:val="de-DE"/>
        </w:rPr>
      </w:pPr>
      <w:r w:rsidRPr="00BB5519">
        <w:rPr>
          <w:lang w:val="de-DE"/>
        </w:rPr>
        <w:t xml:space="preserve">Bei der Option eines Ein-Jahres-Abonnements werden Bestellungen unmittelbar den Kunden oder ihren Handelspartnern in Rechnung gestellt. Bei der </w:t>
      </w:r>
      <w:r w:rsidRPr="00BB5519">
        <w:rPr>
          <w:rFonts w:cs="Tahoma"/>
          <w:szCs w:val="18"/>
          <w:lang w:val="de-DE"/>
        </w:rPr>
        <w:t xml:space="preserve">Abonnementoption mit identischer Laufzeit wird die </w:t>
      </w:r>
      <w:r w:rsidRPr="00BB5519">
        <w:rPr>
          <w:lang w:val="de-DE"/>
        </w:rPr>
        <w:t>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6A5DAE" w:rsidRPr="00BB5519" w:rsidRDefault="006A5DAE" w:rsidP="006A5DAE">
      <w:pPr>
        <w:rPr>
          <w:lang w:val="de-DE"/>
        </w:rPr>
      </w:pPr>
    </w:p>
    <w:p w:rsidR="006A5DAE" w:rsidRPr="00BB5519" w:rsidRDefault="006A5DAE" w:rsidP="002B3F83">
      <w:pPr>
        <w:rPr>
          <w:lang w:val="de-DE"/>
        </w:rPr>
      </w:pPr>
      <w:r w:rsidRPr="00BB5519">
        <w:rPr>
          <w:lang w:val="de-DE"/>
        </w:rPr>
        <w:t xml:space="preserve">Jeden Monat zieht Microsoft den Geldwert der Nutzung von Windows Azure-Diensten eines Kunden von der Zugewiesenen Jährlichen Verpflichtung ab. Sobald das Guthaben der Zugewiesenen Jährlichen Verpflichtung erschöpft ist, wird die restliche Nutzung für diesen Monat und für alle verbleibenden Monate bei der Option eines </w:t>
      </w:r>
      <w:r w:rsidR="002B3F83">
        <w:rPr>
          <w:lang w:val="de-DE"/>
        </w:rPr>
        <w:br/>
      </w:r>
      <w:r w:rsidRPr="00BB5519">
        <w:rPr>
          <w:lang w:val="de-DE"/>
        </w:rPr>
        <w:t>Ein-Jahres-Abonnements oder verbleibende Monate im laufenden Jahr des Beitritts bei der Option mit identischer Laufzeit zu Nutzungsabhängigen Preisen in Rechnung gestellt. Wenn sich ein Kunde für die Option eines Ein-Jahres-Abonnements entscheidet, wird jede Nutzung zu Nutzungsabhängigen Preisen dem Kunden oder seinem Handelspartner am Ende jedes Beitrittsquartals und am Ende der Abonnementlaufzeit in Rechnung gestellt. Wenn</w:t>
      </w:r>
      <w:r w:rsidR="002B3F83">
        <w:rPr>
          <w:lang w:val="de-DE"/>
        </w:rPr>
        <w:t> </w:t>
      </w:r>
      <w:r w:rsidRPr="00BB5519">
        <w:rPr>
          <w:lang w:val="de-DE"/>
        </w:rPr>
        <w:t>sich ein Kunde für die Abonnementoption mit identischer Laufzeit entscheidet, wird jede Nutzung zu Nutzungsabhängigen Preisen dem Kunden oder seinem Handelspartner am Ende jedes Beitrittsquartals in Rechnung</w:t>
      </w:r>
      <w:r w:rsidR="002B3F83">
        <w:rPr>
          <w:lang w:val="de-DE"/>
        </w:rPr>
        <w:t> </w:t>
      </w:r>
      <w:r w:rsidRPr="00BB5519">
        <w:rPr>
          <w:lang w:val="de-DE"/>
        </w:rPr>
        <w:t>gestellt.</w:t>
      </w:r>
      <w:r w:rsidR="009E4976" w:rsidRPr="00BB5519">
        <w:rPr>
          <w:lang w:val="de-DE"/>
        </w:rPr>
        <w:t xml:space="preserve"> </w:t>
      </w:r>
    </w:p>
    <w:p w:rsidR="006A5DAE" w:rsidRPr="00BB5519" w:rsidRDefault="006A5DAE" w:rsidP="006A5DAE">
      <w:pPr>
        <w:rPr>
          <w:lang w:val="de-DE"/>
        </w:rPr>
      </w:pPr>
    </w:p>
    <w:p w:rsidR="006A5DAE" w:rsidRPr="00BB5519" w:rsidRDefault="006A5DAE" w:rsidP="006A5DAE">
      <w:pPr>
        <w:rPr>
          <w:lang w:val="de-DE"/>
        </w:rPr>
      </w:pPr>
      <w:r w:rsidRPr="00BB5519">
        <w:rPr>
          <w:lang w:val="de-DE"/>
        </w:rPr>
        <w:t>Jegliche Nutzung der Windows Azure-Dienste nach Ablauf oder Kündigung der Abonnementlaufzeit eines Kunden wird dem Kunden oder seinem Handelspartner pro Quartal zu Nutzungsabhängigen Preisen in Rechnung gestellt.</w:t>
      </w:r>
    </w:p>
    <w:p w:rsidR="006A5DAE" w:rsidRPr="00BB5519" w:rsidRDefault="006A5DAE" w:rsidP="006A5DAE">
      <w:pPr>
        <w:rPr>
          <w:lang w:val="de-DE"/>
        </w:rPr>
      </w:pPr>
    </w:p>
    <w:p w:rsidR="006A5DAE" w:rsidRPr="00BB5519" w:rsidRDefault="006A5DAE" w:rsidP="002B3F83">
      <w:pPr>
        <w:rPr>
          <w:lang w:val="de-DE"/>
        </w:rPr>
      </w:pPr>
      <w:r w:rsidRPr="00BB5519">
        <w:rPr>
          <w:lang w:val="de-DE"/>
        </w:rPr>
        <w:lastRenderedPageBreak/>
        <w:t>Microsoft ist berechtigt, Preise für einzelne Windows Azure-Dienste während der Beitrittslaufzeit eines Kunden zu</w:t>
      </w:r>
      <w:r w:rsidR="002B3F83">
        <w:rPr>
          <w:lang w:val="de-DE"/>
        </w:rPr>
        <w:t> </w:t>
      </w:r>
      <w:r w:rsidRPr="00BB5519">
        <w:rPr>
          <w:lang w:val="de-DE"/>
        </w:rPr>
        <w:t>senken.</w:t>
      </w:r>
      <w:r w:rsidR="009E4976" w:rsidRPr="00BB5519">
        <w:rPr>
          <w:lang w:val="de-DE"/>
        </w:rPr>
        <w:t xml:space="preserve"> </w:t>
      </w:r>
      <w:r w:rsidRPr="00BB5519">
        <w:rPr>
          <w:lang w:val="de-DE"/>
        </w:rPr>
        <w:t>Bei Kunden, die Windows Azure-Dienste direkt von Microsoft erwerben, ist im Kundenpreisblatt möglicherweise ein höherer Preis als der zu dem Zeitpunkt aktuelle Preis angegeben. Microsoft gewährt diesen Kunden während des Zeitraums, in dem sie gültig sind, die niedrigeren Preise. Microsoft wird Kunden über derartige</w:t>
      </w:r>
      <w:r w:rsidR="002B3F83">
        <w:rPr>
          <w:lang w:val="de-DE"/>
        </w:rPr>
        <w:t> </w:t>
      </w:r>
      <w:r w:rsidRPr="00BB5519">
        <w:rPr>
          <w:lang w:val="de-DE"/>
        </w:rPr>
        <w:t>Änderungen informieren.</w:t>
      </w:r>
    </w:p>
    <w:p w:rsidR="006A5DAE" w:rsidRPr="00BB5519" w:rsidRDefault="006A5DAE" w:rsidP="006A5DAE">
      <w:pPr>
        <w:rPr>
          <w:lang w:val="de-DE"/>
        </w:rPr>
      </w:pPr>
    </w:p>
    <w:p w:rsidR="006A5DAE" w:rsidRPr="00BB5519" w:rsidRDefault="006A5DAE" w:rsidP="002B3F83">
      <w:pPr>
        <w:rPr>
          <w:lang w:val="de-DE"/>
        </w:rPr>
      </w:pPr>
      <w:r w:rsidRPr="00BB5519">
        <w:rPr>
          <w:rFonts w:cs="Tahoma"/>
          <w:szCs w:val="18"/>
          <w:lang w:val="de-DE"/>
        </w:rPr>
        <w:t>Die Preise und Zahlungsbestimmungen für Abonnements, die über Handelspartner erworben werden, werden durch</w:t>
      </w:r>
      <w:r w:rsidR="002B3F83">
        <w:rPr>
          <w:rFonts w:cs="Tahoma"/>
          <w:szCs w:val="18"/>
          <w:lang w:val="de-DE"/>
        </w:rPr>
        <w:t> </w:t>
      </w:r>
      <w:r w:rsidRPr="00BB5519">
        <w:rPr>
          <w:rFonts w:cs="Tahoma"/>
          <w:szCs w:val="18"/>
          <w:lang w:val="de-DE"/>
        </w:rPr>
        <w:t>den Vertrag zwischen dem Kunden und seinem Handelspartner festgelegt.</w:t>
      </w:r>
      <w:r w:rsidR="009E4976" w:rsidRPr="00BB5519">
        <w:rPr>
          <w:rFonts w:cs="Tahoma"/>
          <w:szCs w:val="18"/>
          <w:lang w:val="de-DE"/>
        </w:rPr>
        <w:t xml:space="preserve"> </w:t>
      </w:r>
      <w:r w:rsidRPr="00BB5519">
        <w:rPr>
          <w:rFonts w:cs="Tahoma"/>
          <w:szCs w:val="18"/>
          <w:lang w:val="de-DE"/>
        </w:rPr>
        <w:t xml:space="preserve">Der </w:t>
      </w:r>
      <w:r w:rsidRPr="00BB5519">
        <w:rPr>
          <w:iCs/>
          <w:lang w:val="de-DE"/>
        </w:rPr>
        <w:t>Handelspartner eines Kunden</w:t>
      </w:r>
      <w:r w:rsidR="002B3F83">
        <w:rPr>
          <w:iCs/>
          <w:lang w:val="de-DE"/>
        </w:rPr>
        <w:t> </w:t>
      </w:r>
      <w:r w:rsidRPr="00BB5519">
        <w:rPr>
          <w:iCs/>
          <w:lang w:val="de-DE"/>
        </w:rPr>
        <w:t>stellt zusätzliche Informationen zum Bestellprozess für Windows Azure-Dienste zur Verfügung.</w:t>
      </w:r>
      <w:r w:rsidR="009E4976" w:rsidRPr="00BB5519">
        <w:rPr>
          <w:iCs/>
          <w:lang w:val="de-DE"/>
        </w:rPr>
        <w:t xml:space="preserve"> </w:t>
      </w:r>
      <w:r w:rsidRPr="00BB5519">
        <w:rPr>
          <w:iCs/>
          <w:lang w:val="de-DE"/>
        </w:rPr>
        <w:t>Die Preise und</w:t>
      </w:r>
      <w:r w:rsidR="002B3F83">
        <w:rPr>
          <w:iCs/>
          <w:lang w:val="de-DE"/>
        </w:rPr>
        <w:t> </w:t>
      </w:r>
      <w:r w:rsidRPr="00BB5519">
        <w:rPr>
          <w:iCs/>
          <w:lang w:val="de-DE"/>
        </w:rPr>
        <w:t xml:space="preserve">Zahlungsbestimmungen für alle Windows Azure-Dienste werden durch einen separaten Vertrag zwischen dem Kunden und seinem Handelspartner geregelt. </w:t>
      </w:r>
      <w:r w:rsidRPr="00BB5519">
        <w:rPr>
          <w:lang w:val="de-DE"/>
        </w:rPr>
        <w:t>Microsoft ist berechtigt, Preise für einzelne Windows Azure-Dienste während der Beitrittslaufzeit eines Kunden zu senken und dem Handelspartner des Kunden in dem Zeitraum, in dem sie gültig sind, die niedrigeren Preise zu gewähren. Microsoft wird den Handelspartner des Kunden über derartige Änderungen informieren. Der Kunde und sein Handelspartner bestimmen die tatsächlichen Preise sowie die Anwendbarkeit von etwaigen Preisänderungen.</w:t>
      </w:r>
    </w:p>
    <w:p w:rsidR="002B3F83" w:rsidRPr="00D15040" w:rsidRDefault="002B3F83" w:rsidP="002B3F83">
      <w:pPr>
        <w:rPr>
          <w:rFonts w:cs="Tahoma"/>
          <w:b/>
          <w:szCs w:val="18"/>
          <w:lang w:val="de-DE"/>
        </w:rPr>
      </w:pPr>
    </w:p>
    <w:p w:rsidR="00776E3B" w:rsidRPr="00D15040" w:rsidRDefault="005242EC" w:rsidP="005242EC">
      <w:pPr>
        <w:spacing w:after="60"/>
        <w:outlineLvl w:val="1"/>
        <w:rPr>
          <w:rFonts w:cs="Tahoma"/>
          <w:b/>
          <w:sz w:val="20"/>
          <w:szCs w:val="18"/>
          <w:lang w:val="de-DE"/>
        </w:rPr>
      </w:pPr>
      <w:r w:rsidRPr="00D15040">
        <w:rPr>
          <w:rFonts w:cs="Tahoma"/>
          <w:b/>
          <w:sz w:val="20"/>
          <w:szCs w:val="18"/>
          <w:lang w:val="de-DE"/>
        </w:rPr>
        <w:t>Windows Azure-Verpflichtungspreise</w:t>
      </w:r>
    </w:p>
    <w:p w:rsidR="00776E3B" w:rsidRPr="00BB5519" w:rsidRDefault="006A5DAE" w:rsidP="00776E3B">
      <w:pPr>
        <w:outlineLvl w:val="1"/>
        <w:rPr>
          <w:lang w:val="de-DE"/>
        </w:rPr>
      </w:pPr>
      <w:r w:rsidRPr="00BB5519">
        <w:rPr>
          <w:rFonts w:cs="Tahoma"/>
          <w:szCs w:val="18"/>
          <w:lang w:val="de-DE"/>
        </w:rPr>
        <w:t xml:space="preserve">Die Verpflichtungspreise der Kunden für Windows Azure-Dienste beruhen auf ihrer Finanziellen Windows Azure-Verpflichtungsstufe und auf ihrem Beitrittspreislevel. Die Finanzielle Windows Azure-Verpflichtungsstufe wird durch die jährliche Anzahl der Finanziellen Windows Azure-Verpflichtung bestimmt (d. h. den Gesamtgeldbetrag, zu dem sich der Kunde während der Laufzeit seines Windows Azure-Abonnements jährlich verpflichtet) und entspricht dem in der Tabelle unten angegebenen Nachlass (als Prozentsatz auf die nutzungsabhängigen Preise/Überschreitungspreise für Windows Azure). </w:t>
      </w:r>
    </w:p>
    <w:p w:rsidR="00776E3B" w:rsidRPr="00BB5519" w:rsidRDefault="00776E3B" w:rsidP="00776E3B">
      <w:pPr>
        <w:ind w:left="720"/>
        <w:outlineLvl w:val="1"/>
        <w:rPr>
          <w:lang w:val="de-D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734"/>
        <w:gridCol w:w="2625"/>
        <w:gridCol w:w="2478"/>
      </w:tblGrid>
      <w:tr w:rsidR="00776E3B" w:rsidRPr="00BB5519" w:rsidTr="00E3712E">
        <w:trPr>
          <w:trHeight w:val="515"/>
          <w:tblHeader/>
          <w:jc w:val="center"/>
        </w:trPr>
        <w:tc>
          <w:tcPr>
            <w:tcW w:w="273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BB5519" w:rsidRDefault="00776E3B" w:rsidP="00E3712E">
            <w:pPr>
              <w:spacing w:after="40"/>
              <w:jc w:val="center"/>
              <w:rPr>
                <w:rFonts w:eastAsia="Times New Roman" w:cs="Tahoma"/>
                <w:b/>
                <w:bCs/>
                <w:szCs w:val="18"/>
              </w:rPr>
            </w:pPr>
            <w:r w:rsidRPr="00BB5519">
              <w:rPr>
                <w:rFonts w:cs="Tahoma"/>
                <w:b/>
                <w:bCs/>
                <w:szCs w:val="18"/>
              </w:rPr>
              <w:t>Finanzielle Windows Azure-Verpflichtungsstufen</w:t>
            </w:r>
          </w:p>
        </w:tc>
        <w:tc>
          <w:tcPr>
            <w:tcW w:w="262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BB5519" w:rsidRDefault="00776E3B" w:rsidP="00E3712E">
            <w:pPr>
              <w:spacing w:after="40"/>
              <w:jc w:val="center"/>
              <w:rPr>
                <w:rFonts w:eastAsia="Times New Roman" w:cs="Tahoma"/>
                <w:b/>
                <w:bCs/>
                <w:szCs w:val="18"/>
                <w:lang w:val="de-DE"/>
              </w:rPr>
            </w:pPr>
            <w:r w:rsidRPr="00BB5519">
              <w:rPr>
                <w:rFonts w:eastAsia="Times New Roman" w:cs="Tahoma"/>
                <w:b/>
                <w:bCs/>
                <w:szCs w:val="18"/>
                <w:lang w:val="de-DE"/>
              </w:rPr>
              <w:t>Jährliche Einheitenanzahl der Finanziellen Windows Azure-Verpflichtung*</w:t>
            </w:r>
          </w:p>
        </w:tc>
        <w:tc>
          <w:tcPr>
            <w:tcW w:w="2478"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BB5519" w:rsidRDefault="00776E3B" w:rsidP="00E3712E">
            <w:pPr>
              <w:spacing w:after="40"/>
              <w:jc w:val="center"/>
              <w:rPr>
                <w:rFonts w:eastAsia="Times New Roman" w:cs="Tahoma"/>
                <w:b/>
                <w:bCs/>
                <w:szCs w:val="18"/>
              </w:rPr>
            </w:pPr>
            <w:r w:rsidRPr="00BB5519">
              <w:rPr>
                <w:rFonts w:cs="Tahoma"/>
                <w:b/>
                <w:bCs/>
                <w:szCs w:val="18"/>
              </w:rPr>
              <w:t>Nachlass auf nutzungsabhängige Preise</w:t>
            </w:r>
          </w:p>
        </w:tc>
      </w:tr>
      <w:tr w:rsidR="00776E3B" w:rsidRPr="00BB5519" w:rsidTr="00E3712E">
        <w:trPr>
          <w:trHeight w:val="258"/>
          <w:jc w:val="center"/>
        </w:trPr>
        <w:tc>
          <w:tcPr>
            <w:tcW w:w="27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B5519" w:rsidRDefault="00776E3B" w:rsidP="0044720D">
            <w:pPr>
              <w:spacing w:before="100" w:beforeAutospacing="1" w:after="100" w:afterAutospacing="1"/>
              <w:ind w:right="259"/>
              <w:jc w:val="center"/>
              <w:rPr>
                <w:rFonts w:eastAsia="Times New Roman" w:cs="Tahoma"/>
                <w:szCs w:val="18"/>
              </w:rPr>
            </w:pPr>
            <w:r w:rsidRPr="00BB5519">
              <w:rPr>
                <w:rFonts w:eastAsia="Times New Roman" w:cs="Tahoma"/>
                <w:szCs w:val="18"/>
              </w:rPr>
              <w:t>Stufe 1</w:t>
            </w:r>
          </w:p>
        </w:tc>
        <w:tc>
          <w:tcPr>
            <w:tcW w:w="26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B5519" w:rsidRDefault="00776E3B" w:rsidP="0044720D">
            <w:pPr>
              <w:spacing w:before="100" w:beforeAutospacing="1" w:after="100" w:afterAutospacing="1"/>
              <w:ind w:right="180"/>
              <w:jc w:val="center"/>
              <w:rPr>
                <w:rFonts w:eastAsia="Times New Roman" w:cs="Tahoma"/>
                <w:szCs w:val="18"/>
              </w:rPr>
            </w:pPr>
            <w:r w:rsidRPr="00BB5519">
              <w:rPr>
                <w:rFonts w:eastAsia="Times New Roman" w:cs="Tahoma"/>
                <w:szCs w:val="18"/>
              </w:rPr>
              <w:t>Bis zu 1.799 Einheiten</w:t>
            </w:r>
          </w:p>
        </w:tc>
        <w:tc>
          <w:tcPr>
            <w:tcW w:w="2478" w:type="dxa"/>
            <w:tcBorders>
              <w:top w:val="single" w:sz="8" w:space="0" w:color="auto"/>
              <w:left w:val="single" w:sz="8" w:space="0" w:color="auto"/>
              <w:bottom w:val="single" w:sz="8" w:space="0" w:color="auto"/>
              <w:right w:val="single" w:sz="8" w:space="0" w:color="auto"/>
            </w:tcBorders>
            <w:hideMark/>
          </w:tcPr>
          <w:p w:rsidR="00776E3B" w:rsidRPr="00BB5519" w:rsidRDefault="00776E3B" w:rsidP="0044720D">
            <w:pPr>
              <w:spacing w:before="100" w:beforeAutospacing="1" w:after="100" w:afterAutospacing="1"/>
              <w:ind w:right="180"/>
              <w:jc w:val="center"/>
              <w:rPr>
                <w:rFonts w:eastAsia="Times New Roman" w:cs="Tahoma"/>
                <w:szCs w:val="18"/>
              </w:rPr>
            </w:pPr>
            <w:r w:rsidRPr="00BB5519">
              <w:rPr>
                <w:rFonts w:eastAsia="Times New Roman" w:cs="Tahoma"/>
                <w:szCs w:val="18"/>
              </w:rPr>
              <w:t>23</w:t>
            </w:r>
            <w:r w:rsidR="00990B7C">
              <w:rPr>
                <w:rFonts w:eastAsia="Times New Roman" w:cs="Tahoma"/>
                <w:szCs w:val="18"/>
              </w:rPr>
              <w:t xml:space="preserve"> </w:t>
            </w:r>
            <w:r w:rsidRPr="00BB5519">
              <w:rPr>
                <w:rFonts w:eastAsia="Times New Roman" w:cs="Tahoma"/>
                <w:szCs w:val="18"/>
              </w:rPr>
              <w:t>%</w:t>
            </w:r>
          </w:p>
        </w:tc>
      </w:tr>
      <w:tr w:rsidR="00776E3B" w:rsidRPr="00BB5519" w:rsidTr="00E3712E">
        <w:trPr>
          <w:trHeight w:val="258"/>
          <w:jc w:val="center"/>
        </w:trPr>
        <w:tc>
          <w:tcPr>
            <w:tcW w:w="27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B5519" w:rsidRDefault="00776E3B" w:rsidP="0044720D">
            <w:pPr>
              <w:spacing w:before="100" w:beforeAutospacing="1" w:after="100" w:afterAutospacing="1"/>
              <w:ind w:right="259"/>
              <w:jc w:val="center"/>
              <w:rPr>
                <w:rFonts w:eastAsia="Times New Roman" w:cs="Tahoma"/>
                <w:szCs w:val="18"/>
              </w:rPr>
            </w:pPr>
            <w:r w:rsidRPr="00BB5519">
              <w:rPr>
                <w:rFonts w:eastAsia="Times New Roman" w:cs="Tahoma"/>
                <w:szCs w:val="18"/>
              </w:rPr>
              <w:t>Stufe 2</w:t>
            </w:r>
          </w:p>
        </w:tc>
        <w:tc>
          <w:tcPr>
            <w:tcW w:w="26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B5519" w:rsidRDefault="00776E3B" w:rsidP="0044720D">
            <w:pPr>
              <w:spacing w:before="100" w:beforeAutospacing="1" w:after="100" w:afterAutospacing="1"/>
              <w:ind w:right="180"/>
              <w:jc w:val="center"/>
              <w:rPr>
                <w:rFonts w:eastAsia="Times New Roman" w:cs="Tahoma"/>
                <w:szCs w:val="18"/>
              </w:rPr>
            </w:pPr>
            <w:r w:rsidRPr="00BB5519">
              <w:rPr>
                <w:rFonts w:eastAsia="Times New Roman" w:cs="Tahoma"/>
                <w:szCs w:val="18"/>
              </w:rPr>
              <w:t>1.800 – 4.799 Einheiten</w:t>
            </w:r>
          </w:p>
        </w:tc>
        <w:tc>
          <w:tcPr>
            <w:tcW w:w="2478" w:type="dxa"/>
            <w:tcBorders>
              <w:top w:val="single" w:sz="8" w:space="0" w:color="auto"/>
              <w:left w:val="single" w:sz="8" w:space="0" w:color="auto"/>
              <w:bottom w:val="single" w:sz="8" w:space="0" w:color="auto"/>
              <w:right w:val="single" w:sz="8" w:space="0" w:color="auto"/>
            </w:tcBorders>
            <w:hideMark/>
          </w:tcPr>
          <w:p w:rsidR="00776E3B" w:rsidRPr="00BB5519" w:rsidRDefault="00776E3B" w:rsidP="0044720D">
            <w:pPr>
              <w:spacing w:before="100" w:beforeAutospacing="1" w:after="100" w:afterAutospacing="1"/>
              <w:ind w:right="180"/>
              <w:jc w:val="center"/>
              <w:rPr>
                <w:rFonts w:eastAsia="Times New Roman" w:cs="Tahoma"/>
                <w:szCs w:val="18"/>
              </w:rPr>
            </w:pPr>
            <w:r w:rsidRPr="00BB5519">
              <w:rPr>
                <w:rFonts w:eastAsia="Times New Roman" w:cs="Tahoma"/>
                <w:szCs w:val="18"/>
              </w:rPr>
              <w:t>26</w:t>
            </w:r>
            <w:r w:rsidR="00990B7C">
              <w:rPr>
                <w:rFonts w:eastAsia="Times New Roman" w:cs="Tahoma"/>
                <w:szCs w:val="18"/>
              </w:rPr>
              <w:t xml:space="preserve"> </w:t>
            </w:r>
            <w:r w:rsidRPr="00BB5519">
              <w:rPr>
                <w:rFonts w:eastAsia="Times New Roman" w:cs="Tahoma"/>
                <w:szCs w:val="18"/>
              </w:rPr>
              <w:t>%</w:t>
            </w:r>
          </w:p>
        </w:tc>
      </w:tr>
      <w:tr w:rsidR="00776E3B" w:rsidRPr="00BB5519" w:rsidTr="00E3712E">
        <w:trPr>
          <w:trHeight w:val="258"/>
          <w:jc w:val="center"/>
        </w:trPr>
        <w:tc>
          <w:tcPr>
            <w:tcW w:w="27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B5519" w:rsidRDefault="00776E3B" w:rsidP="0044720D">
            <w:pPr>
              <w:spacing w:before="100" w:beforeAutospacing="1" w:after="100" w:afterAutospacing="1"/>
              <w:ind w:right="259"/>
              <w:jc w:val="center"/>
              <w:rPr>
                <w:rFonts w:eastAsia="Times New Roman" w:cs="Tahoma"/>
                <w:szCs w:val="18"/>
              </w:rPr>
            </w:pPr>
            <w:r w:rsidRPr="00BB5519">
              <w:rPr>
                <w:rFonts w:eastAsia="Times New Roman" w:cs="Tahoma"/>
                <w:szCs w:val="18"/>
              </w:rPr>
              <w:t>Stufe 3</w:t>
            </w:r>
          </w:p>
        </w:tc>
        <w:tc>
          <w:tcPr>
            <w:tcW w:w="26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B5519" w:rsidRDefault="00776E3B" w:rsidP="0044720D">
            <w:pPr>
              <w:spacing w:before="100" w:beforeAutospacing="1" w:after="100" w:afterAutospacing="1"/>
              <w:ind w:right="180"/>
              <w:jc w:val="center"/>
              <w:rPr>
                <w:rFonts w:eastAsia="Times New Roman" w:cs="Tahoma"/>
                <w:szCs w:val="18"/>
              </w:rPr>
            </w:pPr>
            <w:r w:rsidRPr="00BB5519">
              <w:rPr>
                <w:rFonts w:eastAsia="Times New Roman" w:cs="Tahoma"/>
                <w:szCs w:val="18"/>
              </w:rPr>
              <w:t>4.800 – 11.999 Einheiten</w:t>
            </w:r>
          </w:p>
        </w:tc>
        <w:tc>
          <w:tcPr>
            <w:tcW w:w="2478" w:type="dxa"/>
            <w:tcBorders>
              <w:top w:val="single" w:sz="8" w:space="0" w:color="auto"/>
              <w:left w:val="single" w:sz="8" w:space="0" w:color="auto"/>
              <w:bottom w:val="single" w:sz="8" w:space="0" w:color="auto"/>
              <w:right w:val="single" w:sz="8" w:space="0" w:color="auto"/>
            </w:tcBorders>
            <w:hideMark/>
          </w:tcPr>
          <w:p w:rsidR="00776E3B" w:rsidRPr="00BB5519" w:rsidRDefault="00776E3B" w:rsidP="0044720D">
            <w:pPr>
              <w:spacing w:before="100" w:beforeAutospacing="1" w:after="100" w:afterAutospacing="1"/>
              <w:ind w:right="180"/>
              <w:jc w:val="center"/>
              <w:rPr>
                <w:rFonts w:eastAsia="Times New Roman" w:cs="Tahoma"/>
                <w:szCs w:val="18"/>
              </w:rPr>
            </w:pPr>
            <w:r w:rsidRPr="00BB5519">
              <w:rPr>
                <w:rFonts w:eastAsia="Times New Roman" w:cs="Tahoma"/>
                <w:szCs w:val="18"/>
              </w:rPr>
              <w:t>30</w:t>
            </w:r>
            <w:r w:rsidR="00990B7C">
              <w:rPr>
                <w:rFonts w:eastAsia="Times New Roman" w:cs="Tahoma"/>
                <w:szCs w:val="18"/>
              </w:rPr>
              <w:t xml:space="preserve"> </w:t>
            </w:r>
            <w:r w:rsidRPr="00BB5519">
              <w:rPr>
                <w:rFonts w:eastAsia="Times New Roman" w:cs="Tahoma"/>
                <w:szCs w:val="18"/>
              </w:rPr>
              <w:t>%</w:t>
            </w:r>
          </w:p>
        </w:tc>
      </w:tr>
      <w:tr w:rsidR="00776E3B" w:rsidRPr="00BB5519" w:rsidTr="00E3712E">
        <w:trPr>
          <w:trHeight w:val="258"/>
          <w:jc w:val="center"/>
        </w:trPr>
        <w:tc>
          <w:tcPr>
            <w:tcW w:w="27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B5519" w:rsidRDefault="00776E3B" w:rsidP="0044720D">
            <w:pPr>
              <w:spacing w:before="100" w:beforeAutospacing="1" w:after="100" w:afterAutospacing="1"/>
              <w:ind w:right="259"/>
              <w:jc w:val="center"/>
              <w:rPr>
                <w:rFonts w:eastAsia="Times New Roman" w:cs="Tahoma"/>
                <w:szCs w:val="18"/>
              </w:rPr>
            </w:pPr>
            <w:r w:rsidRPr="00BB5519">
              <w:rPr>
                <w:rFonts w:eastAsia="Times New Roman" w:cs="Tahoma"/>
                <w:szCs w:val="18"/>
              </w:rPr>
              <w:t>Stufe 4</w:t>
            </w:r>
          </w:p>
        </w:tc>
        <w:tc>
          <w:tcPr>
            <w:tcW w:w="26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BB5519" w:rsidRDefault="00776E3B" w:rsidP="0044720D">
            <w:pPr>
              <w:spacing w:before="100" w:beforeAutospacing="1" w:after="100" w:afterAutospacing="1"/>
              <w:ind w:right="180"/>
              <w:jc w:val="center"/>
              <w:rPr>
                <w:rFonts w:eastAsia="Times New Roman" w:cs="Tahoma"/>
                <w:szCs w:val="18"/>
              </w:rPr>
            </w:pPr>
            <w:r w:rsidRPr="00BB5519">
              <w:rPr>
                <w:rFonts w:eastAsia="Times New Roman" w:cs="Tahoma"/>
                <w:szCs w:val="18"/>
              </w:rPr>
              <w:t>12.000 + Einheiten</w:t>
            </w:r>
          </w:p>
        </w:tc>
        <w:tc>
          <w:tcPr>
            <w:tcW w:w="2478" w:type="dxa"/>
            <w:tcBorders>
              <w:top w:val="single" w:sz="8" w:space="0" w:color="auto"/>
              <w:left w:val="single" w:sz="8" w:space="0" w:color="auto"/>
              <w:bottom w:val="single" w:sz="8" w:space="0" w:color="auto"/>
              <w:right w:val="single" w:sz="8" w:space="0" w:color="auto"/>
            </w:tcBorders>
            <w:hideMark/>
          </w:tcPr>
          <w:p w:rsidR="00776E3B" w:rsidRPr="00BB5519" w:rsidRDefault="00776E3B" w:rsidP="0044720D">
            <w:pPr>
              <w:spacing w:before="100" w:beforeAutospacing="1" w:after="100" w:afterAutospacing="1"/>
              <w:ind w:right="180"/>
              <w:jc w:val="center"/>
              <w:rPr>
                <w:rFonts w:eastAsia="Times New Roman" w:cs="Tahoma"/>
                <w:szCs w:val="18"/>
              </w:rPr>
            </w:pPr>
            <w:r w:rsidRPr="00BB5519">
              <w:rPr>
                <w:rFonts w:eastAsia="Times New Roman" w:cs="Tahoma"/>
                <w:szCs w:val="18"/>
              </w:rPr>
              <w:t>35</w:t>
            </w:r>
            <w:r w:rsidR="00990B7C">
              <w:rPr>
                <w:rFonts w:eastAsia="Times New Roman" w:cs="Tahoma"/>
                <w:szCs w:val="18"/>
              </w:rPr>
              <w:t xml:space="preserve"> </w:t>
            </w:r>
            <w:r w:rsidRPr="00BB5519">
              <w:rPr>
                <w:rFonts w:eastAsia="Times New Roman" w:cs="Tahoma"/>
                <w:szCs w:val="18"/>
              </w:rPr>
              <w:t>%</w:t>
            </w:r>
          </w:p>
        </w:tc>
      </w:tr>
    </w:tbl>
    <w:p w:rsidR="006A5DAE" w:rsidRPr="00BB5519" w:rsidRDefault="00AA0329" w:rsidP="00E3712E">
      <w:pPr>
        <w:spacing w:before="40"/>
        <w:ind w:left="1080"/>
        <w:outlineLvl w:val="1"/>
        <w:rPr>
          <w:lang w:val="de-DE"/>
        </w:rPr>
      </w:pPr>
      <w:r w:rsidRPr="00BB5519">
        <w:rPr>
          <w:rFonts w:cs="Tahoma"/>
          <w:i/>
          <w:sz w:val="16"/>
          <w:szCs w:val="18"/>
          <w:lang w:val="de-DE"/>
        </w:rPr>
        <w:t>* Einheit ist ein Geldbetrag in der anwendbaren Währung</w:t>
      </w:r>
    </w:p>
    <w:p w:rsidR="00776E3B" w:rsidRPr="00BB5519" w:rsidRDefault="00776E3B" w:rsidP="00776E3B">
      <w:pPr>
        <w:outlineLvl w:val="1"/>
        <w:rPr>
          <w:lang w:val="de-DE"/>
        </w:rPr>
      </w:pPr>
    </w:p>
    <w:p w:rsidR="00776E3B" w:rsidRPr="00BB5519" w:rsidRDefault="00776E3B" w:rsidP="00776E3B">
      <w:pPr>
        <w:outlineLvl w:val="1"/>
        <w:rPr>
          <w:lang w:val="de-DE"/>
        </w:rPr>
      </w:pPr>
      <w:r w:rsidRPr="00BB5519">
        <w:rPr>
          <w:rFonts w:cs="Tahoma"/>
          <w:szCs w:val="18"/>
          <w:lang w:val="de-DE"/>
        </w:rPr>
        <w:t>Ein Kunde ist berechtigt, jederzeit während der Laufzeit seines Windows Azure-Abonnements seine jährliche Anzahl der Finanziellen Windows Azure-Verpflichtung zu erhöhen und sich für eine höhere Stufe qualifizieren.</w:t>
      </w:r>
      <w:r w:rsidR="009E4976" w:rsidRPr="00BB5519">
        <w:rPr>
          <w:rFonts w:cs="Tahoma"/>
          <w:szCs w:val="18"/>
          <w:lang w:val="de-DE"/>
        </w:rPr>
        <w:t xml:space="preserve"> </w:t>
      </w:r>
      <w:r w:rsidRPr="00BB5519">
        <w:rPr>
          <w:rFonts w:cs="Tahoma"/>
          <w:szCs w:val="18"/>
          <w:lang w:val="de-DE"/>
        </w:rPr>
        <w:t xml:space="preserve">Die neuen Verpflichtungspreise gelten für die Verwendung der Windows Azure-Dienste durch den Kunden ab dem ersten Tag des Kalendermonats, nachdem der Kunde seine jährliche Lizenzanzahl der Finanziellen Windows Azure-Verpflichtung angepasst hat. </w:t>
      </w:r>
    </w:p>
    <w:p w:rsidR="00776E3B" w:rsidRPr="00BB5519" w:rsidRDefault="00776E3B" w:rsidP="00776E3B">
      <w:pPr>
        <w:outlineLvl w:val="1"/>
        <w:rPr>
          <w:lang w:val="de-DE"/>
        </w:rPr>
      </w:pPr>
    </w:p>
    <w:p w:rsidR="00776E3B" w:rsidRPr="00BB5519" w:rsidRDefault="00776E3B" w:rsidP="005242EC">
      <w:pPr>
        <w:outlineLvl w:val="1"/>
        <w:rPr>
          <w:lang w:val="de-DE"/>
        </w:rPr>
      </w:pPr>
      <w:r w:rsidRPr="00BB5519">
        <w:rPr>
          <w:rFonts w:eastAsia="Times New Roman" w:cs="Tahoma"/>
          <w:szCs w:val="18"/>
          <w:lang w:val="de-DE"/>
        </w:rPr>
        <w:t xml:space="preserve">Das Kundenpreisblatt spiegelt die Verpflichtungspreise von Stufe 1 wider. Die tatsächlichen </w:t>
      </w:r>
      <w:r w:rsidRPr="00BB5519">
        <w:rPr>
          <w:rFonts w:cs="Tahoma"/>
          <w:szCs w:val="18"/>
          <w:lang w:val="de-DE"/>
        </w:rPr>
        <w:t>Verpflichtungspreise sind im Windows Azure Enterprise-Portal auf der Seite „Account View“ angegeben. Die Preise und Zahlungsbestimmungen für Windows Azure-Dienste, die über Handelspartner erworben werden, werden durch den Vertrag zwischen einem Kunden und seinem Handelspartner festgelegt.</w:t>
      </w:r>
    </w:p>
    <w:p w:rsidR="0067627F" w:rsidRPr="00BB5519" w:rsidRDefault="0067627F" w:rsidP="00776E3B">
      <w:pPr>
        <w:rPr>
          <w:lang w:val="de-DE"/>
        </w:rPr>
      </w:pPr>
    </w:p>
    <w:p w:rsidR="00456002" w:rsidRPr="00EC2A0D" w:rsidRDefault="00456002" w:rsidP="00456002">
      <w:pPr>
        <w:pStyle w:val="Heading2"/>
        <w:ind w:left="0"/>
        <w:rPr>
          <w:rFonts w:ascii="Tahoma" w:hAnsi="Tahoma" w:cs="Tahoma"/>
          <w:lang w:val="de-DE"/>
        </w:rPr>
      </w:pPr>
      <w:bookmarkStart w:id="743" w:name="_Toc328145984"/>
      <w:bookmarkStart w:id="744" w:name="_Toc336338215"/>
      <w:bookmarkStart w:id="745" w:name="_Toc354054909"/>
      <w:r w:rsidRPr="00EC2A0D">
        <w:rPr>
          <w:rFonts w:ascii="Tahoma" w:hAnsi="Tahoma" w:cs="Tahoma"/>
          <w:lang w:val="de-DE"/>
        </w:rPr>
        <w:t>Regionale Verfügbarkeit von Onlinediensten</w:t>
      </w:r>
      <w:bookmarkEnd w:id="743"/>
      <w:bookmarkEnd w:id="744"/>
      <w:bookmarkEnd w:id="745"/>
      <w:r w:rsidRPr="00EC2A0D">
        <w:rPr>
          <w:rFonts w:ascii="Tahoma" w:hAnsi="Tahoma" w:cs="Tahoma"/>
          <w:lang w:val="de-DE"/>
        </w:rPr>
        <w:t xml:space="preserve"> </w:t>
      </w:r>
    </w:p>
    <w:p w:rsidR="00456002" w:rsidRPr="00BB5519" w:rsidRDefault="00456002" w:rsidP="00DF28F2">
      <w:pPr>
        <w:outlineLvl w:val="2"/>
        <w:rPr>
          <w:lang w:val="de-DE"/>
        </w:rPr>
      </w:pPr>
    </w:p>
    <w:p w:rsidR="0067627F" w:rsidRPr="00BB5519" w:rsidRDefault="00456002" w:rsidP="0067627F">
      <w:pPr>
        <w:outlineLvl w:val="2"/>
        <w:rPr>
          <w:lang w:val="de-DE"/>
        </w:rPr>
      </w:pPr>
      <w:r w:rsidRPr="00BB5519">
        <w:rPr>
          <w:rFonts w:cs="Tahoma"/>
          <w:szCs w:val="18"/>
          <w:lang w:val="de-DE"/>
        </w:rPr>
        <w:t xml:space="preserve">Unter </w:t>
      </w:r>
      <w:hyperlink r:id="rId24" w:anchor="international" w:history="1">
        <w:r w:rsidRPr="00BB5519">
          <w:rPr>
            <w:rStyle w:val="Hyperlink"/>
            <w:lang w:val="de-DE"/>
          </w:rPr>
          <w:t>http://www.microsoft.com/online/faq.aspx#international</w:t>
        </w:r>
      </w:hyperlink>
      <w:r w:rsidRPr="00BB5519">
        <w:rPr>
          <w:color w:val="1F497D"/>
          <w:lang w:val="de-DE"/>
        </w:rPr>
        <w:t xml:space="preserve"> </w:t>
      </w:r>
      <w:r w:rsidRPr="00BB5519">
        <w:rPr>
          <w:color w:val="000000"/>
          <w:lang w:val="de-DE"/>
        </w:rPr>
        <w:t>erhalten Sie eine Liste der Länder und Regionen, in denen die Onlinedienste verfügbar sind.</w:t>
      </w:r>
      <w:r w:rsidR="009E4976" w:rsidRPr="00BB5519">
        <w:rPr>
          <w:color w:val="000000"/>
          <w:lang w:val="de-DE"/>
        </w:rPr>
        <w:t xml:space="preserve"> </w:t>
      </w:r>
    </w:p>
    <w:p w:rsidR="0067627F" w:rsidRPr="00BB5519" w:rsidRDefault="0067627F" w:rsidP="0067627F">
      <w:pPr>
        <w:outlineLvl w:val="2"/>
        <w:rPr>
          <w:lang w:val="de-DE"/>
        </w:rPr>
      </w:pPr>
    </w:p>
    <w:p w:rsidR="00456002" w:rsidRPr="00EC2A0D" w:rsidRDefault="00456002" w:rsidP="00456002">
      <w:pPr>
        <w:pStyle w:val="Heading2"/>
        <w:ind w:left="0"/>
        <w:rPr>
          <w:rFonts w:ascii="Tahoma" w:hAnsi="Tahoma" w:cs="Tahoma"/>
          <w:lang w:val="de-DE"/>
        </w:rPr>
      </w:pPr>
      <w:bookmarkStart w:id="746" w:name="_Toc328145985"/>
      <w:bookmarkStart w:id="747" w:name="_Toc336338216"/>
      <w:bookmarkStart w:id="748" w:name="_Toc354054910"/>
      <w:r w:rsidRPr="00EC2A0D">
        <w:rPr>
          <w:rFonts w:ascii="Tahoma" w:hAnsi="Tahoma" w:cs="Tahoma"/>
          <w:lang w:val="de-DE"/>
        </w:rPr>
        <w:t>Zusätzliche Bestimmungen für Onlinedienste</w:t>
      </w:r>
      <w:bookmarkEnd w:id="746"/>
      <w:bookmarkEnd w:id="747"/>
      <w:bookmarkEnd w:id="748"/>
    </w:p>
    <w:p w:rsidR="00456002" w:rsidRPr="00BB5519" w:rsidRDefault="00456002" w:rsidP="00DF28F2">
      <w:pPr>
        <w:outlineLvl w:val="2"/>
        <w:rPr>
          <w:lang w:val="de-DE"/>
        </w:rPr>
      </w:pPr>
    </w:p>
    <w:p w:rsidR="00456002" w:rsidRPr="00BB5519" w:rsidRDefault="00456002" w:rsidP="00CF3FEE">
      <w:pPr>
        <w:rPr>
          <w:lang w:val="de-DE"/>
        </w:rPr>
      </w:pPr>
      <w:r w:rsidRPr="00BB5519">
        <w:rPr>
          <w:lang w:val="de-DE"/>
        </w:rPr>
        <w:t>Diese Produktliste kann zusätzliche Informationen zu bestimmten Produkten enthalten.</w:t>
      </w:r>
      <w:r w:rsidR="009E4976" w:rsidRPr="00BB5519">
        <w:rPr>
          <w:lang w:val="de-DE"/>
        </w:rPr>
        <w:t xml:space="preserve"> </w:t>
      </w:r>
      <w:r w:rsidRPr="00BB5519">
        <w:rPr>
          <w:lang w:val="de-DE"/>
        </w:rPr>
        <w:t>Weitere Informationen finden Sie in den Produktabschnitten dieses Dokuments.</w:t>
      </w:r>
    </w:p>
    <w:p w:rsidR="00456002" w:rsidRPr="00BB5519" w:rsidRDefault="00456002" w:rsidP="00CF3FEE">
      <w:pPr>
        <w:rPr>
          <w:lang w:val="de-DE"/>
        </w:rPr>
      </w:pPr>
    </w:p>
    <w:p w:rsidR="00456002" w:rsidRPr="00BB5519" w:rsidRDefault="00456002" w:rsidP="002D374A">
      <w:pPr>
        <w:rPr>
          <w:lang w:val="de-DE"/>
        </w:rPr>
      </w:pPr>
      <w:r w:rsidRPr="00BB5519">
        <w:rPr>
          <w:lang w:val="de-DE"/>
        </w:rPr>
        <w:lastRenderedPageBreak/>
        <w:t xml:space="preserve">Die Produktbenutzungsrechte </w:t>
      </w:r>
      <w:r w:rsidRPr="00E3712E">
        <w:rPr>
          <w:lang w:val="de-DE"/>
        </w:rPr>
        <w:t>unter</w:t>
      </w:r>
      <w:r w:rsidR="00E3712E" w:rsidRPr="00E3712E">
        <w:rPr>
          <w:lang w:val="de-DE"/>
        </w:rPr>
        <w:t xml:space="preserve"> </w:t>
      </w:r>
      <w:r w:rsidR="002D374A" w:rsidRPr="00F14C6A">
        <w:rPr>
          <w:rStyle w:val="Hyperlink"/>
          <w:color w:val="auto"/>
          <w:u w:val="none"/>
          <w:lang w:val="de-DE"/>
        </w:rPr>
        <w:t>http://www.microsoftvolumelicensing.com/userights/PUR.aspx</w:t>
      </w:r>
      <w:r w:rsidR="002D374A" w:rsidRPr="002D374A">
        <w:rPr>
          <w:lang w:val="de-DE"/>
        </w:rPr>
        <w:t xml:space="preserve"> </w:t>
      </w:r>
      <w:r w:rsidRPr="00BB5519">
        <w:rPr>
          <w:lang w:val="de-DE"/>
        </w:rPr>
        <w:t>enthalten allgemeine und produktspezifische Bestimmungen für die Nutzung von Onlinediensten.</w:t>
      </w:r>
      <w:r w:rsidR="009E4976" w:rsidRPr="00BB5519">
        <w:rPr>
          <w:lang w:val="de-DE"/>
        </w:rPr>
        <w:t xml:space="preserve"> </w:t>
      </w:r>
      <w:r w:rsidRPr="00BB5519">
        <w:rPr>
          <w:lang w:val="de-DE"/>
        </w:rPr>
        <w:t>Die Onlinedienste-Produktbenutzungsrechte können wie im Abschnitt „Onlinedienste“ jenes Dokuments beschrieben geändert werden.</w:t>
      </w:r>
    </w:p>
    <w:p w:rsidR="00456002" w:rsidRPr="00BB5519" w:rsidRDefault="00456002" w:rsidP="00CF3FEE">
      <w:pPr>
        <w:rPr>
          <w:lang w:val="de-DE"/>
        </w:rPr>
      </w:pPr>
    </w:p>
    <w:p w:rsidR="00026546" w:rsidRPr="00BB5519" w:rsidRDefault="00456002" w:rsidP="00E3712E">
      <w:pPr>
        <w:rPr>
          <w:lang w:val="de-DE"/>
        </w:rPr>
      </w:pPr>
      <w:bookmarkStart w:id="749" w:name="_Toc325313160"/>
      <w:r w:rsidRPr="00BB5519">
        <w:rPr>
          <w:lang w:val="de-DE"/>
        </w:rPr>
        <w:t>Die oben genannten Preise und Zahlungsbestimmungen für Onlinedienste gelten nicht für Onlinedienste, die in Übereinstimmung mit dem Microsoft Online-Abonnement-Vertrag erworben wurden.</w:t>
      </w:r>
      <w:r w:rsidR="009E4976" w:rsidRPr="00BB5519">
        <w:rPr>
          <w:lang w:val="de-DE"/>
        </w:rPr>
        <w:t xml:space="preserve"> </w:t>
      </w:r>
      <w:r w:rsidRPr="00BB5519">
        <w:rPr>
          <w:lang w:val="de-DE"/>
        </w:rPr>
        <w:t>Alle anwendbaren Bestimmungen für Onlinedienste, die in Übereinstimmung mit dem Microsoft Online-Abonnement-Vertrag erworben</w:t>
      </w:r>
      <w:r w:rsidR="00E3712E">
        <w:rPr>
          <w:lang w:val="de-DE"/>
        </w:rPr>
        <w:t> </w:t>
      </w:r>
      <w:r w:rsidRPr="00BB5519">
        <w:rPr>
          <w:lang w:val="de-DE"/>
        </w:rPr>
        <w:t>wurden, sind in jenem Vertrag und im Microsoft Online Services-Kundenportal enthalten.</w:t>
      </w:r>
      <w:bookmarkEnd w:id="749"/>
    </w:p>
    <w:p w:rsidR="00676723" w:rsidRPr="00BB5519" w:rsidRDefault="00676723">
      <w:pPr>
        <w:rPr>
          <w:lang w:val="de-DE"/>
        </w:rPr>
      </w:pPr>
      <w:bookmarkStart w:id="750" w:name="_Toc336338217"/>
      <w:r w:rsidRPr="00BB5519">
        <w:rPr>
          <w:lang w:val="de-DE"/>
        </w:rPr>
        <w:br w:type="page"/>
      </w:r>
    </w:p>
    <w:p w:rsidR="00023FE7" w:rsidRPr="00D15040" w:rsidRDefault="00A33112" w:rsidP="00B0065F">
      <w:pPr>
        <w:pStyle w:val="Heading1"/>
        <w:rPr>
          <w:lang w:val="de-DE"/>
        </w:rPr>
      </w:pPr>
      <w:bookmarkStart w:id="751" w:name="_Toc354054911"/>
      <w:r w:rsidRPr="00D15040">
        <w:rPr>
          <w:lang w:val="de-DE"/>
        </w:rPr>
        <w:lastRenderedPageBreak/>
        <w:t>ABSCHNITT 6 – Regeln zur Verlängerung von Software Assurance</w:t>
      </w:r>
      <w:bookmarkEnd w:id="750"/>
      <w:bookmarkEnd w:id="751"/>
    </w:p>
    <w:p w:rsidR="00E53E60" w:rsidRPr="00D15040" w:rsidRDefault="00E53E60" w:rsidP="00E53E60">
      <w:pPr>
        <w:rPr>
          <w:sz w:val="24"/>
          <w:lang w:val="de-DE"/>
        </w:rPr>
      </w:pPr>
      <w:bookmarkStart w:id="752" w:name="_Toc323159745"/>
      <w:bookmarkStart w:id="753" w:name="_Toc336338218"/>
    </w:p>
    <w:p w:rsidR="00171817" w:rsidRPr="00EC2A0D" w:rsidRDefault="00171817" w:rsidP="00171817">
      <w:pPr>
        <w:pStyle w:val="Heading4"/>
        <w:tabs>
          <w:tab w:val="clear" w:pos="720"/>
          <w:tab w:val="num" w:pos="0"/>
        </w:tabs>
        <w:ind w:left="0" w:firstLine="0"/>
        <w:rPr>
          <w:rFonts w:ascii="Tahoma" w:hAnsi="Tahoma" w:cs="Tahoma"/>
          <w:sz w:val="24"/>
          <w:lang w:val="de-DE"/>
        </w:rPr>
      </w:pPr>
      <w:bookmarkStart w:id="754" w:name="_Toc354054912"/>
      <w:r w:rsidRPr="00EC2A0D">
        <w:rPr>
          <w:rFonts w:ascii="Tahoma" w:hAnsi="Tahoma" w:cs="Tahoma"/>
          <w:sz w:val="24"/>
          <w:lang w:val="de-DE"/>
        </w:rPr>
        <w:t>Open-Lizenz</w:t>
      </w:r>
      <w:bookmarkEnd w:id="752"/>
      <w:bookmarkEnd w:id="753"/>
      <w:bookmarkEnd w:id="754"/>
    </w:p>
    <w:p w:rsidR="00E53E60" w:rsidRPr="00D15040" w:rsidRDefault="00E53E60" w:rsidP="00E53E60">
      <w:pPr>
        <w:pStyle w:val="Heading4"/>
        <w:tabs>
          <w:tab w:val="clear" w:pos="720"/>
          <w:tab w:val="num" w:pos="0"/>
        </w:tabs>
        <w:spacing w:before="0"/>
        <w:ind w:left="0" w:firstLine="0"/>
        <w:rPr>
          <w:rFonts w:ascii="Tahoma" w:hAnsi="Tahoma" w:cs="Tahoma"/>
          <w:b w:val="0"/>
          <w:sz w:val="18"/>
          <w:lang w:val="de-DE"/>
        </w:rPr>
      </w:pPr>
    </w:p>
    <w:p w:rsidR="00171817" w:rsidRPr="00BB5519" w:rsidRDefault="00171817" w:rsidP="00E53E60">
      <w:pPr>
        <w:pStyle w:val="StyleHeading22Left138Firstline0"/>
        <w:tabs>
          <w:tab w:val="num" w:pos="0"/>
        </w:tabs>
        <w:ind w:left="0"/>
        <w:jc w:val="left"/>
        <w:rPr>
          <w:lang w:val="de-DE"/>
        </w:rPr>
      </w:pPr>
      <w:r w:rsidRPr="00BB5519">
        <w:rPr>
          <w:rFonts w:ascii="Tahoma" w:hAnsi="Tahoma" w:cs="Tahoma"/>
          <w:sz w:val="18"/>
          <w:lang w:val="de-DE"/>
        </w:rPr>
        <w:t>Software Assurance, die im Rahmen einer Open-Lizenz-Autorisierungsnummer bestellt wird, endet nach Ablauf dieser</w:t>
      </w:r>
      <w:r w:rsidR="00E53E60">
        <w:rPr>
          <w:rFonts w:ascii="Tahoma" w:hAnsi="Tahoma" w:cs="Tahoma"/>
          <w:sz w:val="18"/>
          <w:lang w:val="de-DE"/>
        </w:rPr>
        <w:t> </w:t>
      </w:r>
      <w:r w:rsidRPr="00BB5519">
        <w:rPr>
          <w:rFonts w:ascii="Tahoma" w:hAnsi="Tahoma" w:cs="Tahoma"/>
          <w:sz w:val="18"/>
          <w:lang w:val="de-DE"/>
        </w:rPr>
        <w:t>Nummer. Um diese zu verlängern, müssen Kunden innerhalb von 90 Tagen nach dem Ablaufdatum der Autorisierungsnummer eine Verlängerungsbestellung für Software Assurance für alle Kopien der Produkte abgeben, für die sie die Verlängerung wünschen. Kunden können Software Assurance bestellen, ohne gleichzeitig eine Lizenz zu bestellen, sofern Software Assurance wie oben genannt verlängert wird. Die Laufzeit von neuer Software Assurance beginnt am Wirksamkeitsdatum der neuen Autorisierungsnummer.</w:t>
      </w:r>
    </w:p>
    <w:p w:rsidR="00E53E60" w:rsidRPr="00D15040" w:rsidRDefault="00E53E60" w:rsidP="00E53E60">
      <w:pPr>
        <w:pStyle w:val="AppendIndentSub"/>
        <w:ind w:left="0"/>
        <w:rPr>
          <w:rFonts w:ascii="Tahoma" w:hAnsi="Tahoma" w:cs="Tahoma"/>
          <w:sz w:val="18"/>
          <w:lang w:val="de-DE"/>
        </w:rPr>
      </w:pPr>
      <w:bookmarkStart w:id="755" w:name="_Toc336338219"/>
    </w:p>
    <w:p w:rsidR="00171817" w:rsidRPr="00EC2A0D" w:rsidRDefault="00171817" w:rsidP="002171C3">
      <w:pPr>
        <w:pStyle w:val="Heading4"/>
        <w:ind w:left="360"/>
        <w:rPr>
          <w:rFonts w:ascii="Tahoma" w:hAnsi="Tahoma" w:cs="Tahoma"/>
          <w:sz w:val="24"/>
          <w:lang w:val="de-DE"/>
        </w:rPr>
      </w:pPr>
      <w:bookmarkStart w:id="756" w:name="_Toc354054913"/>
      <w:r w:rsidRPr="00EC2A0D">
        <w:rPr>
          <w:rFonts w:ascii="Tahoma" w:hAnsi="Tahoma" w:cs="Tahoma"/>
          <w:sz w:val="24"/>
          <w:lang w:val="de-DE"/>
        </w:rPr>
        <w:t>Open Value 20xx</w:t>
      </w:r>
      <w:bookmarkEnd w:id="755"/>
      <w:bookmarkEnd w:id="756"/>
    </w:p>
    <w:p w:rsidR="00171817" w:rsidRPr="00BB5519" w:rsidRDefault="00171817" w:rsidP="00171817">
      <w:pPr>
        <w:tabs>
          <w:tab w:val="num" w:pos="0"/>
        </w:tabs>
        <w:rPr>
          <w:lang w:val="de-DE"/>
        </w:rPr>
      </w:pPr>
    </w:p>
    <w:p w:rsidR="00171817" w:rsidRPr="00EC2A0D" w:rsidRDefault="00171817" w:rsidP="005242EC">
      <w:pPr>
        <w:keepNext/>
        <w:tabs>
          <w:tab w:val="num" w:pos="720"/>
        </w:tabs>
        <w:spacing w:after="60"/>
        <w:ind w:left="360" w:hanging="360"/>
        <w:outlineLvl w:val="3"/>
        <w:rPr>
          <w:b/>
          <w:szCs w:val="20"/>
          <w:lang w:val="de-DE"/>
        </w:rPr>
      </w:pPr>
      <w:r w:rsidRPr="00EC2A0D">
        <w:rPr>
          <w:b/>
          <w:szCs w:val="20"/>
          <w:lang w:val="de-DE"/>
        </w:rPr>
        <w:t xml:space="preserve">Verlängerung im Rahmen des Gleichen Vertrages </w:t>
      </w:r>
    </w:p>
    <w:p w:rsidR="00171817" w:rsidRPr="00BB5519" w:rsidRDefault="00171817" w:rsidP="00171817">
      <w:pPr>
        <w:tabs>
          <w:tab w:val="num" w:pos="0"/>
        </w:tabs>
        <w:rPr>
          <w:lang w:val="de-DE"/>
        </w:rPr>
      </w:pPr>
      <w:r w:rsidRPr="00BB5519">
        <w:rPr>
          <w:rFonts w:cs="Tahoma"/>
          <w:szCs w:val="20"/>
          <w:lang w:val="de-DE"/>
        </w:rPr>
        <w:t>Software Assurance, die im Rahmen eines Open Value-Vertrages bestellt wurde, endet nach Ablauf (oder Kündigung) des entsprechenden Vertrages. Kunden erhalten 60 Tage vor Ablauf des Vertrages eine schriftliche Mitteilung über ihre Verlängerungsoptionen. Gegebenenfalls haben Kunden die Option, ihren Vertrag um einen Zeitraum von weiteren 36 vollen Kalendermonaten zu verlängern. Um Software Assurance zu verlängern, müssen Kunden innerhalb vor Ablauf der vorherigen Laufzeit eine Verlängerungsbestellung abgeben.</w:t>
      </w:r>
      <w:r w:rsidR="009E4976" w:rsidRPr="00BB5519">
        <w:rPr>
          <w:rFonts w:cs="Tahoma"/>
          <w:szCs w:val="20"/>
          <w:lang w:val="de-DE"/>
        </w:rPr>
        <w:t xml:space="preserve"> </w:t>
      </w:r>
      <w:r w:rsidRPr="00BB5519">
        <w:rPr>
          <w:rFonts w:cs="Tahoma"/>
          <w:szCs w:val="20"/>
          <w:lang w:val="de-DE"/>
        </w:rPr>
        <w:t xml:space="preserve">Wenn ein Kunde die unternehmensweite Option ausgewählt hat, muss dieser Kunde Software Assurance für alle Kopien jedes Produktes bestellen, das der Kunde unternehmensweit verlängern möchte. Wenn ein Kunde nicht die unternehmensweite Option gewählt hat, kann der Kunde die Verlängerung für eine beliebige Anzahl von zuvor vorhandenen Lizenzen mit Software Assurance bestellen. Jeder Verlängerungszeitraum beginnt an dem auf den Ablauf der vorhergehenden Laufzeit folgenden Tag. Kunden können Software Assurance bestellen, ohne gleichzeitig eine Lizenz zu bestellen, sofern Software Assurance wie oben genannt verlängert wird. </w:t>
      </w:r>
    </w:p>
    <w:p w:rsidR="00171817" w:rsidRPr="00BB5519" w:rsidRDefault="00171817" w:rsidP="00171817">
      <w:pPr>
        <w:tabs>
          <w:tab w:val="num" w:pos="0"/>
        </w:tabs>
        <w:rPr>
          <w:lang w:val="de-DE"/>
        </w:rPr>
      </w:pPr>
    </w:p>
    <w:p w:rsidR="00171817" w:rsidRPr="00EC2A0D" w:rsidRDefault="00171817" w:rsidP="005242EC">
      <w:pPr>
        <w:keepNext/>
        <w:tabs>
          <w:tab w:val="num" w:pos="720"/>
        </w:tabs>
        <w:spacing w:after="60"/>
        <w:ind w:left="360" w:hanging="360"/>
        <w:outlineLvl w:val="3"/>
        <w:rPr>
          <w:b/>
          <w:szCs w:val="20"/>
          <w:lang w:val="de-DE"/>
        </w:rPr>
      </w:pPr>
      <w:r w:rsidRPr="00EC2A0D">
        <w:rPr>
          <w:b/>
          <w:szCs w:val="20"/>
          <w:lang w:val="de-DE"/>
        </w:rPr>
        <w:t>Verlängerung im Rahmen eines separaten Vertrages</w:t>
      </w:r>
    </w:p>
    <w:p w:rsidR="00171817" w:rsidRPr="00BB5519" w:rsidRDefault="00171817" w:rsidP="00865A60">
      <w:pPr>
        <w:tabs>
          <w:tab w:val="num" w:pos="0"/>
        </w:tabs>
        <w:rPr>
          <w:lang w:val="de-DE"/>
        </w:rPr>
      </w:pPr>
      <w:r w:rsidRPr="00BB5519">
        <w:rPr>
          <w:rFonts w:cs="Tahoma"/>
          <w:szCs w:val="20"/>
          <w:lang w:val="de-DE"/>
        </w:rPr>
        <w:t>Der Kunde kann Software Assurance für jedes Produkt verlängern, ohne gleichzeitig eine Lizenz zu bestellen, wenn der Kunde eine zeitlich unbeschränkte Lizenz und Software Assurance für das Produkt im Rahmen eines früheren Vertrages erworben hat und der neue Vertrag des Kunden spätestens am Tag nach Ablauf des früheren Vertrages wirksam wird.</w:t>
      </w:r>
      <w:r w:rsidR="009E4976" w:rsidRPr="00BB5519">
        <w:rPr>
          <w:rFonts w:cs="Tahoma"/>
          <w:szCs w:val="20"/>
          <w:lang w:val="de-DE"/>
        </w:rPr>
        <w:t xml:space="preserve"> </w:t>
      </w:r>
      <w:r w:rsidRPr="00BB5519">
        <w:rPr>
          <w:rFonts w:cs="Tahoma"/>
          <w:szCs w:val="20"/>
          <w:lang w:val="de-DE"/>
        </w:rPr>
        <w:t xml:space="preserve">Die Software Assurance-Verlängerungsbestellung muss vor Ablauf von Software Assurance im Rahmen des früheren Vertrages abgegeben werden, sofern Software Assurance nicht im Rahmen eines Open Lizenz-Vertrages verlängert wird. In diesem Fall haben Kunden 90 Tage ab Ablauf Zeit, um die Bestellung abzugeben. </w:t>
      </w:r>
    </w:p>
    <w:p w:rsidR="00E53E60" w:rsidRPr="00D15040" w:rsidRDefault="00E53E60" w:rsidP="00E53E60">
      <w:pPr>
        <w:tabs>
          <w:tab w:val="num" w:pos="0"/>
        </w:tabs>
        <w:rPr>
          <w:rFonts w:cs="Tahoma"/>
          <w:szCs w:val="20"/>
          <w:lang w:val="de-DE" w:eastAsia="ja-JP"/>
        </w:rPr>
      </w:pPr>
      <w:bookmarkStart w:id="757" w:name="_Toc323159746"/>
      <w:bookmarkStart w:id="758" w:name="_Toc336338220"/>
    </w:p>
    <w:p w:rsidR="00171817" w:rsidRPr="00EC2A0D" w:rsidRDefault="00171817" w:rsidP="002171C3">
      <w:pPr>
        <w:pStyle w:val="Heading4"/>
        <w:ind w:left="360"/>
        <w:rPr>
          <w:rFonts w:ascii="Tahoma" w:hAnsi="Tahoma" w:cs="Tahoma"/>
          <w:sz w:val="24"/>
          <w:lang w:val="de-DE"/>
        </w:rPr>
      </w:pPr>
      <w:bookmarkStart w:id="759" w:name="_Toc354054914"/>
      <w:r w:rsidRPr="00EC2A0D">
        <w:rPr>
          <w:rFonts w:ascii="Tahoma" w:hAnsi="Tahoma" w:cs="Tahoma"/>
          <w:sz w:val="24"/>
          <w:lang w:val="de-DE"/>
        </w:rPr>
        <w:t>Select 20xx</w:t>
      </w:r>
      <w:bookmarkEnd w:id="757"/>
      <w:bookmarkEnd w:id="758"/>
      <w:bookmarkEnd w:id="759"/>
    </w:p>
    <w:p w:rsidR="00E53E60" w:rsidRPr="00D15040" w:rsidRDefault="00E53E60" w:rsidP="00E53E60">
      <w:pPr>
        <w:tabs>
          <w:tab w:val="num" w:pos="0"/>
        </w:tabs>
        <w:rPr>
          <w:rFonts w:cs="Tahoma"/>
          <w:lang w:val="de-DE" w:eastAsia="ja-JP"/>
        </w:rPr>
      </w:pPr>
      <w:bookmarkStart w:id="760" w:name="_Toc323159747"/>
      <w:bookmarkStart w:id="761" w:name="_Toc328145990"/>
      <w:bookmarkStart w:id="762" w:name="_Toc336338221"/>
    </w:p>
    <w:p w:rsidR="00171817" w:rsidRPr="00EC2A0D" w:rsidRDefault="00171817" w:rsidP="005242EC">
      <w:pPr>
        <w:pStyle w:val="Heading4"/>
        <w:spacing w:before="0" w:after="60"/>
        <w:ind w:left="360"/>
        <w:rPr>
          <w:rFonts w:ascii="Tahoma" w:hAnsi="Tahoma"/>
          <w:sz w:val="18"/>
          <w:lang w:val="de-DE"/>
        </w:rPr>
      </w:pPr>
      <w:bookmarkStart w:id="763" w:name="_Toc354054915"/>
      <w:r w:rsidRPr="00EC2A0D">
        <w:rPr>
          <w:rFonts w:ascii="Tahoma" w:hAnsi="Tahoma"/>
          <w:sz w:val="18"/>
          <w:lang w:val="de-DE"/>
        </w:rPr>
        <w:t>Verlängerung im Rahmen des Gleichen Vertrages</w:t>
      </w:r>
      <w:bookmarkEnd w:id="760"/>
      <w:bookmarkEnd w:id="761"/>
      <w:bookmarkEnd w:id="762"/>
      <w:bookmarkEnd w:id="763"/>
      <w:r w:rsidRPr="00EC2A0D">
        <w:rPr>
          <w:rFonts w:ascii="Tahoma" w:hAnsi="Tahoma"/>
          <w:sz w:val="18"/>
          <w:lang w:val="de-DE"/>
        </w:rPr>
        <w:t xml:space="preserve"> </w:t>
      </w:r>
    </w:p>
    <w:p w:rsidR="00171817" w:rsidRPr="00BB5519" w:rsidRDefault="00171817" w:rsidP="00E53E60">
      <w:pPr>
        <w:pStyle w:val="styleheading22left138firstline00"/>
        <w:tabs>
          <w:tab w:val="num" w:pos="0"/>
        </w:tabs>
        <w:snapToGrid w:val="0"/>
        <w:ind w:left="0"/>
        <w:jc w:val="left"/>
        <w:rPr>
          <w:lang w:val="de-DE"/>
        </w:rPr>
      </w:pPr>
      <w:r w:rsidRPr="00BB5519">
        <w:rPr>
          <w:rFonts w:ascii="Tahoma" w:hAnsi="Tahoma" w:cs="Tahoma"/>
          <w:sz w:val="18"/>
          <w:lang w:val="de-DE"/>
        </w:rPr>
        <w:t>Software Assurance, die im Rahmen von Beitritten unter einem Select-Vertrag bestellt wurde, endet bei Ablauf (oder</w:t>
      </w:r>
      <w:r w:rsidR="00E53E60">
        <w:rPr>
          <w:rFonts w:ascii="Tahoma" w:hAnsi="Tahoma" w:cs="Tahoma"/>
          <w:sz w:val="18"/>
          <w:lang w:val="de-DE"/>
        </w:rPr>
        <w:t> </w:t>
      </w:r>
      <w:r w:rsidRPr="00BB5519">
        <w:rPr>
          <w:rFonts w:ascii="Tahoma" w:hAnsi="Tahoma" w:cs="Tahoma"/>
          <w:sz w:val="18"/>
          <w:lang w:val="de-DE"/>
        </w:rPr>
        <w:t>Kündigung) dieses Vertrages (oder Kündigung des jeweiligen Beitritts, falls dies früher eintritt). Kunden erhalten 60</w:t>
      </w:r>
      <w:r w:rsidR="00E53E60">
        <w:rPr>
          <w:rFonts w:ascii="Tahoma" w:hAnsi="Tahoma" w:cs="Tahoma"/>
          <w:sz w:val="18"/>
          <w:lang w:val="de-DE"/>
        </w:rPr>
        <w:t> </w:t>
      </w:r>
      <w:r w:rsidRPr="00BB5519">
        <w:rPr>
          <w:rFonts w:ascii="Tahoma" w:hAnsi="Tahoma" w:cs="Tahoma"/>
          <w:sz w:val="18"/>
          <w:lang w:val="de-DE"/>
        </w:rPr>
        <w:t>Tage vor Ablauf ihres Vertrages eine schriftliche Mitteilung über ihre Verlängerungsoptionen. Gegebenenfalls haben Kunden die Option, ihren Vertrag um einen Zeitraum von weiteren 12 oder 36 vollen Kalendermonaten zu</w:t>
      </w:r>
      <w:r w:rsidR="00E53E60">
        <w:rPr>
          <w:rFonts w:ascii="Tahoma" w:hAnsi="Tahoma" w:cs="Tahoma"/>
          <w:sz w:val="18"/>
          <w:lang w:val="de-DE"/>
        </w:rPr>
        <w:t> </w:t>
      </w:r>
      <w:r w:rsidRPr="00BB5519">
        <w:rPr>
          <w:rFonts w:ascii="Tahoma" w:hAnsi="Tahoma" w:cs="Tahoma"/>
          <w:sz w:val="18"/>
          <w:lang w:val="de-DE"/>
        </w:rPr>
        <w:t>verlängern. Wenn ein Kunde Software Assurance für Kopien verlängern möchte, für die er zuvor</w:t>
      </w:r>
      <w:r w:rsidR="00E53E60">
        <w:rPr>
          <w:rFonts w:ascii="Tahoma" w:hAnsi="Tahoma" w:cs="Tahoma"/>
          <w:sz w:val="18"/>
          <w:lang w:val="de-DE"/>
        </w:rPr>
        <w:t> </w:t>
      </w:r>
      <w:r w:rsidRPr="00BB5519">
        <w:rPr>
          <w:rFonts w:ascii="Tahoma" w:hAnsi="Tahoma" w:cs="Tahoma"/>
          <w:sz w:val="18"/>
          <w:lang w:val="de-DE"/>
        </w:rPr>
        <w:t>unter seinem</w:t>
      </w:r>
      <w:r w:rsidR="00E53E60">
        <w:rPr>
          <w:rFonts w:ascii="Tahoma" w:hAnsi="Tahoma" w:cs="Tahoma"/>
          <w:sz w:val="18"/>
          <w:lang w:val="de-DE"/>
        </w:rPr>
        <w:t> </w:t>
      </w:r>
      <w:r w:rsidRPr="00BB5519">
        <w:rPr>
          <w:rFonts w:ascii="Tahoma" w:hAnsi="Tahoma" w:cs="Tahoma"/>
          <w:sz w:val="18"/>
          <w:lang w:val="de-DE"/>
        </w:rPr>
        <w:t>Beitritt</w:t>
      </w:r>
      <w:r w:rsidR="00E53E60">
        <w:rPr>
          <w:rFonts w:ascii="Tahoma" w:hAnsi="Tahoma" w:cs="Tahoma"/>
          <w:sz w:val="18"/>
          <w:lang w:val="de-DE"/>
        </w:rPr>
        <w:t> </w:t>
      </w:r>
      <w:r w:rsidRPr="00BB5519">
        <w:rPr>
          <w:rFonts w:ascii="Tahoma" w:hAnsi="Tahoma" w:cs="Tahoma"/>
          <w:sz w:val="18"/>
          <w:lang w:val="de-DE"/>
        </w:rPr>
        <w:t>Software Assurance erworben hat, muss er vor Ablauf der vorangegangenen Laufzeit eine</w:t>
      </w:r>
      <w:r w:rsidR="00E53E60">
        <w:rPr>
          <w:rFonts w:ascii="Tahoma" w:hAnsi="Tahoma" w:cs="Tahoma"/>
          <w:sz w:val="18"/>
          <w:lang w:val="de-DE"/>
        </w:rPr>
        <w:t> </w:t>
      </w:r>
      <w:r w:rsidRPr="00BB5519">
        <w:rPr>
          <w:rFonts w:ascii="Tahoma" w:hAnsi="Tahoma" w:cs="Tahoma"/>
          <w:sz w:val="18"/>
          <w:lang w:val="de-DE"/>
        </w:rPr>
        <w:t>Verlängerungsbestellung über seinen Handelspartner bei Microsoft einreichen. Verlängerungsbestellungen müssen für den gesamten Verlängerungszeitraum erfolgen.</w:t>
      </w:r>
      <w:r w:rsidR="009E4976" w:rsidRPr="00BB5519">
        <w:rPr>
          <w:rFonts w:ascii="Tahoma" w:hAnsi="Tahoma" w:cs="Tahoma"/>
          <w:sz w:val="18"/>
          <w:lang w:val="de-DE"/>
        </w:rPr>
        <w:t xml:space="preserve"> </w:t>
      </w:r>
      <w:r w:rsidRPr="00BB5519">
        <w:rPr>
          <w:rFonts w:ascii="Tahoma" w:hAnsi="Tahoma" w:cs="Tahoma"/>
          <w:sz w:val="18"/>
          <w:lang w:val="de-DE"/>
        </w:rPr>
        <w:t>Jeder Verlängerungszeitraum beginnt an dem auf den</w:t>
      </w:r>
      <w:r w:rsidR="00E53E60">
        <w:rPr>
          <w:rFonts w:ascii="Tahoma" w:hAnsi="Tahoma" w:cs="Tahoma"/>
          <w:sz w:val="18"/>
          <w:lang w:val="de-DE"/>
        </w:rPr>
        <w:t> </w:t>
      </w:r>
      <w:r w:rsidRPr="00BB5519">
        <w:rPr>
          <w:rFonts w:ascii="Tahoma" w:hAnsi="Tahoma" w:cs="Tahoma"/>
          <w:sz w:val="18"/>
          <w:lang w:val="de-DE"/>
        </w:rPr>
        <w:t xml:space="preserve">Ablauf der vorhergehenden Laufzeit folgenden Tag. </w:t>
      </w:r>
    </w:p>
    <w:p w:rsidR="00973A93" w:rsidRPr="00BB5519" w:rsidRDefault="00973A93">
      <w:pPr>
        <w:rPr>
          <w:lang w:val="de-DE"/>
        </w:rPr>
      </w:pPr>
      <w:bookmarkStart w:id="764" w:name="_Toc323159748"/>
      <w:bookmarkStart w:id="765" w:name="_Toc336338222"/>
    </w:p>
    <w:p w:rsidR="00171817" w:rsidRPr="00BB5519" w:rsidRDefault="00171817" w:rsidP="00E53E60">
      <w:pPr>
        <w:pStyle w:val="Heading4"/>
        <w:keepLines/>
        <w:spacing w:before="0" w:after="60"/>
        <w:ind w:left="360"/>
        <w:rPr>
          <w:lang w:val="de-DE"/>
        </w:rPr>
      </w:pPr>
      <w:bookmarkStart w:id="766" w:name="_Toc354054916"/>
      <w:r w:rsidRPr="00BB5519">
        <w:rPr>
          <w:rFonts w:ascii="Tahoma" w:hAnsi="Tahoma"/>
          <w:sz w:val="18"/>
          <w:lang w:val="de-DE"/>
        </w:rPr>
        <w:lastRenderedPageBreak/>
        <w:t>Verlängerung im Rahmen eines separaten Vertrages</w:t>
      </w:r>
      <w:bookmarkEnd w:id="764"/>
      <w:bookmarkEnd w:id="765"/>
      <w:bookmarkEnd w:id="766"/>
    </w:p>
    <w:p w:rsidR="00171817" w:rsidRPr="00BB5519" w:rsidRDefault="00171817" w:rsidP="00E53E60">
      <w:pPr>
        <w:pStyle w:val="styleheading22left138firstline00"/>
        <w:keepNext/>
        <w:keepLines/>
        <w:tabs>
          <w:tab w:val="num" w:pos="0"/>
        </w:tabs>
        <w:snapToGrid w:val="0"/>
        <w:ind w:left="0"/>
        <w:jc w:val="left"/>
        <w:rPr>
          <w:lang w:val="de-DE"/>
        </w:rPr>
      </w:pPr>
      <w:r w:rsidRPr="00BB5519">
        <w:rPr>
          <w:rFonts w:ascii="Tahoma" w:hAnsi="Tahoma" w:cs="Tahoma"/>
          <w:sz w:val="18"/>
          <w:lang w:val="de-DE"/>
        </w:rPr>
        <w:t>Kunden können Software Assurance bestellen, ohne gleichzeitig eine Lizenz für Kopien von Produkten bestellen zu müssen, für die sie zuvor über Software Assurance in anderen Volumenlizenzprogrammen zeitlich unbeschränkte Lizenzen erworben haben, vorausgesetzt (i) der neue Beitritt wird spätestens am Tag nach Ablauf von Software Assurance wirksam und (ii) das Beitrittsunternehmen gibt seine Software Assurance-Bestellung gleichzeitig mit seinem neuen Beitritt bei Microsoft über seinen Handelspartner ab. Die Software Assurance-Verlängerungsbestellung muss vor dem Ablauf des früheren Vertrages abgegeben werden, sofern sie nicht im Rahmen eines Open Lizenz-Vertrages vorgetragen wird. In diesem Fall haben Kunden 90 Tage ab Ablauf Zeit, um die Bestellung abzugeben.</w:t>
      </w:r>
    </w:p>
    <w:p w:rsidR="00865A60" w:rsidRPr="00BB5519" w:rsidRDefault="00865A60" w:rsidP="0063466C">
      <w:pPr>
        <w:outlineLvl w:val="2"/>
        <w:rPr>
          <w:lang w:val="de-DE"/>
        </w:rPr>
      </w:pPr>
    </w:p>
    <w:p w:rsidR="00171817" w:rsidRPr="00BB5519" w:rsidRDefault="00171817" w:rsidP="002171C3">
      <w:pPr>
        <w:pStyle w:val="Heading4"/>
        <w:ind w:left="360"/>
        <w:rPr>
          <w:lang w:val="de-DE"/>
        </w:rPr>
      </w:pPr>
      <w:bookmarkStart w:id="767" w:name="_Toc336338223"/>
      <w:bookmarkStart w:id="768" w:name="_Toc354054917"/>
      <w:r w:rsidRPr="00BB5519">
        <w:rPr>
          <w:rFonts w:ascii="Tahoma" w:hAnsi="Tahoma" w:cs="Tahoma"/>
          <w:sz w:val="24"/>
          <w:lang w:val="de-DE"/>
        </w:rPr>
        <w:t>Select Plus 20xx</w:t>
      </w:r>
      <w:bookmarkEnd w:id="767"/>
      <w:bookmarkEnd w:id="768"/>
    </w:p>
    <w:p w:rsidR="00171817" w:rsidRPr="00BB5519" w:rsidRDefault="00171817" w:rsidP="00171817">
      <w:pPr>
        <w:rPr>
          <w:lang w:val="de-DE"/>
        </w:rPr>
      </w:pPr>
    </w:p>
    <w:p w:rsidR="00171817" w:rsidRPr="00EC2A0D" w:rsidRDefault="00171817" w:rsidP="00E53E60">
      <w:pPr>
        <w:pStyle w:val="Heading4"/>
        <w:spacing w:before="0" w:after="60"/>
        <w:ind w:left="360"/>
        <w:rPr>
          <w:rFonts w:ascii="Tahoma" w:hAnsi="Tahoma"/>
          <w:sz w:val="18"/>
          <w:lang w:val="de-DE"/>
        </w:rPr>
      </w:pPr>
      <w:bookmarkStart w:id="769" w:name="_Toc353471858"/>
      <w:bookmarkStart w:id="770" w:name="_Toc354054918"/>
      <w:r w:rsidRPr="00EC2A0D">
        <w:rPr>
          <w:rFonts w:ascii="Tahoma" w:hAnsi="Tahoma"/>
          <w:sz w:val="18"/>
          <w:lang w:val="de-DE"/>
        </w:rPr>
        <w:t>Verlängerung im Rahmen des Gleichen Vertrages</w:t>
      </w:r>
      <w:bookmarkEnd w:id="769"/>
      <w:bookmarkEnd w:id="770"/>
      <w:r w:rsidRPr="00EC2A0D">
        <w:rPr>
          <w:rFonts w:ascii="Tahoma" w:hAnsi="Tahoma"/>
          <w:sz w:val="18"/>
          <w:lang w:val="de-DE"/>
        </w:rPr>
        <w:t xml:space="preserve"> </w:t>
      </w:r>
    </w:p>
    <w:p w:rsidR="00171817" w:rsidRPr="00BB5519" w:rsidRDefault="00171817" w:rsidP="00171817">
      <w:pPr>
        <w:rPr>
          <w:lang w:val="de-DE"/>
        </w:rPr>
      </w:pPr>
      <w:r w:rsidRPr="00BB5519">
        <w:rPr>
          <w:iCs/>
          <w:lang w:val="de-DE"/>
        </w:rPr>
        <w:t>Seit dem 1. März 2011 endet die anfängliche</w:t>
      </w:r>
      <w:r w:rsidRPr="00BB5519">
        <w:rPr>
          <w:i/>
          <w:iCs/>
          <w:lang w:val="de-DE"/>
        </w:rPr>
        <w:t xml:space="preserve"> </w:t>
      </w:r>
      <w:r w:rsidRPr="00BB5519">
        <w:rPr>
          <w:lang w:val="de-DE"/>
        </w:rPr>
        <w:t>Software Assurance (Neubestellung oder Verlängerung), die im Rahmen einer Select Plus-Registrierung bestellt wurde, 24 Monate zuzüglich der Anzahl der Monate vom Software Assurance-Startdatum bis zum nächsten „Jahrestag des Wirksamkeitsdatums des verbundenen Unternehmens“ (dabei handelt es sich um einen kundendefinierten Monat, von dem die jährlichen Verlängerungsentscheidungen abhängen). Kunden und Partner erhalten vor Ablauf von Software Assurance eine schriftliche Mitteilung über ihre Verlängerungsoptionen. Wenn ein Kunde Software Assurance für zuvor bestellte Kopien verlängern möchte, muss er vor oder bei Ablauf der vorangegangenen Software Assurance-Laufzeit eine Verlängerungsbestellung über seinen Handelspartner bei Microsoft einreichen. Verlängerungsbestellungen müssen für den gesamten Verlängerungszeitraum von 36 Monaten erfolgen.</w:t>
      </w:r>
      <w:r w:rsidR="009E4976" w:rsidRPr="00BB5519">
        <w:rPr>
          <w:lang w:val="de-DE"/>
        </w:rPr>
        <w:t xml:space="preserve"> </w:t>
      </w:r>
      <w:r w:rsidRPr="00BB5519">
        <w:rPr>
          <w:lang w:val="de-DE"/>
        </w:rPr>
        <w:t xml:space="preserve">Jeder Verlängerungszeitraum beginnt an dem auf den Ablauf der vorhergehenden Laufzeit folgenden Tag. </w:t>
      </w:r>
    </w:p>
    <w:p w:rsidR="00171817" w:rsidRPr="00BB5519" w:rsidRDefault="00171817" w:rsidP="00171817">
      <w:pPr>
        <w:rPr>
          <w:lang w:val="de-DE"/>
        </w:rPr>
      </w:pPr>
    </w:p>
    <w:p w:rsidR="00171817" w:rsidRPr="00EC2A0D" w:rsidRDefault="00171817" w:rsidP="00E53E60">
      <w:pPr>
        <w:pStyle w:val="Heading4"/>
        <w:spacing w:before="0" w:after="60"/>
        <w:ind w:left="360"/>
        <w:rPr>
          <w:rFonts w:ascii="Tahoma" w:hAnsi="Tahoma"/>
          <w:sz w:val="18"/>
          <w:lang w:val="de-DE"/>
        </w:rPr>
      </w:pPr>
      <w:bookmarkStart w:id="771" w:name="_Toc353471859"/>
      <w:bookmarkStart w:id="772" w:name="_Toc354054919"/>
      <w:r w:rsidRPr="00EC2A0D">
        <w:rPr>
          <w:rFonts w:ascii="Tahoma" w:hAnsi="Tahoma"/>
          <w:sz w:val="18"/>
          <w:lang w:val="de-DE"/>
        </w:rPr>
        <w:t>Verlängerung im Rahmen eines separaten Vertrages</w:t>
      </w:r>
      <w:bookmarkEnd w:id="771"/>
      <w:bookmarkEnd w:id="772"/>
    </w:p>
    <w:p w:rsidR="00171817" w:rsidRPr="00BB5519" w:rsidRDefault="00171817" w:rsidP="00E53E60">
      <w:pPr>
        <w:rPr>
          <w:lang w:val="de-DE"/>
        </w:rPr>
      </w:pPr>
      <w:r w:rsidRPr="00BB5519">
        <w:rPr>
          <w:lang w:val="de-DE"/>
        </w:rPr>
        <w:t>Kunden können Software Assurance bestellen, ohne gleichzeitig eine Lizenz für Kopien von Produkten zu bestellen, für die sie zuvor zeitlich unbeschränkte Lizenzen über Software Assurance in anderen Volumenlizenzprogrammen erworben haben, sofern die neue Bestellung spätestens einen Tag nach dem Ablauf dieser Software Assurance wirksam wird. Die Software Assurance-Verlängerungsbestellung muss vor dem Ablauf des früheren Vertrages abgegeben werden, sofern sie nicht im Rahmen eines Open Lizenz-Vertrages vorgetragen wird. In diesem Fall haben</w:t>
      </w:r>
      <w:r w:rsidR="00E53E60">
        <w:rPr>
          <w:lang w:val="de-DE"/>
        </w:rPr>
        <w:t> </w:t>
      </w:r>
      <w:r w:rsidRPr="00BB5519">
        <w:rPr>
          <w:lang w:val="de-DE"/>
        </w:rPr>
        <w:t>Kunden 90 Tage ab Ablauf Zeit, um die Bestellung abzugeben.</w:t>
      </w:r>
    </w:p>
    <w:p w:rsidR="00865A60" w:rsidRPr="00BB5519" w:rsidRDefault="00865A60" w:rsidP="00865A60">
      <w:pPr>
        <w:tabs>
          <w:tab w:val="num" w:pos="0"/>
        </w:tabs>
        <w:rPr>
          <w:lang w:val="de-DE"/>
        </w:rPr>
      </w:pPr>
    </w:p>
    <w:p w:rsidR="00171817" w:rsidRPr="00EC2A0D" w:rsidRDefault="00171817" w:rsidP="00E53E60">
      <w:pPr>
        <w:pStyle w:val="Heading4"/>
        <w:ind w:left="360"/>
        <w:rPr>
          <w:rFonts w:ascii="Tahoma" w:hAnsi="Tahoma" w:cs="Tahoma"/>
          <w:sz w:val="24"/>
          <w:lang w:val="de-DE"/>
        </w:rPr>
      </w:pPr>
      <w:bookmarkStart w:id="773" w:name="_Toc336338224"/>
      <w:bookmarkStart w:id="774" w:name="_Toc354054920"/>
      <w:r w:rsidRPr="00EC2A0D">
        <w:rPr>
          <w:rFonts w:ascii="Tahoma" w:hAnsi="Tahoma" w:cs="Tahoma"/>
          <w:sz w:val="24"/>
          <w:lang w:val="de-DE"/>
        </w:rPr>
        <w:t>Konzernvertrag 2011 und spätere Versionen</w:t>
      </w:r>
      <w:bookmarkEnd w:id="773"/>
      <w:bookmarkEnd w:id="774"/>
    </w:p>
    <w:p w:rsidR="00171817" w:rsidRPr="00BB5519" w:rsidRDefault="00171817" w:rsidP="00865A60">
      <w:pPr>
        <w:outlineLvl w:val="2"/>
        <w:rPr>
          <w:lang w:val="de-DE"/>
        </w:rPr>
      </w:pPr>
    </w:p>
    <w:p w:rsidR="00171817" w:rsidRPr="00EC2A0D" w:rsidRDefault="00171817" w:rsidP="0063466C">
      <w:pPr>
        <w:keepNext/>
        <w:tabs>
          <w:tab w:val="num" w:pos="720"/>
        </w:tabs>
        <w:spacing w:after="60"/>
        <w:ind w:left="360" w:hanging="360"/>
        <w:outlineLvl w:val="3"/>
        <w:rPr>
          <w:b/>
          <w:szCs w:val="20"/>
          <w:lang w:val="de-DE" w:eastAsia="ja-JP"/>
        </w:rPr>
      </w:pPr>
      <w:r w:rsidRPr="00EC2A0D">
        <w:rPr>
          <w:b/>
          <w:szCs w:val="20"/>
          <w:lang w:val="de-DE" w:eastAsia="ja-JP"/>
        </w:rPr>
        <w:t>Verlängerung im Rahmen des gleichen Vertrages</w:t>
      </w:r>
    </w:p>
    <w:p w:rsidR="00171817" w:rsidRPr="00BB5519" w:rsidRDefault="00171817" w:rsidP="00E53E60">
      <w:pPr>
        <w:tabs>
          <w:tab w:val="num" w:pos="0"/>
        </w:tabs>
        <w:rPr>
          <w:lang w:val="de-DE"/>
        </w:rPr>
      </w:pPr>
      <w:r w:rsidRPr="00BB5519">
        <w:rPr>
          <w:rFonts w:cs="Tahoma"/>
          <w:szCs w:val="20"/>
          <w:lang w:val="de-DE"/>
        </w:rPr>
        <w:t>Nach Ablauf des Beitritts ist der Kunde zur Verlängerung der Konzernvertragspreise berechtigt, die ausschließlich auf</w:t>
      </w:r>
      <w:r w:rsidR="00E53E60">
        <w:rPr>
          <w:rFonts w:cs="Tahoma"/>
          <w:szCs w:val="20"/>
          <w:lang w:val="de-DE"/>
        </w:rPr>
        <w:t> </w:t>
      </w:r>
      <w:r w:rsidRPr="00BB5519">
        <w:rPr>
          <w:rFonts w:cs="Tahoma"/>
          <w:szCs w:val="20"/>
          <w:lang w:val="de-DE"/>
        </w:rPr>
        <w:t>Software Assurance basieren. Kunden erhalten vor Ablauf ihres Beitritts eine schriftliche Mitteilung über ihre Verlängerungsoptionen. Gegebenenfalls haben Kunden die Option, ihren Beitritt einmalig um einen Folgezeitraum von 36 vollen Kalendermonaten zu verlängern. Nach diesem Verlängerungszeitraum muss der Kunde einen neuen Beitritt unterzeichnen, um Software Assurance zu verlängern. Zur Verlängerung von Software Assurance im Rahmen des gleichen Beitritts müssen Kunden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9E4976" w:rsidRPr="00BB5519">
        <w:rPr>
          <w:rFonts w:cs="Tahoma"/>
          <w:szCs w:val="20"/>
          <w:lang w:val="de-DE"/>
        </w:rPr>
        <w:t xml:space="preserve"> </w:t>
      </w:r>
      <w:r w:rsidRPr="00BB5519">
        <w:rPr>
          <w:rFonts w:cs="Tahoma"/>
          <w:szCs w:val="20"/>
          <w:lang w:val="de-DE"/>
        </w:rPr>
        <w:t>Diese Bestellung muss vor Ablauf der vorherigen Laufzeit abgegeben werden. Der Verlängerungszeitraum beginnt an dem auf den Ablauf der vorherigen Laufzeit folgenden Tag. Weitere Informationen zur Software Assurance-Verlängerung im Rahmen eines nachfolgenden Beitritts finden Sie weiter unten.</w:t>
      </w:r>
    </w:p>
    <w:p w:rsidR="00171817" w:rsidRPr="00BB5519" w:rsidRDefault="00171817" w:rsidP="00171817">
      <w:pPr>
        <w:tabs>
          <w:tab w:val="num" w:pos="0"/>
        </w:tabs>
        <w:rPr>
          <w:lang w:val="de-DE"/>
        </w:rPr>
      </w:pPr>
    </w:p>
    <w:p w:rsidR="00171817" w:rsidRPr="00EC2A0D" w:rsidRDefault="00171817" w:rsidP="0063466C">
      <w:pPr>
        <w:keepNext/>
        <w:tabs>
          <w:tab w:val="num" w:pos="720"/>
        </w:tabs>
        <w:spacing w:after="60"/>
        <w:ind w:left="360" w:hanging="360"/>
        <w:outlineLvl w:val="3"/>
        <w:rPr>
          <w:b/>
          <w:szCs w:val="20"/>
          <w:lang w:val="de-DE"/>
        </w:rPr>
      </w:pPr>
      <w:r w:rsidRPr="00EC2A0D">
        <w:rPr>
          <w:b/>
          <w:szCs w:val="20"/>
          <w:lang w:val="de-DE"/>
        </w:rPr>
        <w:t>Verlängerung im Rahmen eines separaten Vertrages</w:t>
      </w:r>
    </w:p>
    <w:p w:rsidR="00171817" w:rsidRPr="00BB5519" w:rsidRDefault="00171817" w:rsidP="00171817">
      <w:pPr>
        <w:tabs>
          <w:tab w:val="num" w:pos="0"/>
        </w:tabs>
        <w:rPr>
          <w:lang w:val="de-DE"/>
        </w:rPr>
      </w:pPr>
      <w:r w:rsidRPr="00BB5519">
        <w:rPr>
          <w:rFonts w:cs="Tahoma"/>
          <w:color w:val="000000"/>
          <w:szCs w:val="20"/>
          <w:lang w:val="de-DE"/>
        </w:rPr>
        <w:t>Der Kunde ist berechtigt, Software Assurance für Produkte zu bestellen, ohne gleichzeitig eine Lizenz bestellen zu müssen, wenn der Kunde zeitlich unbeschränkte Lizenzen für dieses Produkt und Software Assurance erworben hat, die zum Zeitpunkt der Verlängerung aktiv ist.</w:t>
      </w:r>
      <w:r w:rsidR="009E4976" w:rsidRPr="00BB5519">
        <w:rPr>
          <w:rFonts w:cs="Tahoma"/>
          <w:color w:val="000000"/>
          <w:szCs w:val="20"/>
          <w:lang w:val="de-DE"/>
        </w:rPr>
        <w:t xml:space="preserve"> </w:t>
      </w:r>
      <w:r w:rsidRPr="00BB5519">
        <w:rPr>
          <w:rFonts w:cs="Tahoma"/>
          <w:color w:val="000000"/>
          <w:szCs w:val="20"/>
          <w:lang w:val="de-DE"/>
        </w:rPr>
        <w:t>Bei Zusätzlichen Produkten hat der Kunde ab dem Ablauf 90 Tage Zeit, um die Bestellung abzugeben, da</w:t>
      </w:r>
      <w:r w:rsidRPr="00BB5519">
        <w:rPr>
          <w:rFonts w:cs="Tahoma"/>
          <w:color w:val="000000"/>
          <w:szCs w:val="24"/>
          <w:lang w:val="de-DE"/>
        </w:rPr>
        <w:t xml:space="preserve"> Software Assurance von einem Open-Lizenzvertrag vorgetragen wird.</w:t>
      </w:r>
      <w:r w:rsidR="009E4976" w:rsidRPr="00BB5519">
        <w:rPr>
          <w:rFonts w:cs="Tahoma"/>
          <w:color w:val="000000"/>
          <w:szCs w:val="24"/>
          <w:lang w:val="de-DE"/>
        </w:rPr>
        <w:t xml:space="preserve"> </w:t>
      </w:r>
    </w:p>
    <w:p w:rsidR="00171817" w:rsidRPr="00BB5519" w:rsidRDefault="00171817" w:rsidP="00171817">
      <w:pPr>
        <w:tabs>
          <w:tab w:val="num" w:pos="0"/>
        </w:tabs>
        <w:rPr>
          <w:lang w:val="de-DE"/>
        </w:rPr>
      </w:pPr>
    </w:p>
    <w:p w:rsidR="00171817" w:rsidRPr="00EC2A0D" w:rsidRDefault="00171817" w:rsidP="0063466C">
      <w:pPr>
        <w:keepNext/>
        <w:tabs>
          <w:tab w:val="num" w:pos="720"/>
        </w:tabs>
        <w:spacing w:after="60"/>
        <w:ind w:left="360" w:hanging="360"/>
        <w:outlineLvl w:val="3"/>
        <w:rPr>
          <w:b/>
          <w:szCs w:val="20"/>
          <w:lang w:val="de-DE"/>
        </w:rPr>
      </w:pPr>
      <w:r w:rsidRPr="00EC2A0D">
        <w:rPr>
          <w:b/>
          <w:szCs w:val="20"/>
          <w:lang w:val="de-DE"/>
        </w:rPr>
        <w:t xml:space="preserve">Beitritt zur Anwendungsplattform </w:t>
      </w:r>
    </w:p>
    <w:p w:rsidR="00171817" w:rsidRPr="00BB5519" w:rsidRDefault="00171817" w:rsidP="00171817">
      <w:pPr>
        <w:tabs>
          <w:tab w:val="num" w:pos="0"/>
        </w:tabs>
        <w:rPr>
          <w:lang w:val="de-DE"/>
        </w:rPr>
      </w:pPr>
      <w:r w:rsidRPr="00BB5519">
        <w:rPr>
          <w:rFonts w:cs="Tahoma"/>
          <w:szCs w:val="20"/>
          <w:lang w:val="de-DE"/>
        </w:rPr>
        <w:t>Kunden sind berechtigt, Software Assurance für die verfügbaren Produkte zu bestellen, ohne gleichzeitig, wie in den Bestimmungen des Beitrags vorgesehen, eine neue Lizenz bestellen zu müssen.</w:t>
      </w:r>
    </w:p>
    <w:p w:rsidR="00BD1A6A" w:rsidRPr="00BB5519" w:rsidRDefault="00BD1A6A" w:rsidP="00865A60">
      <w:pPr>
        <w:rPr>
          <w:lang w:val="de-DE"/>
        </w:rPr>
      </w:pPr>
      <w:bookmarkStart w:id="775" w:name="_Toc336338225"/>
    </w:p>
    <w:p w:rsidR="00171817" w:rsidRPr="00EC2A0D" w:rsidRDefault="00171817" w:rsidP="000E3562">
      <w:pPr>
        <w:pStyle w:val="Heading4"/>
        <w:keepLines/>
        <w:ind w:left="360"/>
        <w:rPr>
          <w:rFonts w:ascii="Tahoma" w:hAnsi="Tahoma" w:cs="Tahoma"/>
          <w:sz w:val="24"/>
          <w:lang w:val="de-DE"/>
        </w:rPr>
      </w:pPr>
      <w:bookmarkStart w:id="776" w:name="_Toc354054921"/>
      <w:r w:rsidRPr="00EC2A0D">
        <w:rPr>
          <w:rFonts w:ascii="Tahoma" w:hAnsi="Tahoma" w:cs="Tahoma"/>
          <w:sz w:val="24"/>
          <w:lang w:val="de-DE"/>
        </w:rPr>
        <w:lastRenderedPageBreak/>
        <w:t>Konzernvertrag vor 2011</w:t>
      </w:r>
      <w:bookmarkEnd w:id="775"/>
      <w:bookmarkEnd w:id="776"/>
    </w:p>
    <w:p w:rsidR="00171817" w:rsidRPr="00BB5519" w:rsidRDefault="00171817" w:rsidP="000E3562">
      <w:pPr>
        <w:keepNext/>
        <w:keepLines/>
        <w:tabs>
          <w:tab w:val="num" w:pos="0"/>
        </w:tabs>
        <w:rPr>
          <w:lang w:val="de-DE"/>
        </w:rPr>
      </w:pPr>
    </w:p>
    <w:p w:rsidR="00171817" w:rsidRPr="00BB5519" w:rsidRDefault="00171817" w:rsidP="00E53E60">
      <w:pPr>
        <w:tabs>
          <w:tab w:val="num" w:pos="0"/>
        </w:tabs>
        <w:ind w:right="270"/>
        <w:rPr>
          <w:lang w:val="de-DE"/>
        </w:rPr>
      </w:pPr>
      <w:r w:rsidRPr="00BB5519">
        <w:rPr>
          <w:rFonts w:cs="Tahoma"/>
          <w:szCs w:val="20"/>
          <w:lang w:val="de-DE"/>
        </w:rPr>
        <w:t>Nach Ablauf des Beitritts ist der Kunde zur Verlängerung der Konzernvertragspreise berechtigt, die ausschließlich auf Software Assurance basieren. Kunden erhalten 60 Tage vor Ablauf ihres Beitritts eine schriftliche Mitteilung über ihre Verlängerungsoptionen.</w:t>
      </w:r>
      <w:r w:rsidR="009E4976" w:rsidRPr="00BB5519">
        <w:rPr>
          <w:rFonts w:cs="Tahoma"/>
          <w:szCs w:val="20"/>
          <w:lang w:val="de-DE"/>
        </w:rPr>
        <w:t xml:space="preserve"> </w:t>
      </w:r>
      <w:r w:rsidRPr="00BB5519">
        <w:rPr>
          <w:rFonts w:cs="Tahoma"/>
          <w:szCs w:val="20"/>
          <w:lang w:val="de-DE"/>
        </w:rPr>
        <w:t xml:space="preserve">Zur Verlängerung müssen Kunden einen neuen Konzernbeitritt oder </w:t>
      </w:r>
      <w:r w:rsidR="00E53E60">
        <w:rPr>
          <w:rFonts w:cs="Tahoma"/>
          <w:szCs w:val="20"/>
          <w:lang w:val="de-DE"/>
        </w:rPr>
        <w:t>–</w:t>
      </w:r>
      <w:r w:rsidRPr="00BB5519">
        <w:rPr>
          <w:rFonts w:cs="Tahoma"/>
          <w:szCs w:val="20"/>
          <w:lang w:val="de-DE"/>
        </w:rPr>
        <w:t>vertrag</w:t>
      </w:r>
      <w:r w:rsidR="00E53E60">
        <w:rPr>
          <w:rFonts w:cs="Tahoma"/>
          <w:szCs w:val="20"/>
          <w:lang w:val="de-DE"/>
        </w:rPr>
        <w:t> </w:t>
      </w:r>
      <w:r w:rsidRPr="00BB5519">
        <w:rPr>
          <w:rFonts w:cs="Tahoma"/>
          <w:szCs w:val="20"/>
          <w:lang w:val="de-DE"/>
        </w:rPr>
        <w:t>2011</w:t>
      </w:r>
      <w:r w:rsidR="002D374A">
        <w:rPr>
          <w:rFonts w:cs="Tahoma"/>
          <w:szCs w:val="20"/>
          <w:lang w:val="de-DE"/>
        </w:rPr>
        <w:t xml:space="preserve"> </w:t>
      </w:r>
      <w:r w:rsidRPr="00BB5519">
        <w:rPr>
          <w:rFonts w:cs="Tahoma"/>
          <w:szCs w:val="20"/>
          <w:lang w:val="de-DE"/>
        </w:rPr>
        <w:t xml:space="preserve">oder später unterzeichnen. Der Verlängerungszeitraum beginnt an dem auf den Ablauf der vorherigen Laufzeit folgenden Tag. </w:t>
      </w:r>
    </w:p>
    <w:p w:rsidR="00171817" w:rsidRPr="00BB5519" w:rsidRDefault="00171817" w:rsidP="00171817">
      <w:pPr>
        <w:tabs>
          <w:tab w:val="num" w:pos="0"/>
        </w:tabs>
        <w:rPr>
          <w:lang w:val="de-DE"/>
        </w:rPr>
      </w:pPr>
    </w:p>
    <w:p w:rsidR="003E606C" w:rsidRPr="00D15040" w:rsidRDefault="00171817" w:rsidP="0063466C">
      <w:pPr>
        <w:tabs>
          <w:tab w:val="num" w:pos="0"/>
        </w:tabs>
        <w:spacing w:after="60"/>
        <w:rPr>
          <w:rFonts w:cs="Tahoma"/>
          <w:b/>
          <w:szCs w:val="20"/>
          <w:lang w:val="de-DE"/>
        </w:rPr>
      </w:pPr>
      <w:r w:rsidRPr="00D15040">
        <w:rPr>
          <w:rFonts w:cs="Tahoma"/>
          <w:b/>
          <w:szCs w:val="20"/>
          <w:lang w:val="de-DE"/>
        </w:rPr>
        <w:t>Beitritt zur Anwendungsplattform</w:t>
      </w:r>
    </w:p>
    <w:p w:rsidR="00171817" w:rsidRPr="00BB5519" w:rsidRDefault="00171817" w:rsidP="00E53E60">
      <w:pPr>
        <w:tabs>
          <w:tab w:val="num" w:pos="0"/>
        </w:tabs>
        <w:rPr>
          <w:lang w:val="de-DE"/>
        </w:rPr>
      </w:pPr>
      <w:r w:rsidRPr="00BB5519">
        <w:rPr>
          <w:rFonts w:cs="Tahoma"/>
          <w:szCs w:val="20"/>
          <w:lang w:val="de-DE"/>
        </w:rPr>
        <w:t>Kunden sind berechtigt, Software Assurance für die verfügbaren Produkte zu bestellen, ohne gleichzeitig, wie in den</w:t>
      </w:r>
      <w:r w:rsidR="00E53E60">
        <w:rPr>
          <w:rFonts w:cs="Tahoma"/>
          <w:szCs w:val="20"/>
          <w:lang w:val="de-DE"/>
        </w:rPr>
        <w:t> </w:t>
      </w:r>
      <w:r w:rsidRPr="00BB5519">
        <w:rPr>
          <w:rFonts w:cs="Tahoma"/>
          <w:szCs w:val="20"/>
          <w:lang w:val="de-DE"/>
        </w:rPr>
        <w:t>Bestimmungen des Beitrags vorgesehen, eine neue Lizenz bestellen zu müssen.</w:t>
      </w:r>
    </w:p>
    <w:p w:rsidR="00865A60" w:rsidRPr="00BB5519" w:rsidRDefault="00865A60" w:rsidP="00865A60">
      <w:pPr>
        <w:rPr>
          <w:lang w:val="de-DE"/>
        </w:rPr>
      </w:pPr>
    </w:p>
    <w:p w:rsidR="00171817" w:rsidRPr="00EC2A0D" w:rsidRDefault="00171817" w:rsidP="00951852">
      <w:pPr>
        <w:pStyle w:val="Heading4"/>
        <w:ind w:left="360"/>
        <w:rPr>
          <w:rFonts w:ascii="Tahoma" w:hAnsi="Tahoma" w:cs="Tahoma"/>
          <w:sz w:val="24"/>
          <w:lang w:val="de-DE"/>
        </w:rPr>
      </w:pPr>
      <w:bookmarkStart w:id="777" w:name="_Toc323159750"/>
      <w:bookmarkStart w:id="778" w:name="_Toc336338226"/>
      <w:bookmarkStart w:id="779" w:name="_Toc354054922"/>
      <w:r w:rsidRPr="00EC2A0D">
        <w:rPr>
          <w:rFonts w:ascii="Tahoma" w:hAnsi="Tahoma" w:cs="Tahoma"/>
          <w:sz w:val="24"/>
          <w:lang w:val="de-DE"/>
        </w:rPr>
        <w:t>Programmübergreifende Verlängerung</w:t>
      </w:r>
      <w:bookmarkEnd w:id="777"/>
      <w:bookmarkEnd w:id="778"/>
      <w:bookmarkEnd w:id="779"/>
    </w:p>
    <w:p w:rsidR="00171817" w:rsidRPr="00BB5519" w:rsidRDefault="00171817" w:rsidP="00171817">
      <w:pPr>
        <w:tabs>
          <w:tab w:val="num" w:pos="0"/>
        </w:tabs>
        <w:rPr>
          <w:lang w:val="de-DE"/>
        </w:rPr>
      </w:pPr>
    </w:p>
    <w:p w:rsidR="00171817" w:rsidRPr="00BB5519" w:rsidRDefault="00171817" w:rsidP="00171817">
      <w:pPr>
        <w:pStyle w:val="AppendIndentSub"/>
        <w:tabs>
          <w:tab w:val="num" w:pos="0"/>
        </w:tabs>
        <w:ind w:left="0"/>
        <w:rPr>
          <w:lang w:val="de-DE"/>
        </w:rPr>
      </w:pPr>
      <w:r w:rsidRPr="00BB5519">
        <w:rPr>
          <w:rFonts w:ascii="Tahoma" w:hAnsi="Tahoma" w:cs="Tahoma"/>
          <w:sz w:val="18"/>
          <w:lang w:val="de-DE"/>
        </w:rPr>
        <w:t xml:space="preserve">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Kunden müssen eine Bestellung für Software Assurance unter ihrem bestehenden Vertrag oder Beitritt vor Ablauf des früheren Vertrages abgeben. </w:t>
      </w:r>
    </w:p>
    <w:p w:rsidR="00171817" w:rsidRPr="00BB5519" w:rsidRDefault="00171817" w:rsidP="00171817">
      <w:pPr>
        <w:pStyle w:val="AppendIndentSub"/>
        <w:tabs>
          <w:tab w:val="num" w:pos="0"/>
        </w:tabs>
        <w:ind w:left="0"/>
        <w:rPr>
          <w:lang w:val="de-DE"/>
        </w:rPr>
      </w:pPr>
    </w:p>
    <w:p w:rsidR="00171817" w:rsidRPr="00BB5519" w:rsidRDefault="00171817" w:rsidP="00E53E60">
      <w:pPr>
        <w:pStyle w:val="AppendIndentSub"/>
        <w:tabs>
          <w:tab w:val="num" w:pos="0"/>
        </w:tabs>
        <w:ind w:left="0"/>
        <w:rPr>
          <w:lang w:val="de-DE"/>
        </w:rPr>
      </w:pPr>
      <w:r w:rsidRPr="00BB5519">
        <w:rPr>
          <w:rFonts w:ascii="Tahoma" w:hAnsi="Tahoma" w:cs="Tahoma"/>
          <w:sz w:val="18"/>
          <w:lang w:val="de-DE"/>
        </w:rPr>
        <w:t>Kunden, die Software Assurance im Rahmen des Open-Lizenzprogramms verlängern, haben nach Ablauf des früheren</w:t>
      </w:r>
      <w:r w:rsidR="00E53E60">
        <w:rPr>
          <w:rFonts w:ascii="Tahoma" w:hAnsi="Tahoma" w:cs="Tahoma"/>
          <w:sz w:val="18"/>
          <w:lang w:val="de-DE"/>
        </w:rPr>
        <w:t> </w:t>
      </w:r>
      <w:r w:rsidRPr="00BB5519">
        <w:rPr>
          <w:rFonts w:ascii="Tahoma" w:hAnsi="Tahoma" w:cs="Tahoma"/>
          <w:sz w:val="18"/>
          <w:lang w:val="de-DE"/>
        </w:rPr>
        <w:t>Vertrages 90 Tage Zeit, um diese Bestellung abzugeben. Bei Vertragsversionen bis einschließlich 2008 muss diese Bestellung innerhalb von 30 Tagen nach Ablauf des früheren Vertrages abgegeben werden (90 Tage bei Verlängerung im Rahmen des Open-Lizenzprogramms).</w:t>
      </w:r>
    </w:p>
    <w:p w:rsidR="00171817" w:rsidRPr="00BB5519" w:rsidRDefault="00171817" w:rsidP="00171817">
      <w:pPr>
        <w:pStyle w:val="AppendIndentSub"/>
        <w:tabs>
          <w:tab w:val="num" w:pos="0"/>
        </w:tabs>
        <w:ind w:left="0"/>
        <w:rPr>
          <w:lang w:val="de-DE"/>
        </w:rPr>
      </w:pPr>
    </w:p>
    <w:p w:rsidR="00171817" w:rsidRPr="00BB5519" w:rsidRDefault="00171817" w:rsidP="00171817">
      <w:pPr>
        <w:pStyle w:val="AppendIndentSub"/>
        <w:tabs>
          <w:tab w:val="num" w:pos="0"/>
        </w:tabs>
        <w:ind w:left="0"/>
        <w:rPr>
          <w:lang w:val="de-DE"/>
        </w:rPr>
      </w:pPr>
      <w:r w:rsidRPr="00BB5519">
        <w:rPr>
          <w:rFonts w:ascii="Tahoma" w:hAnsi="Tahoma" w:cs="Tahoma"/>
          <w:sz w:val="18"/>
          <w:szCs w:val="18"/>
          <w:lang w:val="de-DE"/>
        </w:rPr>
        <w:t>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9E4976" w:rsidRPr="00BB5519">
        <w:rPr>
          <w:rFonts w:ascii="Tahoma" w:hAnsi="Tahoma" w:cs="Tahoma"/>
          <w:sz w:val="18"/>
          <w:szCs w:val="18"/>
          <w:lang w:val="de-DE"/>
        </w:rPr>
        <w:t xml:space="preserve"> </w:t>
      </w:r>
      <w:r w:rsidRPr="00BB5519">
        <w:rPr>
          <w:rFonts w:ascii="Tahoma" w:hAnsi="Tahoma" w:cs="Tahoma"/>
          <w:sz w:val="18"/>
          <w:szCs w:val="18"/>
          <w:lang w:val="de-DE"/>
        </w:rPr>
        <w:t>Da die Software Assurance-Preise nicht anteilig für Teile des Jahres berechnet werden, müssen Kunden die Bestellungen zum richtigen Zeitpunkt abgeben, um den Jahrestag des Wirksamkeitsdatums ihres bestehenden Vertrages optimal zu nutzen.</w:t>
      </w:r>
      <w:r w:rsidR="009E4976" w:rsidRPr="00BB5519">
        <w:rPr>
          <w:rFonts w:ascii="Tahoma" w:hAnsi="Tahoma" w:cs="Tahoma"/>
          <w:sz w:val="18"/>
          <w:szCs w:val="18"/>
          <w:lang w:val="de-DE"/>
        </w:rPr>
        <w:t xml:space="preserve"> </w:t>
      </w:r>
      <w:r w:rsidRPr="00BB5519">
        <w:rPr>
          <w:rFonts w:ascii="Tahoma" w:hAnsi="Tahoma" w:cs="Tahoma"/>
          <w:sz w:val="18"/>
          <w:szCs w:val="18"/>
          <w:lang w:val="de-DE"/>
        </w:rPr>
        <w:t xml:space="preserve">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 Kunden sind zu Upgrades berechtigt, die während dieses Zeitraums zur Verfügung gestellt werden, vorausgesetzt Software Assurance wird verlängert. </w:t>
      </w:r>
    </w:p>
    <w:p w:rsidR="00023FE7" w:rsidRPr="00BB5519" w:rsidRDefault="00023FE7">
      <w:pPr>
        <w:pStyle w:val="AppendixIndent"/>
        <w:tabs>
          <w:tab w:val="num" w:pos="0"/>
        </w:tabs>
        <w:ind w:left="0"/>
        <w:rPr>
          <w:lang w:val="de-DE"/>
        </w:rPr>
      </w:pPr>
    </w:p>
    <w:p w:rsidR="00023FE7" w:rsidRPr="00BB5519" w:rsidRDefault="00023FE7">
      <w:pPr>
        <w:rPr>
          <w:lang w:val="de-DE"/>
        </w:rPr>
      </w:pPr>
      <w:r w:rsidRPr="00BB5519">
        <w:rPr>
          <w:rFonts w:cs="Tahoma"/>
          <w:lang w:val="de-DE"/>
        </w:rPr>
        <w:br w:type="page"/>
      </w:r>
    </w:p>
    <w:p w:rsidR="00EA1A1E" w:rsidRPr="00EC2A0D" w:rsidRDefault="00EA1A1E" w:rsidP="00B0065F">
      <w:pPr>
        <w:pStyle w:val="Heading1"/>
        <w:rPr>
          <w:lang w:val="de-DE"/>
        </w:rPr>
      </w:pPr>
      <w:bookmarkStart w:id="780" w:name="_Toc336338227"/>
      <w:bookmarkStart w:id="781" w:name="_Toc354054923"/>
      <w:r w:rsidRPr="00EC2A0D">
        <w:rPr>
          <w:lang w:val="de-DE"/>
        </w:rPr>
        <w:lastRenderedPageBreak/>
        <w:t>ABSCHNITT 7 – Software Assurance</w:t>
      </w:r>
      <w:r w:rsidR="002D374A">
        <w:rPr>
          <w:lang w:val="de-DE"/>
        </w:rPr>
        <w:t xml:space="preserve"> </w:t>
      </w:r>
      <w:r w:rsidRPr="00EC2A0D">
        <w:rPr>
          <w:lang w:val="de-DE"/>
        </w:rPr>
        <w:t>(SA)-VERGÜNSTIGUNGEN und Onlinedienste</w:t>
      </w:r>
      <w:r w:rsidR="002D374A">
        <w:rPr>
          <w:lang w:val="de-DE"/>
        </w:rPr>
        <w:t xml:space="preserve"> </w:t>
      </w:r>
      <w:r w:rsidRPr="00EC2A0D">
        <w:rPr>
          <w:lang w:val="de-DE"/>
        </w:rPr>
        <w:t>(OLS)-Vergünstigungen</w:t>
      </w:r>
      <w:bookmarkEnd w:id="780"/>
      <w:r w:rsidRPr="00EC2A0D">
        <w:rPr>
          <w:lang w:val="de-DE"/>
        </w:rPr>
        <w:t>n</w:t>
      </w:r>
      <w:bookmarkEnd w:id="781"/>
    </w:p>
    <w:p w:rsidR="00E53E60" w:rsidRPr="00D15040" w:rsidRDefault="00E53E60" w:rsidP="00E53E60">
      <w:pPr>
        <w:rPr>
          <w:rFonts w:cs="Tahoma"/>
          <w:sz w:val="24"/>
          <w:szCs w:val="20"/>
          <w:lang w:val="de-DE"/>
        </w:rPr>
      </w:pPr>
    </w:p>
    <w:p w:rsidR="00E7419A" w:rsidRPr="00BB5519" w:rsidRDefault="00E7419A" w:rsidP="00E7419A">
      <w:pPr>
        <w:spacing w:after="60"/>
        <w:rPr>
          <w:lang w:val="de-DE"/>
        </w:rPr>
      </w:pPr>
      <w:r w:rsidRPr="00BB5519">
        <w:rPr>
          <w:rFonts w:cs="Tahoma"/>
          <w:szCs w:val="20"/>
          <w:lang w:val="de-DE"/>
        </w:rPr>
        <w:t>In diesem Abschnitt werden Software Assurance-Vergünstigungen und Onlinedienste-Vergünstigungen beschrieben.</w:t>
      </w:r>
      <w:r w:rsidR="009E4976" w:rsidRPr="00BB5519">
        <w:rPr>
          <w:rFonts w:cs="Tahoma"/>
          <w:szCs w:val="20"/>
          <w:lang w:val="de-DE"/>
        </w:rPr>
        <w:t xml:space="preserve"> </w:t>
      </w:r>
    </w:p>
    <w:p w:rsidR="00EA1A1E" w:rsidRPr="00BB5519" w:rsidRDefault="00EA1A1E" w:rsidP="00BA0707">
      <w:pPr>
        <w:rPr>
          <w:lang w:val="de-DE"/>
        </w:rPr>
      </w:pPr>
    </w:p>
    <w:p w:rsidR="003E606C" w:rsidRPr="00D15040" w:rsidRDefault="003E606C" w:rsidP="0063466C">
      <w:pPr>
        <w:spacing w:after="60"/>
        <w:rPr>
          <w:rFonts w:cs="Tahoma"/>
          <w:b/>
          <w:szCs w:val="20"/>
          <w:lang w:val="de-DE" w:eastAsia="ja-JP"/>
        </w:rPr>
      </w:pPr>
      <w:r w:rsidRPr="00D15040">
        <w:rPr>
          <w:rFonts w:cs="Tahoma"/>
          <w:b/>
          <w:szCs w:val="20"/>
          <w:lang w:val="de-DE" w:eastAsia="ja-JP"/>
        </w:rPr>
        <w:t>Software Assurance-Vergünstigungen</w:t>
      </w:r>
    </w:p>
    <w:p w:rsidR="00E7419A" w:rsidRPr="00BB5519" w:rsidRDefault="00E7419A" w:rsidP="0063466C">
      <w:pPr>
        <w:rPr>
          <w:lang w:val="de-DE"/>
        </w:rPr>
      </w:pPr>
      <w:r w:rsidRPr="00BB5519">
        <w:rPr>
          <w:rFonts w:cs="Tahoma"/>
          <w:szCs w:val="20"/>
          <w:lang w:val="de-DE"/>
        </w:rPr>
        <w:t>Diese Vergünstigungen hängen vom Produkt und Produktpool ab. Der Zugriff des Kunden auf und seine Rechte zur Nutzung seiner Software Assurance-Vergünstigungen laufen im Allgemeinen mit Ablauf seiner Software Assurance ab. Die meisten Software Assurance-Vergünstigungen werden zu Beginn der Software Assurance-Laufzeit gewährt.</w:t>
      </w:r>
      <w:r w:rsidR="009E4976" w:rsidRPr="00BB5519">
        <w:rPr>
          <w:rFonts w:cs="Tahoma"/>
          <w:szCs w:val="20"/>
          <w:lang w:val="de-DE"/>
        </w:rPr>
        <w:t xml:space="preserve"> </w:t>
      </w:r>
      <w:r w:rsidRPr="00BB5519">
        <w:rPr>
          <w:rFonts w:cs="Tahoma"/>
          <w:szCs w:val="20"/>
          <w:lang w:val="de-DE"/>
        </w:rPr>
        <w:t>Änderungen während der Software Assurance-Laufzeit (z. B. zusätzliche Käufe, Rückgaben oder Übergänge von Onlinediensten) können zu Änderungen bei der Vergünstigungsberechtigung führen.</w:t>
      </w:r>
    </w:p>
    <w:p w:rsidR="00BA0707" w:rsidRPr="00BB5519" w:rsidRDefault="00BA0707" w:rsidP="00BA0707">
      <w:pPr>
        <w:rPr>
          <w:lang w:val="de-DE"/>
        </w:rPr>
      </w:pPr>
    </w:p>
    <w:p w:rsidR="0063466C" w:rsidRPr="00D15040" w:rsidRDefault="0063466C" w:rsidP="0063466C">
      <w:pPr>
        <w:spacing w:after="60"/>
        <w:rPr>
          <w:rFonts w:cs="Tahoma"/>
          <w:b/>
          <w:szCs w:val="20"/>
          <w:lang w:val="de-DE" w:eastAsia="ja-JP"/>
        </w:rPr>
      </w:pPr>
      <w:r w:rsidRPr="00D15040">
        <w:rPr>
          <w:rFonts w:cs="Tahoma"/>
          <w:b/>
          <w:szCs w:val="20"/>
          <w:lang w:val="de-DE" w:eastAsia="ja-JP"/>
        </w:rPr>
        <w:t>Onlinedienste-Vergünstigungen</w:t>
      </w:r>
    </w:p>
    <w:p w:rsidR="00E7419A" w:rsidRPr="00BB5519" w:rsidRDefault="009F1A2B" w:rsidP="0063466C">
      <w:pPr>
        <w:rPr>
          <w:lang w:val="de-DE"/>
        </w:rPr>
      </w:pPr>
      <w:r w:rsidRPr="00BB5519">
        <w:rPr>
          <w:rFonts w:cs="Tahoma"/>
          <w:szCs w:val="20"/>
          <w:lang w:val="de-DE"/>
        </w:rPr>
        <w:t>Diese Vergünstigungen sind je nach Produkt unterschiedlich.</w:t>
      </w:r>
      <w:r w:rsidR="009E4976" w:rsidRPr="00BB5519">
        <w:rPr>
          <w:rFonts w:cs="Tahoma"/>
          <w:szCs w:val="20"/>
          <w:lang w:val="de-DE"/>
        </w:rPr>
        <w:t xml:space="preserve"> </w:t>
      </w:r>
      <w:r w:rsidRPr="00BB5519">
        <w:rPr>
          <w:rFonts w:cs="Tahoma"/>
          <w:szCs w:val="20"/>
          <w:lang w:val="de-DE"/>
        </w:rPr>
        <w:t xml:space="preserve">Der Zugriff auf und die Rechte des Kunden zur Verwendung von Onlinedienste-Vergünstigungen laufen bei Ablauf der entsprechenden Onlinedienste-Abonnementlizenz ab. </w:t>
      </w:r>
    </w:p>
    <w:p w:rsidR="009F1A2B" w:rsidRPr="00BB5519" w:rsidRDefault="009F1A2B" w:rsidP="0063466C">
      <w:pPr>
        <w:rPr>
          <w:lang w:val="de-DE"/>
        </w:rPr>
      </w:pPr>
    </w:p>
    <w:p w:rsidR="00E7419A" w:rsidRPr="00BB5519" w:rsidRDefault="00E7419A" w:rsidP="0063466C">
      <w:pPr>
        <w:rPr>
          <w:lang w:val="de-DE"/>
        </w:rPr>
      </w:pPr>
      <w:r w:rsidRPr="00BB5519">
        <w:rPr>
          <w:rFonts w:cs="Tahoma"/>
          <w:szCs w:val="20"/>
          <w:lang w:val="de-DE"/>
        </w:rPr>
        <w:t>Ausnahmen von den oben genannten Regeln werden unten in den einzelnen Abschnitten zu den Vergünstigungen aufgeführt.</w:t>
      </w:r>
      <w:r w:rsidR="009E4976" w:rsidRPr="00BB5519">
        <w:rPr>
          <w:rFonts w:cs="Tahoma"/>
          <w:szCs w:val="20"/>
          <w:lang w:val="de-DE"/>
        </w:rPr>
        <w:t xml:space="preserve"> </w:t>
      </w:r>
      <w:r w:rsidRPr="00BB5519">
        <w:rPr>
          <w:rFonts w:cs="Tahoma"/>
          <w:szCs w:val="20"/>
          <w:lang w:val="de-DE"/>
        </w:rPr>
        <w:t xml:space="preserve">Die Vergünstigungen können jederzeit ohne Ankündigung geändert und eingestellt werden. Die Verfügbarkeit von Vergünstigungen hängt von Programm, Region, Fulfillment-Optionen und Sprache ab. </w:t>
      </w:r>
    </w:p>
    <w:p w:rsidR="00023FE7" w:rsidRPr="00BB5519" w:rsidRDefault="00023FE7" w:rsidP="0063466C">
      <w:pPr>
        <w:pStyle w:val="AppendixBodyText"/>
        <w:spacing w:after="0"/>
        <w:rPr>
          <w:lang w:val="de-DE"/>
        </w:rPr>
      </w:pPr>
    </w:p>
    <w:p w:rsidR="00023FE7" w:rsidRPr="00BB5519" w:rsidRDefault="00023FE7" w:rsidP="0063466C">
      <w:pPr>
        <w:pStyle w:val="AppendixBodyText"/>
        <w:spacing w:after="0"/>
        <w:rPr>
          <w:lang w:val="de-DE"/>
        </w:rPr>
      </w:pPr>
      <w:r w:rsidRPr="00BB5519">
        <w:rPr>
          <w:rFonts w:ascii="Tahoma" w:hAnsi="Tahoma" w:cs="Tahoma"/>
          <w:sz w:val="18"/>
          <w:lang w:val="de-DE"/>
        </w:rPr>
        <w:t>Software Assurance-Vergünstigungen und Onlinedienste-Vergünstigungen werden unter den verschiedenen Programmen wie im Diagramm unten dargestellt zugewiesen:</w:t>
      </w:r>
    </w:p>
    <w:p w:rsidR="00023FE7" w:rsidRPr="00BB5519" w:rsidRDefault="00023FE7" w:rsidP="00BA0707">
      <w:pPr>
        <w:pStyle w:val="AppendixBodyText"/>
        <w:spacing w:after="0"/>
        <w:rPr>
          <w:lang w:val="de-DE"/>
        </w:rPr>
      </w:pPr>
    </w:p>
    <w:tbl>
      <w:tblPr>
        <w:tblW w:w="936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810"/>
        <w:gridCol w:w="2160"/>
        <w:gridCol w:w="2160"/>
        <w:gridCol w:w="1350"/>
      </w:tblGrid>
      <w:tr w:rsidR="009233CA" w:rsidRPr="00BB5519" w:rsidTr="00E53E60">
        <w:trPr>
          <w:trHeight w:val="178"/>
        </w:trPr>
        <w:tc>
          <w:tcPr>
            <w:tcW w:w="1627" w:type="dxa"/>
            <w:shd w:val="clear" w:color="auto" w:fill="FFCC99"/>
            <w:vAlign w:val="center"/>
          </w:tcPr>
          <w:p w:rsidR="00394D2B" w:rsidRPr="00BB5519" w:rsidRDefault="00394D2B" w:rsidP="00FF3343">
            <w:pPr>
              <w:pStyle w:val="AppendixTableHeadings"/>
              <w:jc w:val="left"/>
              <w:rPr>
                <w:rFonts w:ascii="Tahoma" w:hAnsi="Tahoma" w:cs="Tahoma"/>
                <w:sz w:val="20"/>
                <w:szCs w:val="20"/>
              </w:rPr>
            </w:pPr>
            <w:r w:rsidRPr="00BB5519">
              <w:rPr>
                <w:rFonts w:ascii="Tahoma" w:hAnsi="Tahoma" w:cs="Tahoma"/>
                <w:sz w:val="20"/>
                <w:szCs w:val="20"/>
              </w:rPr>
              <w:t>Programme</w:t>
            </w:r>
          </w:p>
        </w:tc>
        <w:tc>
          <w:tcPr>
            <w:tcW w:w="1260" w:type="dxa"/>
            <w:shd w:val="clear" w:color="auto" w:fill="FFCC99"/>
            <w:vAlign w:val="center"/>
          </w:tcPr>
          <w:p w:rsidR="00394D2B" w:rsidRPr="00BB5519" w:rsidRDefault="00394D2B" w:rsidP="00FF3343">
            <w:pPr>
              <w:pStyle w:val="AppendixTableHeadings"/>
              <w:jc w:val="left"/>
              <w:rPr>
                <w:rFonts w:ascii="Tahoma" w:hAnsi="Tahoma" w:cs="Tahoma"/>
                <w:sz w:val="20"/>
                <w:szCs w:val="20"/>
              </w:rPr>
            </w:pPr>
            <w:r w:rsidRPr="00BB5519">
              <w:rPr>
                <w:rFonts w:ascii="Tahoma" w:hAnsi="Tahoma" w:cs="Tahoma"/>
                <w:sz w:val="20"/>
                <w:szCs w:val="20"/>
              </w:rPr>
              <w:t>Open-Lizenz</w:t>
            </w:r>
          </w:p>
        </w:tc>
        <w:tc>
          <w:tcPr>
            <w:tcW w:w="810" w:type="dxa"/>
            <w:shd w:val="clear" w:color="auto" w:fill="FFCC99"/>
            <w:vAlign w:val="center"/>
          </w:tcPr>
          <w:p w:rsidR="00394D2B" w:rsidRPr="00BB5519" w:rsidRDefault="00394D2B" w:rsidP="00FF3343">
            <w:pPr>
              <w:pStyle w:val="AppendixTableHeadings"/>
              <w:jc w:val="left"/>
              <w:rPr>
                <w:rFonts w:ascii="Tahoma" w:hAnsi="Tahoma" w:cs="Tahoma"/>
                <w:sz w:val="20"/>
                <w:szCs w:val="20"/>
              </w:rPr>
            </w:pPr>
            <w:r w:rsidRPr="00BB5519">
              <w:rPr>
                <w:rFonts w:ascii="Tahoma" w:hAnsi="Tahoma" w:cs="Tahoma"/>
                <w:sz w:val="20"/>
                <w:szCs w:val="20"/>
              </w:rPr>
              <w:t>Open Value</w:t>
            </w:r>
          </w:p>
        </w:tc>
        <w:tc>
          <w:tcPr>
            <w:tcW w:w="2160" w:type="dxa"/>
            <w:shd w:val="clear" w:color="auto" w:fill="FFCC99"/>
            <w:vAlign w:val="center"/>
          </w:tcPr>
          <w:p w:rsidR="00394D2B" w:rsidRPr="00BB5519" w:rsidRDefault="00394D2B" w:rsidP="00FF3343">
            <w:pPr>
              <w:pStyle w:val="AppendixTableHeadings"/>
              <w:jc w:val="left"/>
              <w:rPr>
                <w:rFonts w:ascii="Tahoma" w:hAnsi="Tahoma" w:cs="Tahoma"/>
                <w:sz w:val="20"/>
                <w:szCs w:val="20"/>
              </w:rPr>
            </w:pPr>
            <w:r w:rsidRPr="00BB5519">
              <w:rPr>
                <w:rFonts w:ascii="Tahoma" w:hAnsi="Tahoma" w:cs="Tahoma"/>
                <w:sz w:val="20"/>
                <w:szCs w:val="20"/>
              </w:rPr>
              <w:t>Open Value Subscription – Bildungslösungen</w:t>
            </w:r>
          </w:p>
        </w:tc>
        <w:tc>
          <w:tcPr>
            <w:tcW w:w="2160" w:type="dxa"/>
            <w:shd w:val="clear" w:color="auto" w:fill="FFCC99"/>
            <w:vAlign w:val="center"/>
          </w:tcPr>
          <w:p w:rsidR="00394D2B" w:rsidRPr="00BB5519" w:rsidRDefault="00394D2B" w:rsidP="00FF3343">
            <w:pPr>
              <w:pStyle w:val="AppendixTableHeadings"/>
              <w:jc w:val="left"/>
              <w:rPr>
                <w:lang w:val="de-DE"/>
              </w:rPr>
            </w:pPr>
            <w:r w:rsidRPr="00BB5519">
              <w:rPr>
                <w:rFonts w:ascii="Tahoma" w:hAnsi="Tahoma" w:cs="Tahoma"/>
                <w:sz w:val="20"/>
                <w:szCs w:val="20"/>
                <w:lang w:val="de-DE"/>
              </w:rPr>
              <w:t>Select*</w:t>
            </w:r>
          </w:p>
          <w:p w:rsidR="00394D2B" w:rsidRPr="00BB5519" w:rsidRDefault="00394D2B" w:rsidP="00FF3343">
            <w:pPr>
              <w:pStyle w:val="AppendixTableHeadings"/>
              <w:jc w:val="left"/>
              <w:rPr>
                <w:lang w:val="de-DE"/>
              </w:rPr>
            </w:pPr>
            <w:r w:rsidRPr="00BB5519">
              <w:rPr>
                <w:rFonts w:ascii="Tahoma" w:hAnsi="Tahoma" w:cs="Tahoma"/>
                <w:sz w:val="20"/>
                <w:szCs w:val="20"/>
                <w:lang w:val="de-DE"/>
              </w:rPr>
              <w:t>Konzernvertrag</w:t>
            </w:r>
          </w:p>
          <w:p w:rsidR="00394D2B" w:rsidRPr="00BB5519" w:rsidRDefault="00394D2B" w:rsidP="00FF3343">
            <w:pPr>
              <w:pStyle w:val="AppendixTableHeadings"/>
              <w:jc w:val="left"/>
              <w:rPr>
                <w:lang w:val="de-DE"/>
              </w:rPr>
            </w:pPr>
            <w:r w:rsidRPr="00BB5519">
              <w:rPr>
                <w:rFonts w:ascii="Tahoma" w:hAnsi="Tahoma" w:cs="Tahoma"/>
                <w:sz w:val="20"/>
                <w:szCs w:val="20"/>
                <w:lang w:val="de-DE"/>
              </w:rPr>
              <w:t>Beitritt für Bildungslösungen unter dem Campus- und</w:t>
            </w:r>
          </w:p>
          <w:p w:rsidR="00394D2B" w:rsidRPr="00BB5519" w:rsidRDefault="00394D2B" w:rsidP="00FF3343">
            <w:pPr>
              <w:pStyle w:val="AppendixTableHeadings"/>
              <w:jc w:val="left"/>
              <w:rPr>
                <w:rFonts w:ascii="Tahoma" w:hAnsi="Tahoma" w:cs="Tahoma"/>
                <w:sz w:val="20"/>
                <w:szCs w:val="20"/>
              </w:rPr>
            </w:pPr>
            <w:r w:rsidRPr="00BB5519">
              <w:rPr>
                <w:rFonts w:ascii="Tahoma" w:hAnsi="Tahoma" w:cs="Tahoma"/>
                <w:sz w:val="20"/>
                <w:szCs w:val="20"/>
              </w:rPr>
              <w:t>School-Vertrag</w:t>
            </w:r>
          </w:p>
        </w:tc>
        <w:tc>
          <w:tcPr>
            <w:tcW w:w="1350" w:type="dxa"/>
            <w:shd w:val="clear" w:color="auto" w:fill="FFCC99"/>
            <w:vAlign w:val="center"/>
          </w:tcPr>
          <w:p w:rsidR="00394D2B" w:rsidRPr="00BB5519" w:rsidRDefault="00394D2B" w:rsidP="007E466C">
            <w:pPr>
              <w:pStyle w:val="AppendixTableHeadings"/>
              <w:rPr>
                <w:rFonts w:ascii="Tahoma" w:hAnsi="Tahoma" w:cs="Tahoma"/>
                <w:sz w:val="20"/>
                <w:szCs w:val="20"/>
              </w:rPr>
            </w:pPr>
            <w:r w:rsidRPr="00BB5519">
              <w:rPr>
                <w:rFonts w:ascii="Tahoma" w:hAnsi="Tahoma" w:cs="Tahoma"/>
                <w:sz w:val="20"/>
                <w:szCs w:val="20"/>
              </w:rPr>
              <w:t>Select Plus</w:t>
            </w:r>
          </w:p>
        </w:tc>
      </w:tr>
      <w:tr w:rsidR="009233CA" w:rsidRPr="00BB5519" w:rsidTr="00E53E60">
        <w:trPr>
          <w:trHeight w:val="369"/>
        </w:trPr>
        <w:tc>
          <w:tcPr>
            <w:tcW w:w="1627" w:type="dxa"/>
            <w:vAlign w:val="center"/>
          </w:tcPr>
          <w:p w:rsidR="00394D2B" w:rsidRPr="00BB5519" w:rsidRDefault="00394D2B">
            <w:pPr>
              <w:pStyle w:val="AppendixTableText"/>
              <w:rPr>
                <w:rFonts w:ascii="Tahoma" w:hAnsi="Tahoma" w:cs="Tahoma"/>
                <w:szCs w:val="20"/>
              </w:rPr>
            </w:pPr>
            <w:r w:rsidRPr="00BB5519">
              <w:rPr>
                <w:rFonts w:ascii="Tahoma" w:hAnsi="Tahoma" w:cs="Tahoma"/>
                <w:szCs w:val="20"/>
              </w:rPr>
              <w:t>Vergünstigungen sind verfügbar nach:</w:t>
            </w:r>
          </w:p>
        </w:tc>
        <w:tc>
          <w:tcPr>
            <w:tcW w:w="1260" w:type="dxa"/>
            <w:vAlign w:val="center"/>
          </w:tcPr>
          <w:p w:rsidR="00394D2B" w:rsidRPr="00BB5519" w:rsidRDefault="00394D2B">
            <w:pPr>
              <w:pStyle w:val="AppendixTableText"/>
              <w:rPr>
                <w:rFonts w:ascii="Tahoma" w:hAnsi="Tahoma" w:cs="Tahoma"/>
                <w:szCs w:val="20"/>
              </w:rPr>
            </w:pPr>
            <w:r w:rsidRPr="00BB5519">
              <w:rPr>
                <w:rFonts w:ascii="Tahoma" w:hAnsi="Tahoma" w:cs="Tahoma"/>
                <w:szCs w:val="20"/>
              </w:rPr>
              <w:t>Lizenzanzahl</w:t>
            </w:r>
          </w:p>
        </w:tc>
        <w:tc>
          <w:tcPr>
            <w:tcW w:w="810" w:type="dxa"/>
            <w:vAlign w:val="center"/>
          </w:tcPr>
          <w:p w:rsidR="00394D2B" w:rsidRPr="00BB5519" w:rsidRDefault="00394D2B">
            <w:pPr>
              <w:pStyle w:val="AppendixTableText"/>
              <w:rPr>
                <w:rFonts w:ascii="Tahoma" w:hAnsi="Tahoma" w:cs="Tahoma"/>
                <w:szCs w:val="20"/>
              </w:rPr>
            </w:pPr>
            <w:r w:rsidRPr="00BB5519">
              <w:rPr>
                <w:rFonts w:ascii="Tahoma" w:hAnsi="Tahoma" w:cs="Tahoma"/>
                <w:szCs w:val="20"/>
              </w:rPr>
              <w:t>Vertrag</w:t>
            </w:r>
          </w:p>
        </w:tc>
        <w:tc>
          <w:tcPr>
            <w:tcW w:w="2160" w:type="dxa"/>
            <w:vAlign w:val="center"/>
          </w:tcPr>
          <w:p w:rsidR="00394D2B" w:rsidRPr="00BB5519" w:rsidRDefault="00394D2B" w:rsidP="00394D2B">
            <w:pPr>
              <w:pStyle w:val="AppendixTableText"/>
              <w:rPr>
                <w:rFonts w:ascii="Tahoma" w:hAnsi="Tahoma" w:cs="Tahoma"/>
                <w:szCs w:val="20"/>
              </w:rPr>
            </w:pPr>
            <w:r w:rsidRPr="00BB5519">
              <w:rPr>
                <w:rFonts w:ascii="Tahoma" w:hAnsi="Tahoma" w:cs="Tahoma"/>
                <w:szCs w:val="20"/>
              </w:rPr>
              <w:t>Vertrag</w:t>
            </w:r>
          </w:p>
        </w:tc>
        <w:tc>
          <w:tcPr>
            <w:tcW w:w="2160" w:type="dxa"/>
            <w:vAlign w:val="center"/>
          </w:tcPr>
          <w:p w:rsidR="00394D2B" w:rsidRPr="00BB5519" w:rsidRDefault="00394D2B">
            <w:pPr>
              <w:pStyle w:val="AppendixTableText"/>
              <w:rPr>
                <w:rFonts w:ascii="Tahoma" w:hAnsi="Tahoma" w:cs="Tahoma"/>
                <w:szCs w:val="20"/>
              </w:rPr>
            </w:pPr>
            <w:r w:rsidRPr="00BB5519">
              <w:rPr>
                <w:rFonts w:ascii="Tahoma" w:hAnsi="Tahoma" w:cs="Tahoma"/>
                <w:szCs w:val="20"/>
              </w:rPr>
              <w:t>Beitritt</w:t>
            </w:r>
          </w:p>
        </w:tc>
        <w:tc>
          <w:tcPr>
            <w:tcW w:w="1350" w:type="dxa"/>
          </w:tcPr>
          <w:p w:rsidR="00394D2B" w:rsidRPr="00BB5519" w:rsidRDefault="00394D2B">
            <w:pPr>
              <w:pStyle w:val="AppendixTableText"/>
              <w:rPr>
                <w:rFonts w:ascii="Tahoma" w:hAnsi="Tahoma" w:cs="Tahoma"/>
                <w:szCs w:val="20"/>
              </w:rPr>
            </w:pPr>
            <w:r w:rsidRPr="00BB5519">
              <w:rPr>
                <w:rFonts w:ascii="Tahoma" w:hAnsi="Tahoma" w:cs="Tahoma"/>
                <w:szCs w:val="20"/>
              </w:rPr>
              <w:t>Registriertes Verbundenes Unternehmen</w:t>
            </w:r>
          </w:p>
        </w:tc>
      </w:tr>
    </w:tbl>
    <w:p w:rsidR="00023FE7" w:rsidRPr="00BB5519" w:rsidRDefault="00023FE7" w:rsidP="00E53E60">
      <w:pPr>
        <w:pStyle w:val="AppendixBodyText"/>
        <w:spacing w:before="40" w:after="0"/>
        <w:ind w:right="403"/>
        <w:rPr>
          <w:lang w:val="de-DE"/>
        </w:rPr>
      </w:pPr>
      <w:r w:rsidRPr="00BB5519">
        <w:rPr>
          <w:rFonts w:ascii="Tahoma" w:hAnsi="Tahoma" w:cs="Tahoma"/>
          <w:b/>
          <w:i/>
          <w:sz w:val="16"/>
          <w:szCs w:val="16"/>
          <w:lang w:val="de-DE"/>
        </w:rPr>
        <w:t>Anmerkung:</w:t>
      </w:r>
      <w:r w:rsidRPr="00BB5519">
        <w:rPr>
          <w:rFonts w:ascii="Tahoma" w:hAnsi="Tahoma" w:cs="Tahoma"/>
          <w:i/>
          <w:sz w:val="16"/>
          <w:szCs w:val="16"/>
          <w:lang w:val="de-DE"/>
        </w:rPr>
        <w:t xml:space="preserve"> *Kunden, die Canadian HealthCare-Volumenlizenz-Konzernverträge schließen, erhalten SA-Vergünstigungen, die den SA-Vergünstigungen für Kunden entsprechen, die Produkte über Microsoft Open Value erwerben.</w:t>
      </w:r>
    </w:p>
    <w:p w:rsidR="00023FE7" w:rsidRPr="00BB5519" w:rsidRDefault="00023FE7" w:rsidP="0063466C">
      <w:pPr>
        <w:pStyle w:val="AppendixBodyText"/>
        <w:spacing w:after="0"/>
        <w:rPr>
          <w:lang w:val="de-DE"/>
        </w:rPr>
      </w:pPr>
    </w:p>
    <w:p w:rsidR="00023FE7" w:rsidRPr="00BB5519" w:rsidRDefault="00023FE7" w:rsidP="00DE1CBE">
      <w:pPr>
        <w:pStyle w:val="AppendixBodyText"/>
        <w:spacing w:after="0"/>
        <w:rPr>
          <w:lang w:val="de-DE"/>
        </w:rPr>
      </w:pPr>
      <w:r w:rsidRPr="00BB5519">
        <w:rPr>
          <w:rFonts w:ascii="Tahoma" w:hAnsi="Tahoma" w:cs="Tahoma"/>
          <w:sz w:val="18"/>
          <w:lang w:val="de-DE"/>
        </w:rPr>
        <w:t>Software Assurance-Vergünstigungen und Onlinedienste-Vergünstigungen werden im Diagramm unten dargestellt.</w:t>
      </w:r>
      <w:r w:rsidR="009E4976" w:rsidRPr="00BB5519">
        <w:rPr>
          <w:rFonts w:ascii="Tahoma" w:hAnsi="Tahoma" w:cs="Tahoma"/>
          <w:sz w:val="18"/>
          <w:lang w:val="de-DE"/>
        </w:rPr>
        <w:t xml:space="preserve"> </w:t>
      </w:r>
      <w:r w:rsidRPr="00BB5519">
        <w:rPr>
          <w:rFonts w:ascii="Tahoma" w:hAnsi="Tahoma" w:cs="Tahoma"/>
          <w:sz w:val="18"/>
          <w:lang w:val="de-DE"/>
        </w:rPr>
        <w:t>Bestimmte Vorteile entsprechen einzelnen Lizenzen, für die Software Assurance erworben wird.</w:t>
      </w:r>
      <w:r w:rsidR="009E4976" w:rsidRPr="00BB5519">
        <w:rPr>
          <w:rFonts w:ascii="Tahoma" w:hAnsi="Tahoma" w:cs="Tahoma"/>
          <w:sz w:val="18"/>
          <w:lang w:val="de-DE"/>
        </w:rPr>
        <w:t xml:space="preserve"> </w:t>
      </w:r>
      <w:r w:rsidRPr="00BB5519">
        <w:rPr>
          <w:rFonts w:ascii="Tahoma" w:hAnsi="Tahoma" w:cs="Tahoma"/>
          <w:sz w:val="18"/>
          <w:lang w:val="de-DE"/>
        </w:rPr>
        <w:t>Aktive Software Assurance (oder ein anderes Upgrade-Programm) für ein qualifizierendes Produkt qualifiziert diesen Kunden zu diesen Vergünstigungen, unabhängig von der Produktversion, die ein Kunde tatsächlich verwendet.</w:t>
      </w:r>
      <w:r w:rsidR="009E4976" w:rsidRPr="00BB5519">
        <w:rPr>
          <w:rFonts w:ascii="Tahoma" w:hAnsi="Tahoma" w:cs="Tahoma"/>
          <w:sz w:val="18"/>
          <w:lang w:val="de-DE"/>
        </w:rPr>
        <w:t xml:space="preserve"> </w:t>
      </w:r>
      <w:r w:rsidRPr="00BB5519">
        <w:rPr>
          <w:rFonts w:ascii="Tahoma" w:hAnsi="Tahoma" w:cs="Tahoma"/>
          <w:sz w:val="18"/>
          <w:lang w:val="de-DE"/>
        </w:rPr>
        <w:t>Die qualifizierenden Produkte werden in den einzelnen Produktabschnitten genannt.</w:t>
      </w:r>
      <w:r w:rsidR="009E4976" w:rsidRPr="00BB5519">
        <w:rPr>
          <w:rFonts w:ascii="Tahoma" w:hAnsi="Tahoma" w:cs="Tahoma"/>
          <w:sz w:val="18"/>
          <w:lang w:val="de-DE"/>
        </w:rPr>
        <w:t xml:space="preserve"> </w:t>
      </w:r>
      <w:r w:rsidRPr="00BB5519">
        <w:rPr>
          <w:rFonts w:ascii="Tahoma" w:hAnsi="Tahoma" w:cs="Tahoma"/>
          <w:sz w:val="18"/>
          <w:lang w:val="de-DE"/>
        </w:rPr>
        <w:t>Einige Vergünstigungen werden auf Grundlage der SA-Ausgaben des Kunden für einen bestimmten Satz qualifizierender Produkte innerhalb eines Pools gewährt.</w:t>
      </w:r>
      <w:r w:rsidR="009E4976" w:rsidRPr="00BB5519">
        <w:rPr>
          <w:rFonts w:ascii="Tahoma" w:hAnsi="Tahoma" w:cs="Tahoma"/>
          <w:sz w:val="18"/>
          <w:lang w:val="de-DE"/>
        </w:rPr>
        <w:t xml:space="preserve"> </w:t>
      </w:r>
      <w:r w:rsidRPr="00BB5519">
        <w:rPr>
          <w:rFonts w:ascii="Tahoma" w:hAnsi="Tahoma" w:cs="Tahoma"/>
          <w:sz w:val="18"/>
          <w:lang w:val="de-DE"/>
        </w:rPr>
        <w:t>In diesem Sinne sind mit „SA-Ausgaben“ nicht die tatsächlich ausgegebenen Beträge des Kunden gemeint.</w:t>
      </w:r>
      <w:r w:rsidR="009E4976" w:rsidRPr="00BB5519">
        <w:rPr>
          <w:rFonts w:ascii="Tahoma" w:hAnsi="Tahoma" w:cs="Tahoma"/>
          <w:sz w:val="18"/>
          <w:lang w:val="de-DE"/>
        </w:rPr>
        <w:t xml:space="preserve"> </w:t>
      </w:r>
      <w:r w:rsidRPr="00BB5519">
        <w:rPr>
          <w:rFonts w:ascii="Tahoma" w:hAnsi="Tahoma" w:cs="Tahoma"/>
          <w:sz w:val="18"/>
          <w:lang w:val="de-DE"/>
        </w:rPr>
        <w:t xml:space="preserve">Vielmehr ist ein Überschlag der Ausgaben eines Kunden für Software Assurance für diese Produkte unter seinem Select- oder Konzernbeitritt, </w:t>
      </w:r>
      <w:r w:rsidRPr="00BB5519">
        <w:rPr>
          <w:rFonts w:ascii="Tahoma" w:hAnsi="Tahoma" w:cs="Tahoma"/>
          <w:sz w:val="18"/>
          <w:szCs w:val="18"/>
          <w:lang w:val="de-DE"/>
        </w:rPr>
        <w:t>seiner Select Plus-Registrierung oder seinem Open-Vertrag gemeint (zum Beispiel der Erwerb von nur SA und die SA-Komponenten von L&amp;SA-Käufen).</w:t>
      </w:r>
      <w:r w:rsidR="009E4976" w:rsidRPr="00BB5519">
        <w:rPr>
          <w:rFonts w:ascii="Tahoma" w:hAnsi="Tahoma" w:cs="Tahoma"/>
          <w:sz w:val="18"/>
          <w:szCs w:val="18"/>
          <w:lang w:val="de-DE"/>
        </w:rPr>
        <w:t xml:space="preserve"> </w:t>
      </w:r>
      <w:r w:rsidRPr="00BB5519">
        <w:rPr>
          <w:rFonts w:ascii="Tahoma" w:hAnsi="Tahoma" w:cs="Tahoma"/>
          <w:sz w:val="18"/>
          <w:szCs w:val="18"/>
          <w:lang w:val="de-DE"/>
        </w:rPr>
        <w:t>Für Kunden unter Abonnementprogrammen handelt es sich um einen Überschlag des Gesamtbetrags, den der Kunde für die Lizenzierung dieser Produkte unter seinem Beitritt bzw. Vertrag ausgegeben hat.</w:t>
      </w:r>
      <w:r w:rsidR="009E4976" w:rsidRPr="00BB5519">
        <w:rPr>
          <w:rFonts w:ascii="Tahoma" w:hAnsi="Tahoma" w:cs="Tahoma"/>
          <w:sz w:val="18"/>
          <w:szCs w:val="18"/>
          <w:lang w:val="de-DE"/>
        </w:rPr>
        <w:t xml:space="preserve"> </w:t>
      </w:r>
      <w:r w:rsidRPr="00BB5519">
        <w:rPr>
          <w:rFonts w:ascii="Tahoma" w:hAnsi="Tahoma" w:cs="Tahoma"/>
          <w:sz w:val="18"/>
          <w:szCs w:val="18"/>
          <w:lang w:val="de-DE"/>
        </w:rPr>
        <w:t>Andere Vergünstigungen entsprechen der Mitgliedschaft bei Software Assurance; die Mitgliedschaft bei Software Assurance für den jeweiligen Produktpool qualifiziert den Kunden für</w:t>
      </w:r>
      <w:r w:rsidR="00DE1CBE">
        <w:rPr>
          <w:rFonts w:ascii="Tahoma" w:hAnsi="Tahoma" w:cs="Tahoma"/>
          <w:sz w:val="18"/>
          <w:szCs w:val="18"/>
          <w:lang w:val="de-DE"/>
        </w:rPr>
        <w:t> </w:t>
      </w:r>
      <w:r w:rsidRPr="00BB5519">
        <w:rPr>
          <w:rFonts w:ascii="Tahoma" w:hAnsi="Tahoma" w:cs="Tahoma"/>
          <w:sz w:val="18"/>
          <w:szCs w:val="18"/>
          <w:lang w:val="de-DE"/>
        </w:rPr>
        <w:t>diese</w:t>
      </w:r>
      <w:r w:rsidR="00E53E60">
        <w:rPr>
          <w:rFonts w:ascii="Tahoma" w:hAnsi="Tahoma" w:cs="Tahoma"/>
          <w:sz w:val="18"/>
          <w:szCs w:val="18"/>
          <w:lang w:val="de-DE"/>
        </w:rPr>
        <w:t> </w:t>
      </w:r>
      <w:r w:rsidRPr="00BB5519">
        <w:rPr>
          <w:rFonts w:ascii="Tahoma" w:hAnsi="Tahoma" w:cs="Tahoma"/>
          <w:sz w:val="18"/>
          <w:szCs w:val="18"/>
          <w:lang w:val="de-DE"/>
        </w:rPr>
        <w:t>Vergünstigungen.</w:t>
      </w:r>
    </w:p>
    <w:p w:rsidR="00F76ED4" w:rsidRPr="00BB5519" w:rsidRDefault="00F76ED4">
      <w:pPr>
        <w:rPr>
          <w:lang w:val="de-DE"/>
        </w:rPr>
      </w:pPr>
      <w:r w:rsidRPr="00BB5519">
        <w:rPr>
          <w:rFonts w:cs="Tahoma"/>
          <w:lang w:val="de-DE"/>
        </w:rPr>
        <w:br w:type="page"/>
      </w:r>
    </w:p>
    <w:p w:rsidR="00023FE7" w:rsidRPr="00BB5519" w:rsidRDefault="00023FE7" w:rsidP="0063466C">
      <w:pPr>
        <w:pStyle w:val="AppendixBodyText"/>
        <w:spacing w:after="0"/>
        <w:rPr>
          <w:lang w:val="de-DE"/>
        </w:rPr>
      </w:pPr>
    </w:p>
    <w:tbl>
      <w:tblPr>
        <w:tblW w:w="9367" w:type="dxa"/>
        <w:tblInd w:w="101" w:type="dxa"/>
        <w:tblLayout w:type="fixed"/>
        <w:tblLook w:val="0000" w:firstRow="0" w:lastRow="0" w:firstColumn="0" w:lastColumn="0" w:noHBand="0" w:noVBand="0"/>
      </w:tblPr>
      <w:tblGrid>
        <w:gridCol w:w="2347"/>
        <w:gridCol w:w="1620"/>
        <w:gridCol w:w="1260"/>
        <w:gridCol w:w="1170"/>
        <w:gridCol w:w="1620"/>
        <w:gridCol w:w="1350"/>
      </w:tblGrid>
      <w:tr w:rsidR="004B4C79" w:rsidRPr="00BB5519" w:rsidTr="00DE1CBE">
        <w:trPr>
          <w:trHeight w:val="255"/>
          <w:tblHeader/>
        </w:trPr>
        <w:tc>
          <w:tcPr>
            <w:tcW w:w="234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B5519" w:rsidRDefault="004B4C79" w:rsidP="00E06FE8">
            <w:pPr>
              <w:pStyle w:val="AppendixTableHeadings"/>
              <w:rPr>
                <w:rFonts w:ascii="Tahoma" w:hAnsi="Tahoma" w:cs="Tahoma"/>
                <w:sz w:val="20"/>
                <w:szCs w:val="20"/>
              </w:rPr>
            </w:pPr>
            <w:r w:rsidRPr="00BB5519">
              <w:rPr>
                <w:rFonts w:ascii="Tahoma" w:hAnsi="Tahoma" w:cs="Tahoma"/>
                <w:sz w:val="20"/>
                <w:szCs w:val="20"/>
              </w:rPr>
              <w:t>Vergünstigungen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B5519" w:rsidRDefault="004B4C79" w:rsidP="00E06FE8">
            <w:pPr>
              <w:pStyle w:val="AppendixTableHeadings"/>
              <w:rPr>
                <w:rFonts w:ascii="Tahoma" w:hAnsi="Tahoma" w:cs="Tahoma"/>
                <w:sz w:val="20"/>
                <w:szCs w:val="20"/>
              </w:rPr>
            </w:pPr>
            <w:r w:rsidRPr="00BB5519">
              <w:rPr>
                <w:rFonts w:ascii="Tahoma" w:hAnsi="Tahoma" w:cs="Tahoma"/>
                <w:sz w:val="20"/>
                <w:szCs w:val="20"/>
              </w:rPr>
              <w:t>Anwendungs-Pool</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B5519" w:rsidRDefault="004B4C79" w:rsidP="00E06FE8">
            <w:pPr>
              <w:pStyle w:val="AppendixTableHeadings"/>
              <w:rPr>
                <w:rFonts w:ascii="Tahoma" w:hAnsi="Tahoma" w:cs="Tahoma"/>
                <w:sz w:val="20"/>
                <w:szCs w:val="20"/>
              </w:rPr>
            </w:pPr>
            <w:r w:rsidRPr="00BB5519">
              <w:rPr>
                <w:rFonts w:ascii="Tahoma" w:hAnsi="Tahoma" w:cs="Tahoma"/>
                <w:sz w:val="20"/>
                <w:szCs w:val="20"/>
              </w:rPr>
              <w:t>System-Pool</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B5519" w:rsidRDefault="004B4C79" w:rsidP="00E06FE8">
            <w:pPr>
              <w:pStyle w:val="AppendixTableHeadings"/>
              <w:rPr>
                <w:rFonts w:ascii="Tahoma" w:hAnsi="Tahoma" w:cs="Tahoma"/>
                <w:sz w:val="20"/>
                <w:szCs w:val="20"/>
              </w:rPr>
            </w:pPr>
            <w:r w:rsidRPr="00BB5519">
              <w:rPr>
                <w:rFonts w:ascii="Tahoma" w:hAnsi="Tahoma" w:cs="Tahoma"/>
                <w:sz w:val="20"/>
                <w:szCs w:val="20"/>
              </w:rPr>
              <w:t>Server-Pool</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B5519" w:rsidRDefault="006705D4" w:rsidP="00E06FE8">
            <w:pPr>
              <w:pStyle w:val="AppendixTableHeadings"/>
              <w:rPr>
                <w:rFonts w:ascii="Tahoma" w:hAnsi="Tahoma" w:cs="Tahoma"/>
                <w:sz w:val="20"/>
                <w:szCs w:val="20"/>
              </w:rPr>
            </w:pPr>
            <w:r w:rsidRPr="00BB5519">
              <w:rPr>
                <w:rFonts w:ascii="Tahoma" w:hAnsi="Tahoma" w:cs="Tahoma"/>
                <w:sz w:val="20"/>
                <w:szCs w:val="20"/>
              </w:rPr>
              <w:t xml:space="preserve">Windows Intune </w:t>
            </w:r>
            <w:r w:rsidR="00017D8D">
              <w:rPr>
                <w:rFonts w:ascii="Tahoma" w:hAnsi="Tahoma" w:cs="Tahoma"/>
                <w:sz w:val="20"/>
                <w:szCs w:val="20"/>
              </w:rPr>
              <w:br/>
            </w:r>
            <w:r w:rsidRPr="00BB5519">
              <w:rPr>
                <w:rFonts w:ascii="Tahoma" w:hAnsi="Tahoma" w:cs="Tahoma"/>
                <w:sz w:val="20"/>
                <w:szCs w:val="20"/>
              </w:rPr>
              <w:t>(pro Gerät)</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BB5519" w:rsidRDefault="004B4C79" w:rsidP="00E06FE8">
            <w:pPr>
              <w:pStyle w:val="AppendixTableHeadings"/>
              <w:rPr>
                <w:rFonts w:ascii="Tahoma" w:hAnsi="Tahoma" w:cs="Tahoma"/>
                <w:sz w:val="20"/>
                <w:szCs w:val="20"/>
              </w:rPr>
            </w:pPr>
            <w:r w:rsidRPr="00BB5519">
              <w:rPr>
                <w:rFonts w:ascii="Tahoma" w:hAnsi="Tahoma" w:cs="Tahoma"/>
                <w:sz w:val="20"/>
                <w:szCs w:val="20"/>
              </w:rPr>
              <w:t>Office 365</w:t>
            </w:r>
          </w:p>
        </w:tc>
      </w:tr>
      <w:tr w:rsidR="004B4C79" w:rsidRPr="00BB5519" w:rsidTr="00DE1CBE">
        <w:trPr>
          <w:trHeight w:val="255"/>
        </w:trPr>
        <w:tc>
          <w:tcPr>
            <w:tcW w:w="2347" w:type="dxa"/>
            <w:tcBorders>
              <w:top w:val="single" w:sz="8" w:space="0" w:color="auto"/>
              <w:left w:val="single" w:sz="4" w:space="0" w:color="auto"/>
              <w:bottom w:val="single" w:sz="4" w:space="0" w:color="auto"/>
              <w:right w:val="single" w:sz="4"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Rechte für neue Versionen</w:t>
            </w:r>
          </w:p>
        </w:tc>
        <w:tc>
          <w:tcPr>
            <w:tcW w:w="1620" w:type="dxa"/>
            <w:tcBorders>
              <w:top w:val="single" w:sz="8" w:space="0" w:color="auto"/>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single" w:sz="8" w:space="0" w:color="auto"/>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single" w:sz="8" w:space="0" w:color="auto"/>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620" w:type="dxa"/>
            <w:tcBorders>
              <w:top w:val="single" w:sz="8" w:space="0" w:color="auto"/>
              <w:left w:val="nil"/>
              <w:bottom w:val="single" w:sz="4" w:space="0" w:color="auto"/>
              <w:right w:val="single" w:sz="4" w:space="0" w:color="auto"/>
            </w:tcBorders>
            <w:vAlign w:val="center"/>
          </w:tcPr>
          <w:p w:rsidR="004B4C79" w:rsidRPr="00BB5519" w:rsidRDefault="00302B84" w:rsidP="00E06FE8">
            <w:pPr>
              <w:pStyle w:val="AppendixTableText"/>
              <w:rPr>
                <w:rFonts w:ascii="Tahoma" w:hAnsi="Tahoma" w:cs="Tahoma"/>
              </w:rPr>
            </w:pPr>
            <w:r w:rsidRPr="00BB5519">
              <w:rPr>
                <w:rFonts w:ascii="Tahoma" w:hAnsi="Tahoma" w:cs="Tahoma"/>
              </w:rPr>
              <w:t>Ja</w:t>
            </w:r>
          </w:p>
        </w:tc>
        <w:tc>
          <w:tcPr>
            <w:tcW w:w="1350" w:type="dxa"/>
            <w:tcBorders>
              <w:top w:val="single" w:sz="8" w:space="0" w:color="auto"/>
              <w:left w:val="nil"/>
              <w:bottom w:val="single" w:sz="4" w:space="0" w:color="auto"/>
              <w:right w:val="single" w:sz="4" w:space="0" w:color="auto"/>
            </w:tcBorders>
            <w:vAlign w:val="center"/>
          </w:tcPr>
          <w:p w:rsidR="004B4C79" w:rsidRPr="00BB5519" w:rsidRDefault="00302B84" w:rsidP="00E06FE8">
            <w:pPr>
              <w:pStyle w:val="AppendixTableText"/>
              <w:rPr>
                <w:rFonts w:ascii="Tahoma" w:hAnsi="Tahoma" w:cs="Tahoma"/>
              </w:rPr>
            </w:pPr>
            <w:r w:rsidRPr="00BB5519">
              <w:rPr>
                <w:rFonts w:ascii="Tahoma" w:hAnsi="Tahoma" w:cs="Tahoma"/>
              </w:rPr>
              <w:t>Ja</w:t>
            </w:r>
          </w:p>
        </w:tc>
      </w:tr>
      <w:tr w:rsidR="004B4C79"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4B4C79" w:rsidP="00DE1CBE">
            <w:pPr>
              <w:pStyle w:val="AppendixTableText"/>
              <w:jc w:val="left"/>
              <w:rPr>
                <w:rFonts w:ascii="Tahoma" w:hAnsi="Tahoma" w:cs="Tahoma"/>
              </w:rPr>
            </w:pPr>
            <w:r w:rsidRPr="00BB5519">
              <w:rPr>
                <w:rFonts w:ascii="Tahoma" w:hAnsi="Tahoma" w:cs="Tahoma"/>
              </w:rPr>
              <w:t>Office Multi Language</w:t>
            </w:r>
            <w:r w:rsidR="00DE1CBE">
              <w:rPr>
                <w:rFonts w:ascii="Tahoma" w:hAnsi="Tahoma" w:cs="Tahoma"/>
              </w:rPr>
              <w:t> </w:t>
            </w:r>
            <w:r w:rsidRPr="00BB5519">
              <w:rPr>
                <w:rFonts w:ascii="Tahoma" w:hAnsi="Tahoma" w:cs="Tahoma"/>
              </w:rPr>
              <w:t>Pack</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Style w:val="CommentReference"/>
                <w:rFonts w:ascii="Tahoma" w:hAnsi="Tahoma" w:cs="Tahoma"/>
                <w:sz w:val="18"/>
                <w:szCs w:val="18"/>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Style w:val="CommentReference"/>
                <w:rFonts w:ascii="Tahoma" w:hAnsi="Tahoma" w:cs="Tahoma"/>
                <w:sz w:val="18"/>
                <w:szCs w:val="18"/>
              </w:rPr>
            </w:pPr>
            <w:r w:rsidRPr="00BB5519">
              <w:rPr>
                <w:rFonts w:ascii="Tahoma" w:hAnsi="Tahoma" w:cs="Tahoma"/>
              </w:rPr>
              <w:t>Ja</w:t>
            </w:r>
          </w:p>
        </w:tc>
      </w:tr>
      <w:tr w:rsidR="004B4C79"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E7419A">
            <w:pPr>
              <w:pStyle w:val="AppendixTableText"/>
              <w:jc w:val="left"/>
              <w:rPr>
                <w:rFonts w:ascii="Tahoma" w:hAnsi="Tahoma" w:cs="Tahoma"/>
              </w:rPr>
            </w:pPr>
            <w:r w:rsidRPr="00BB5519">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Style w:val="CommentReference"/>
                <w:rFonts w:ascii="Tahoma" w:hAnsi="Tahoma" w:cs="Tahoma"/>
                <w:sz w:val="18"/>
                <w:szCs w:val="18"/>
              </w:rPr>
            </w:pPr>
            <w:r w:rsidRPr="00BB5519">
              <w:rPr>
                <w:rStyle w:val="CommentReference"/>
                <w:rFonts w:ascii="Tahoma" w:hAnsi="Tahoma" w:cs="Tahoma"/>
                <w:sz w:val="18"/>
                <w:szCs w:val="18"/>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Style w:val="CommentReference"/>
                <w:rFonts w:ascii="Tahoma" w:hAnsi="Tahoma" w:cs="Tahoma"/>
                <w:sz w:val="18"/>
                <w:szCs w:val="18"/>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Style w:val="CommentReference"/>
                <w:rFonts w:ascii="Tahoma" w:hAnsi="Tahoma" w:cs="Tahoma"/>
                <w:sz w:val="18"/>
                <w:szCs w:val="18"/>
              </w:rPr>
            </w:pPr>
          </w:p>
        </w:tc>
      </w:tr>
      <w:tr w:rsidR="004B4C79"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4B4C79" w:rsidRPr="00BB5519" w:rsidRDefault="004B4C79" w:rsidP="0040728D">
            <w:pPr>
              <w:pStyle w:val="AppendixTableText"/>
              <w:jc w:val="left"/>
              <w:rPr>
                <w:rFonts w:ascii="Tahoma" w:hAnsi="Tahoma" w:cs="Tahoma"/>
              </w:rPr>
            </w:pPr>
            <w:r w:rsidRPr="00BB5519">
              <w:rPr>
                <w:rFonts w:ascii="Tahoma" w:hAnsi="Tahoma" w:cs="Tahoma"/>
              </w:rPr>
              <w:t>Windows 8 Enterprise</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35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Trainingsgutscheine</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E-Learning</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35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r>
      <w:tr w:rsidR="004B4C79"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Home Use Program</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Enterprise Source Licensing Program</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24x7 Problembehebungssupport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Style w:val="CommentReference"/>
                <w:rFonts w:ascii="Tahoma" w:hAnsi="Tahoma" w:cs="Tahoma"/>
                <w:sz w:val="18"/>
                <w:szCs w:val="18"/>
              </w:rPr>
            </w:pPr>
            <w:r w:rsidRPr="00BB5519">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620185"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620185" w:rsidRPr="00BB5519" w:rsidRDefault="00620185">
            <w:pPr>
              <w:pStyle w:val="AppendixTableText"/>
              <w:jc w:val="left"/>
              <w:rPr>
                <w:rFonts w:ascii="Tahoma" w:hAnsi="Tahoma" w:cs="Tahoma"/>
              </w:rPr>
            </w:pPr>
            <w:r w:rsidRPr="00BB5519">
              <w:rPr>
                <w:rFonts w:ascii="Tahoma" w:hAnsi="Tahoma" w:cs="Tahoma"/>
              </w:rPr>
              <w:t>System Center Advisor</w:t>
            </w:r>
          </w:p>
        </w:tc>
        <w:tc>
          <w:tcPr>
            <w:tcW w:w="1620" w:type="dxa"/>
            <w:tcBorders>
              <w:top w:val="nil"/>
              <w:left w:val="nil"/>
              <w:bottom w:val="single" w:sz="4" w:space="0" w:color="auto"/>
              <w:right w:val="single" w:sz="4" w:space="0" w:color="auto"/>
            </w:tcBorders>
            <w:vAlign w:val="center"/>
          </w:tcPr>
          <w:p w:rsidR="00620185" w:rsidRPr="00BB5519" w:rsidRDefault="00620185"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620185" w:rsidRPr="00BB5519" w:rsidRDefault="00620185"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620185" w:rsidRPr="00BB5519" w:rsidRDefault="00620185" w:rsidP="00E06FE8">
            <w:pPr>
              <w:pStyle w:val="AppendixTableText"/>
              <w:rPr>
                <w:rFonts w:ascii="Tahoma" w:hAnsi="Tahoma" w:cs="Tahoma"/>
              </w:rPr>
            </w:pPr>
            <w:r w:rsidRPr="00BB5519">
              <w:rPr>
                <w:rFonts w:ascii="Tahoma" w:hAnsi="Tahoma" w:cs="Tahoma"/>
              </w:rPr>
              <w:t>Ja</w:t>
            </w:r>
          </w:p>
        </w:tc>
        <w:tc>
          <w:tcPr>
            <w:tcW w:w="1620" w:type="dxa"/>
            <w:tcBorders>
              <w:top w:val="nil"/>
              <w:left w:val="nil"/>
              <w:bottom w:val="single" w:sz="4" w:space="0" w:color="auto"/>
              <w:right w:val="single" w:sz="4" w:space="0" w:color="auto"/>
            </w:tcBorders>
            <w:vAlign w:val="center"/>
          </w:tcPr>
          <w:p w:rsidR="00620185" w:rsidRPr="00BB5519" w:rsidRDefault="00620185"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620185" w:rsidRPr="00BB5519" w:rsidRDefault="00620185" w:rsidP="00E06FE8">
            <w:pPr>
              <w:pStyle w:val="AppendixTableText"/>
              <w:rPr>
                <w:rFonts w:ascii="Tahoma" w:hAnsi="Tahoma" w:cs="Tahoma"/>
              </w:rPr>
            </w:pPr>
          </w:p>
        </w:tc>
      </w:tr>
      <w:tr w:rsidR="00E06FE8"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E06FE8" w:rsidRPr="00BB5519" w:rsidRDefault="00E06FE8">
            <w:pPr>
              <w:pStyle w:val="AppendixTableText"/>
              <w:jc w:val="left"/>
              <w:rPr>
                <w:rFonts w:ascii="Tahoma" w:hAnsi="Tahoma" w:cs="Tahoma"/>
              </w:rPr>
            </w:pPr>
            <w:r w:rsidRPr="00BB5519">
              <w:rPr>
                <w:rFonts w:ascii="Tahoma" w:hAnsi="Tahoma" w:cs="Tahoma"/>
              </w:rPr>
              <w:t>Globaler System Center-Dienstmonitor</w:t>
            </w:r>
          </w:p>
        </w:tc>
        <w:tc>
          <w:tcPr>
            <w:tcW w:w="1620" w:type="dxa"/>
            <w:tcBorders>
              <w:top w:val="nil"/>
              <w:left w:val="nil"/>
              <w:bottom w:val="single" w:sz="4" w:space="0" w:color="auto"/>
              <w:right w:val="single" w:sz="4" w:space="0" w:color="auto"/>
            </w:tcBorders>
            <w:vAlign w:val="center"/>
          </w:tcPr>
          <w:p w:rsidR="00E06FE8" w:rsidRPr="00BB5519" w:rsidRDefault="00E06FE8"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E06FE8" w:rsidRPr="00BB5519" w:rsidRDefault="00E06FE8"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E06FE8" w:rsidRPr="00BB5519" w:rsidRDefault="00E06FE8" w:rsidP="00E06FE8">
            <w:pPr>
              <w:pStyle w:val="AppendixTableText"/>
              <w:rPr>
                <w:rFonts w:ascii="Tahoma" w:hAnsi="Tahoma" w:cs="Tahoma"/>
              </w:rPr>
            </w:pPr>
            <w:r w:rsidRPr="00BB5519">
              <w:rPr>
                <w:rFonts w:ascii="Tahoma" w:hAnsi="Tahoma" w:cs="Tahoma"/>
              </w:rPr>
              <w:t>Ja</w:t>
            </w:r>
          </w:p>
        </w:tc>
        <w:tc>
          <w:tcPr>
            <w:tcW w:w="1620" w:type="dxa"/>
            <w:tcBorders>
              <w:top w:val="nil"/>
              <w:left w:val="nil"/>
              <w:bottom w:val="single" w:sz="4" w:space="0" w:color="auto"/>
              <w:right w:val="single" w:sz="4" w:space="0" w:color="auto"/>
            </w:tcBorders>
            <w:vAlign w:val="center"/>
          </w:tcPr>
          <w:p w:rsidR="00E06FE8" w:rsidRPr="00BB5519" w:rsidRDefault="00E06FE8"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E06FE8" w:rsidRPr="00BB5519" w:rsidRDefault="00E06FE8" w:rsidP="00E06FE8">
            <w:pPr>
              <w:pStyle w:val="AppendixTableText"/>
              <w:rPr>
                <w:rFonts w:ascii="Tahoma" w:hAnsi="Tahoma" w:cs="Tahoma"/>
              </w:rPr>
            </w:pPr>
          </w:p>
        </w:tc>
      </w:tr>
      <w:tr w:rsidR="004B4C79"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4B4C79" w:rsidRPr="00BB5519" w:rsidRDefault="004B4C79">
            <w:pPr>
              <w:pStyle w:val="AppendixTableText"/>
              <w:jc w:val="left"/>
              <w:rPr>
                <w:rFonts w:ascii="Tahoma" w:hAnsi="Tahoma" w:cs="Tahoma"/>
                <w:lang w:val="de-DE"/>
              </w:rPr>
            </w:pPr>
            <w:r w:rsidRPr="00BB5519">
              <w:rPr>
                <w:rFonts w:ascii="Tahoma" w:hAnsi="Tahoma" w:cs="Tahoma"/>
                <w:lang w:val="de-DE"/>
              </w:rPr>
              <w:t>„Cold Backup“ für die Wiederherstellung im Notfall</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lang w:val="de-DE"/>
              </w:rPr>
            </w:pPr>
          </w:p>
        </w:tc>
        <w:tc>
          <w:tcPr>
            <w:tcW w:w="126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lang w:val="de-DE"/>
              </w:rPr>
            </w:pPr>
          </w:p>
        </w:tc>
        <w:tc>
          <w:tcPr>
            <w:tcW w:w="117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55"/>
        </w:trPr>
        <w:tc>
          <w:tcPr>
            <w:tcW w:w="2347" w:type="dxa"/>
            <w:tcBorders>
              <w:top w:val="single" w:sz="4" w:space="0" w:color="auto"/>
              <w:left w:val="single" w:sz="4" w:space="0" w:color="auto"/>
              <w:bottom w:val="single" w:sz="4" w:space="0" w:color="auto"/>
              <w:right w:val="single" w:sz="4"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TechNet SA-Abonnementservices</w:t>
            </w:r>
          </w:p>
        </w:tc>
        <w:tc>
          <w:tcPr>
            <w:tcW w:w="1620" w:type="dxa"/>
            <w:tcBorders>
              <w:top w:val="single" w:sz="4" w:space="0" w:color="auto"/>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single" w:sz="4" w:space="0" w:color="auto"/>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single" w:sz="4" w:space="0" w:color="auto"/>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620" w:type="dxa"/>
            <w:tcBorders>
              <w:top w:val="single" w:sz="4" w:space="0" w:color="auto"/>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350" w:type="dxa"/>
            <w:tcBorders>
              <w:top w:val="single" w:sz="4" w:space="0" w:color="auto"/>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55"/>
        </w:trPr>
        <w:tc>
          <w:tcPr>
            <w:tcW w:w="2347" w:type="dxa"/>
            <w:tcBorders>
              <w:top w:val="nil"/>
              <w:left w:val="single" w:sz="4" w:space="0" w:color="auto"/>
              <w:bottom w:val="single" w:sz="4" w:space="0" w:color="auto"/>
              <w:right w:val="single" w:sz="4"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62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46"/>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4B4C79" w:rsidP="005F52C6">
            <w:pPr>
              <w:pStyle w:val="AppendixTableText"/>
              <w:jc w:val="left"/>
              <w:rPr>
                <w:rFonts w:ascii="Tahoma" w:hAnsi="Tahoma" w:cs="Tahoma"/>
              </w:rPr>
            </w:pPr>
            <w:r w:rsidRPr="00BB5519">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Erweiterter Hotfix-Support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Style w:val="CommentReference"/>
                <w:rFonts w:ascii="Tahoma" w:hAnsi="Tahoma" w:cs="Tahoma"/>
                <w:sz w:val="18"/>
                <w:szCs w:val="18"/>
              </w:rPr>
            </w:pPr>
            <w:r w:rsidRPr="00BB5519">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4B4C79"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4B4C79">
            <w:pPr>
              <w:pStyle w:val="AppendixTableText"/>
              <w:jc w:val="left"/>
              <w:rPr>
                <w:rFonts w:ascii="Tahoma" w:hAnsi="Tahoma" w:cs="Tahoma"/>
                <w:color w:val="000000"/>
              </w:rPr>
            </w:pPr>
            <w:r w:rsidRPr="00BB5519">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spacing w:after="120"/>
              <w:rPr>
                <w:rFonts w:ascii="Tahoma" w:hAnsi="Tahoma" w:cs="Tahoma"/>
                <w:color w:val="000000"/>
              </w:rPr>
            </w:pPr>
            <w:r w:rsidRPr="00BB5519">
              <w:rPr>
                <w:rFonts w:ascii="Tahoma" w:hAnsi="Tahoma" w:cs="Tahoma"/>
                <w:color w:val="000000"/>
              </w:rPr>
              <w:t>Ja</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spacing w:before="120"/>
              <w:rPr>
                <w:rFonts w:ascii="Tahoma" w:hAnsi="Tahoma" w:cs="Tahoma"/>
                <w:color w:val="000000"/>
              </w:rPr>
            </w:pPr>
            <w:r w:rsidRPr="00BB5519">
              <w:rPr>
                <w:rFonts w:ascii="Tahoma" w:hAnsi="Tahoma" w:cs="Tahoma"/>
                <w:color w:val="000000"/>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spacing w:before="120"/>
              <w:rPr>
                <w:rFonts w:ascii="Tahoma" w:hAnsi="Tahoma" w:cs="Tahoma"/>
                <w:color w:val="000000"/>
              </w:rPr>
            </w:pPr>
          </w:p>
        </w:tc>
      </w:tr>
      <w:tr w:rsidR="004B4C79"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E7419A" w:rsidP="00E7419A">
            <w:pPr>
              <w:pStyle w:val="AppendixTableText"/>
              <w:jc w:val="left"/>
              <w:rPr>
                <w:rFonts w:ascii="Tahoma" w:hAnsi="Tahoma" w:cs="Tahoma"/>
                <w:color w:val="000000"/>
              </w:rPr>
            </w:pPr>
            <w:r w:rsidRPr="00BB5519">
              <w:rPr>
                <w:rFonts w:ascii="Tahoma" w:hAnsi="Tahoma" w:cs="Tahoma"/>
                <w:color w:val="000000"/>
              </w:rPr>
              <w:t>Virtualisierungsrechte für Windows-Desktops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spacing w:after="120"/>
              <w:rPr>
                <w:rFonts w:ascii="Tahoma" w:hAnsi="Tahoma" w:cs="Tahoma"/>
                <w:color w:val="000000"/>
              </w:rPr>
            </w:pPr>
            <w:r w:rsidRPr="00BB5519">
              <w:rPr>
                <w:rFonts w:ascii="Tahoma" w:hAnsi="Tahoma" w:cs="Tahoma"/>
                <w:color w:val="000000"/>
              </w:rPr>
              <w:t>Ja</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spacing w:before="120"/>
              <w:rPr>
                <w:rFonts w:ascii="Tahoma" w:hAnsi="Tahoma" w:cs="Tahoma"/>
                <w:color w:val="000000"/>
              </w:rPr>
            </w:pPr>
            <w:r w:rsidRPr="00BB5519">
              <w:rPr>
                <w:rFonts w:ascii="Tahoma" w:hAnsi="Tahoma" w:cs="Tahoma"/>
                <w:color w:val="000000"/>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spacing w:before="120"/>
              <w:rPr>
                <w:rFonts w:ascii="Tahoma" w:hAnsi="Tahoma" w:cs="Tahoma"/>
                <w:color w:val="000000"/>
              </w:rPr>
            </w:pPr>
          </w:p>
        </w:tc>
      </w:tr>
      <w:tr w:rsidR="004B4C79"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4B4C79">
            <w:pPr>
              <w:pStyle w:val="AppendixTableText"/>
              <w:jc w:val="left"/>
              <w:rPr>
                <w:rFonts w:ascii="Tahoma" w:hAnsi="Tahoma" w:cs="Tahoma"/>
                <w:color w:val="000000"/>
              </w:rPr>
            </w:pPr>
            <w:r w:rsidRPr="00BB5519">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color w:val="000000"/>
              </w:rPr>
            </w:pP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spacing w:after="120"/>
              <w:rPr>
                <w:rFonts w:ascii="Tahoma" w:hAnsi="Tahoma" w:cs="Tahoma"/>
                <w:color w:val="000000"/>
              </w:rPr>
            </w:pPr>
            <w:r w:rsidRPr="00BB5519">
              <w:rPr>
                <w:rFonts w:ascii="Tahoma" w:hAnsi="Tahoma" w:cs="Tahoma"/>
                <w:color w:val="000000"/>
              </w:rPr>
              <w:t>Ja</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spacing w:before="120"/>
              <w:rPr>
                <w:rFonts w:ascii="Tahoma" w:hAnsi="Tahoma" w:cs="Tahoma"/>
                <w:color w:val="000000"/>
              </w:rPr>
            </w:pPr>
            <w:r w:rsidRPr="00BB5519">
              <w:rPr>
                <w:rFonts w:ascii="Tahoma" w:hAnsi="Tahoma" w:cs="Tahoma"/>
                <w:color w:val="000000"/>
              </w:rPr>
              <w:t>Ja</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spacing w:before="120"/>
              <w:rPr>
                <w:rFonts w:ascii="Tahoma" w:hAnsi="Tahoma" w:cs="Tahoma"/>
                <w:color w:val="000000"/>
              </w:rPr>
            </w:pPr>
          </w:p>
        </w:tc>
      </w:tr>
      <w:tr w:rsidR="004B4C79"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4B4C79" w:rsidRPr="00BB5519" w:rsidRDefault="004B4C79">
            <w:pPr>
              <w:pStyle w:val="AppendixTableText"/>
              <w:jc w:val="left"/>
              <w:rPr>
                <w:rFonts w:ascii="Tahoma" w:hAnsi="Tahoma" w:cs="Tahoma"/>
              </w:rPr>
            </w:pPr>
            <w:r w:rsidRPr="00BB5519">
              <w:rPr>
                <w:rFonts w:ascii="Tahoma" w:hAnsi="Tahoma" w:cs="Tahoma"/>
              </w:rPr>
              <w:t>Step Up-Lizenz</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260" w:type="dxa"/>
            <w:tcBorders>
              <w:top w:val="single" w:sz="6" w:space="0" w:color="auto"/>
              <w:left w:val="single" w:sz="6" w:space="0" w:color="auto"/>
              <w:bottom w:val="single" w:sz="6" w:space="0" w:color="auto"/>
              <w:right w:val="single" w:sz="6"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Nein</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r w:rsidRPr="00BB5519">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BB5519" w:rsidRDefault="004B4C79" w:rsidP="00E06FE8">
            <w:pPr>
              <w:pStyle w:val="AppendixTableText"/>
              <w:rPr>
                <w:rFonts w:ascii="Tahoma" w:hAnsi="Tahoma" w:cs="Tahoma"/>
              </w:rPr>
            </w:pPr>
          </w:p>
        </w:tc>
      </w:tr>
      <w:tr w:rsidR="00870095"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870095" w:rsidRPr="00BB5519" w:rsidRDefault="00870095">
            <w:pPr>
              <w:pStyle w:val="AppendixTableText"/>
              <w:jc w:val="left"/>
              <w:rPr>
                <w:rFonts w:ascii="Tahoma" w:hAnsi="Tahoma" w:cs="Tahoma"/>
              </w:rPr>
            </w:pPr>
            <w:r w:rsidRPr="00BB5519">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center"/>
          </w:tcPr>
          <w:p w:rsidR="00870095" w:rsidRPr="00BB5519" w:rsidRDefault="00870095"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870095" w:rsidRPr="00BB5519" w:rsidRDefault="00870095" w:rsidP="00E06FE8">
            <w:pPr>
              <w:pStyle w:val="AppendixTableText"/>
              <w:rPr>
                <w:rFonts w:ascii="Tahoma" w:hAnsi="Tahoma" w:cs="Tahoma"/>
              </w:rPr>
            </w:pPr>
            <w:r w:rsidRPr="00BB5519">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center"/>
          </w:tcPr>
          <w:p w:rsidR="00870095" w:rsidRPr="00BB5519" w:rsidRDefault="0087009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870095" w:rsidRPr="00BB5519" w:rsidRDefault="00175615" w:rsidP="00E06FE8">
            <w:pPr>
              <w:pStyle w:val="AppendixTableText"/>
              <w:rPr>
                <w:rFonts w:ascii="Tahoma" w:hAnsi="Tahoma" w:cs="Tahoma"/>
              </w:rPr>
            </w:pPr>
            <w:r w:rsidRPr="00BB5519">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rsidR="00870095" w:rsidRPr="00BB5519" w:rsidRDefault="00870095" w:rsidP="00E06FE8">
            <w:pPr>
              <w:pStyle w:val="AppendixTableText"/>
              <w:rPr>
                <w:rFonts w:ascii="Tahoma" w:hAnsi="Tahoma" w:cs="Tahoma"/>
              </w:rPr>
            </w:pPr>
          </w:p>
        </w:tc>
      </w:tr>
      <w:tr w:rsidR="00175615" w:rsidRPr="00BB5519" w:rsidTr="00DE1CBE">
        <w:trPr>
          <w:trHeight w:val="255"/>
        </w:trPr>
        <w:tc>
          <w:tcPr>
            <w:tcW w:w="2347" w:type="dxa"/>
            <w:tcBorders>
              <w:top w:val="single" w:sz="6" w:space="0" w:color="auto"/>
              <w:left w:val="single" w:sz="4" w:space="0" w:color="auto"/>
              <w:bottom w:val="single" w:sz="6" w:space="0" w:color="auto"/>
              <w:right w:val="single" w:sz="6" w:space="0" w:color="auto"/>
            </w:tcBorders>
            <w:vAlign w:val="bottom"/>
          </w:tcPr>
          <w:p w:rsidR="00175615" w:rsidRPr="00BB5519" w:rsidRDefault="00175615">
            <w:pPr>
              <w:pStyle w:val="AppendixTableText"/>
              <w:jc w:val="left"/>
              <w:rPr>
                <w:rFonts w:ascii="Tahoma" w:hAnsi="Tahoma" w:cs="Tahoma"/>
              </w:rPr>
            </w:pPr>
            <w:r w:rsidRPr="00BB5519">
              <w:rPr>
                <w:rFonts w:ascii="Tahoma" w:hAnsi="Tahoma" w:cs="Tahoma"/>
              </w:rPr>
              <w:t>Windows Companion-Abonnementlizenz</w:t>
            </w:r>
          </w:p>
        </w:tc>
        <w:tc>
          <w:tcPr>
            <w:tcW w:w="1620" w:type="dxa"/>
            <w:tcBorders>
              <w:top w:val="single" w:sz="6" w:space="0" w:color="auto"/>
              <w:left w:val="single" w:sz="6" w:space="0" w:color="auto"/>
              <w:bottom w:val="single" w:sz="6" w:space="0" w:color="auto"/>
              <w:right w:val="single" w:sz="6" w:space="0" w:color="auto"/>
            </w:tcBorders>
            <w:vAlign w:val="center"/>
          </w:tcPr>
          <w:p w:rsidR="00175615" w:rsidRPr="00BB5519" w:rsidRDefault="00175615"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6" w:space="0" w:color="auto"/>
            </w:tcBorders>
            <w:vAlign w:val="center"/>
          </w:tcPr>
          <w:p w:rsidR="00175615" w:rsidRPr="00BB5519" w:rsidRDefault="00175615" w:rsidP="00E06FE8">
            <w:pPr>
              <w:pStyle w:val="AppendixTableText"/>
              <w:rPr>
                <w:rFonts w:ascii="Tahoma" w:hAnsi="Tahoma" w:cs="Tahoma"/>
              </w:rPr>
            </w:pPr>
            <w:r w:rsidRPr="00BB5519">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center"/>
          </w:tcPr>
          <w:p w:rsidR="00175615" w:rsidRPr="00BB5519" w:rsidRDefault="0017561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rsidR="00175615" w:rsidRPr="00BB5519" w:rsidRDefault="00175615" w:rsidP="00E06FE8">
            <w:pPr>
              <w:pStyle w:val="AppendixTableText"/>
              <w:rPr>
                <w:rFonts w:ascii="Tahoma" w:hAnsi="Tahoma" w:cs="Tahoma"/>
              </w:rPr>
            </w:pPr>
            <w:r w:rsidRPr="00BB5519">
              <w:rPr>
                <w:rFonts w:ascii="Tahoma" w:hAnsi="Tahoma" w:cs="Tahoma"/>
              </w:rPr>
              <w:t>Ja</w:t>
            </w:r>
          </w:p>
        </w:tc>
        <w:tc>
          <w:tcPr>
            <w:tcW w:w="1350" w:type="dxa"/>
            <w:tcBorders>
              <w:top w:val="single" w:sz="6" w:space="0" w:color="auto"/>
              <w:left w:val="single" w:sz="6" w:space="0" w:color="auto"/>
              <w:bottom w:val="single" w:sz="6" w:space="0" w:color="auto"/>
              <w:right w:val="single" w:sz="4" w:space="0" w:color="auto"/>
            </w:tcBorders>
            <w:vAlign w:val="center"/>
          </w:tcPr>
          <w:p w:rsidR="00175615" w:rsidRPr="00BB5519" w:rsidRDefault="00175615" w:rsidP="00E06FE8">
            <w:pPr>
              <w:pStyle w:val="AppendixTableText"/>
              <w:rPr>
                <w:rFonts w:ascii="Tahoma" w:hAnsi="Tahoma" w:cs="Tahoma"/>
              </w:rPr>
            </w:pPr>
          </w:p>
        </w:tc>
      </w:tr>
    </w:tbl>
    <w:p w:rsidR="00023FE7" w:rsidRPr="00BB5519" w:rsidRDefault="00023FE7" w:rsidP="00DE1CBE">
      <w:pPr>
        <w:pStyle w:val="AppendixBodyText"/>
        <w:spacing w:before="20"/>
        <w:ind w:right="-90"/>
        <w:rPr>
          <w:lang w:val="de-DE"/>
        </w:rPr>
      </w:pPr>
      <w:r w:rsidRPr="00BB5519">
        <w:rPr>
          <w:rFonts w:ascii="Tahoma" w:hAnsi="Tahoma" w:cs="Tahoma"/>
          <w:i/>
          <w:sz w:val="16"/>
          <w:szCs w:val="16"/>
          <w:lang w:val="de-DE"/>
        </w:rPr>
        <w:t>*„Ja“ im Diagramm bedeutet, Mitgliedschaft bei Software Assurance, Erwerb von Software Assurance für qualifizierende Produkte oder SA-Ausgaben für qualifizierende Produkte innerhalb dieses Pools oder Erwerb von Windows Intune (Pro Gerät)/qualifizierender Office 365 Suite würden den Kunden für diese Vergünstigung qualifizieren.</w:t>
      </w:r>
    </w:p>
    <w:p w:rsidR="00023FE7" w:rsidRPr="00BB5519" w:rsidRDefault="00023FE7" w:rsidP="00DE1CBE">
      <w:pPr>
        <w:pStyle w:val="AppendixBodyText"/>
        <w:spacing w:before="20"/>
        <w:ind w:right="180"/>
        <w:rPr>
          <w:lang w:val="de-DE"/>
        </w:rPr>
      </w:pPr>
      <w:r w:rsidRPr="00BB5519">
        <w:rPr>
          <w:rFonts w:ascii="Tahoma" w:hAnsi="Tahoma" w:cs="Tahoma"/>
          <w:i/>
          <w:sz w:val="16"/>
          <w:szCs w:val="16"/>
          <w:lang w:val="de-DE"/>
        </w:rPr>
        <w:t>*Microsoft ist berechtigt, Vergünstigungen im Zusammenhang mit der Mitgliedschaft bei Software Assurance, die unter dem vierten und allen folgenden Beitritten unter dem gleichen Select-Vertrag verfügbar sind, jederzeit einzubehalten oder einzustellen, wenn geschäftliche Gründe dafür vorliegen.</w:t>
      </w:r>
    </w:p>
    <w:p w:rsidR="00023FE7" w:rsidRPr="00BB5519" w:rsidRDefault="00302B84" w:rsidP="00DE1CBE">
      <w:pPr>
        <w:pStyle w:val="AppendixBodyText"/>
        <w:spacing w:before="20" w:after="0"/>
        <w:rPr>
          <w:lang w:val="de-DE"/>
        </w:rPr>
      </w:pPr>
      <w:r w:rsidRPr="00BB5519">
        <w:rPr>
          <w:rFonts w:ascii="Tahoma" w:hAnsi="Tahoma" w:cs="Tahoma"/>
          <w:i/>
          <w:sz w:val="16"/>
          <w:lang w:val="de-DE"/>
        </w:rPr>
        <w:t>***Grundsätzlich enthalten Abonnementangebote mit Softwarekomponenten, die aus versionierter Software bestehen, Rechte für neue Versionen für diese Komponenten.</w:t>
      </w:r>
    </w:p>
    <w:p w:rsidR="00F76ED4" w:rsidRPr="00BB5519" w:rsidRDefault="00F76ED4">
      <w:pPr>
        <w:rPr>
          <w:lang w:val="de-DE"/>
        </w:rPr>
      </w:pPr>
      <w:r w:rsidRPr="00BB5519">
        <w:rPr>
          <w:rFonts w:cs="Tahoma"/>
          <w:lang w:val="de-DE"/>
        </w:rPr>
        <w:br w:type="page"/>
      </w:r>
    </w:p>
    <w:p w:rsidR="00302B84" w:rsidRPr="00BB5519" w:rsidRDefault="00302B84" w:rsidP="0063466C">
      <w:pPr>
        <w:pStyle w:val="AppendixBodyText"/>
        <w:spacing w:after="0"/>
        <w:rPr>
          <w:lang w:val="de-D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6F21F8" w:rsidTr="0044720D">
        <w:trPr>
          <w:trHeight w:val="60"/>
        </w:trPr>
        <w:tc>
          <w:tcPr>
            <w:tcW w:w="8280" w:type="dxa"/>
            <w:shd w:val="clear" w:color="auto" w:fill="FFCC99"/>
            <w:vAlign w:val="center"/>
          </w:tcPr>
          <w:p w:rsidR="00AD6AD6" w:rsidRPr="00BB5519" w:rsidRDefault="00AD6AD6" w:rsidP="004B54F7">
            <w:pPr>
              <w:pStyle w:val="AppendixTableHeadings"/>
              <w:rPr>
                <w:rFonts w:ascii="Tahoma" w:hAnsi="Tahoma" w:cs="Tahoma"/>
                <w:sz w:val="20"/>
                <w:szCs w:val="20"/>
                <w:lang w:val="de-DE"/>
              </w:rPr>
            </w:pPr>
            <w:r w:rsidRPr="00BB5519">
              <w:rPr>
                <w:rFonts w:ascii="Tahoma" w:hAnsi="Tahoma" w:cs="Tahoma"/>
                <w:sz w:val="20"/>
                <w:szCs w:val="20"/>
                <w:lang w:val="de-DE"/>
              </w:rPr>
              <w:t>Produkte aus dem Office System-Anwendungs-Pool</w:t>
            </w:r>
          </w:p>
        </w:tc>
      </w:tr>
      <w:tr w:rsidR="00AD6AD6" w:rsidRPr="00BB5519" w:rsidTr="0044720D">
        <w:trPr>
          <w:trHeight w:val="438"/>
        </w:trPr>
        <w:tc>
          <w:tcPr>
            <w:tcW w:w="8280" w:type="dxa"/>
            <w:vAlign w:val="center"/>
          </w:tcPr>
          <w:p w:rsidR="00AD6AD6" w:rsidRPr="00BB5519" w:rsidRDefault="00AD6AD6" w:rsidP="004B54F7">
            <w:pPr>
              <w:spacing w:line="240" w:lineRule="atLeast"/>
            </w:pPr>
            <w:r w:rsidRPr="00BB5519">
              <w:rPr>
                <w:rFonts w:cs="Tahoma"/>
                <w:color w:val="000000"/>
                <w:szCs w:val="18"/>
              </w:rPr>
              <w:t>Office Standard 2013</w:t>
            </w:r>
          </w:p>
          <w:p w:rsidR="00AD6AD6" w:rsidRPr="00BB5519" w:rsidRDefault="00AD6AD6" w:rsidP="004B54F7">
            <w:pPr>
              <w:spacing w:line="240" w:lineRule="atLeast"/>
            </w:pPr>
            <w:r w:rsidRPr="00BB5519">
              <w:rPr>
                <w:rFonts w:cs="Tahoma"/>
                <w:color w:val="000000"/>
                <w:szCs w:val="18"/>
              </w:rPr>
              <w:t xml:space="preserve">Office Professional Plus 2013 </w:t>
            </w:r>
          </w:p>
          <w:p w:rsidR="00AD6AD6" w:rsidRPr="00BB5519" w:rsidRDefault="00AD6AD6" w:rsidP="004B54F7">
            <w:pPr>
              <w:spacing w:line="240" w:lineRule="atLeast"/>
            </w:pPr>
            <w:r w:rsidRPr="00BB5519">
              <w:rPr>
                <w:rFonts w:cs="Tahoma"/>
                <w:color w:val="000000"/>
                <w:szCs w:val="18"/>
              </w:rPr>
              <w:t>Project Standard 2013</w:t>
            </w:r>
          </w:p>
          <w:p w:rsidR="00AD6AD6" w:rsidRPr="00BB5519" w:rsidRDefault="00AD6AD6" w:rsidP="004B54F7">
            <w:pPr>
              <w:spacing w:line="240" w:lineRule="atLeast"/>
            </w:pPr>
            <w:r w:rsidRPr="00BB5519">
              <w:rPr>
                <w:rFonts w:cs="Tahoma"/>
                <w:color w:val="000000"/>
                <w:szCs w:val="18"/>
              </w:rPr>
              <w:t>Project Professional 2013</w:t>
            </w:r>
          </w:p>
          <w:p w:rsidR="00AD6AD6" w:rsidRPr="00BB5519" w:rsidRDefault="00AD6AD6" w:rsidP="004B54F7">
            <w:pPr>
              <w:spacing w:line="240" w:lineRule="atLeast"/>
            </w:pPr>
            <w:r w:rsidRPr="00BB5519">
              <w:rPr>
                <w:rFonts w:cs="Tahoma"/>
                <w:color w:val="000000"/>
                <w:szCs w:val="18"/>
              </w:rPr>
              <w:t>Visio</w:t>
            </w:r>
            <w:r w:rsidRPr="00621662">
              <w:rPr>
                <w:rFonts w:cs="Tahoma"/>
                <w:color w:val="000000"/>
                <w:szCs w:val="18"/>
                <w:vertAlign w:val="superscript"/>
              </w:rPr>
              <w:t>®</w:t>
            </w:r>
            <w:r w:rsidRPr="00BB5519">
              <w:rPr>
                <w:rFonts w:cs="Tahoma"/>
                <w:color w:val="000000"/>
                <w:szCs w:val="18"/>
              </w:rPr>
              <w:t xml:space="preserve"> Standard 2013</w:t>
            </w:r>
          </w:p>
          <w:p w:rsidR="00AD6AD6" w:rsidRPr="00BB5519" w:rsidRDefault="00AD6AD6" w:rsidP="004B54F7">
            <w:pPr>
              <w:spacing w:line="240" w:lineRule="atLeast"/>
            </w:pPr>
            <w:r w:rsidRPr="00BB5519">
              <w:rPr>
                <w:rFonts w:cs="Tahoma"/>
                <w:color w:val="000000"/>
                <w:szCs w:val="18"/>
              </w:rPr>
              <w:t>Visio</w:t>
            </w:r>
            <w:r w:rsidRPr="00621662">
              <w:rPr>
                <w:rFonts w:cs="Tahoma"/>
                <w:color w:val="000000"/>
                <w:szCs w:val="18"/>
                <w:vertAlign w:val="superscript"/>
              </w:rPr>
              <w:t>®</w:t>
            </w:r>
            <w:r w:rsidRPr="00BB5519">
              <w:rPr>
                <w:rFonts w:cs="Tahoma"/>
                <w:color w:val="000000"/>
                <w:szCs w:val="18"/>
              </w:rPr>
              <w:t xml:space="preserve"> Professional 2013</w:t>
            </w:r>
          </w:p>
          <w:p w:rsidR="00AD6AD6" w:rsidRPr="00BB5519" w:rsidRDefault="00AD6AD6" w:rsidP="004B54F7">
            <w:pPr>
              <w:spacing w:line="240" w:lineRule="atLeast"/>
            </w:pPr>
            <w:r w:rsidRPr="00BB5519">
              <w:rPr>
                <w:rFonts w:cs="Tahoma"/>
                <w:color w:val="000000"/>
                <w:szCs w:val="18"/>
              </w:rPr>
              <w:t>Access 2013</w:t>
            </w:r>
          </w:p>
          <w:p w:rsidR="00AD6AD6" w:rsidRPr="00BB5519" w:rsidRDefault="00AD6AD6" w:rsidP="004B54F7">
            <w:pPr>
              <w:spacing w:line="240" w:lineRule="atLeast"/>
            </w:pPr>
            <w:r w:rsidRPr="00BB5519">
              <w:rPr>
                <w:rFonts w:cs="Tahoma"/>
                <w:color w:val="000000"/>
                <w:szCs w:val="18"/>
              </w:rPr>
              <w:t xml:space="preserve">Excel 2013 </w:t>
            </w:r>
          </w:p>
          <w:p w:rsidR="00AD6AD6" w:rsidRPr="00BB5519" w:rsidRDefault="00AD6AD6" w:rsidP="004B54F7">
            <w:pPr>
              <w:spacing w:line="240" w:lineRule="atLeast"/>
            </w:pPr>
            <w:r w:rsidRPr="00BB5519">
              <w:rPr>
                <w:rFonts w:cs="Tahoma"/>
                <w:color w:val="000000"/>
                <w:szCs w:val="18"/>
              </w:rPr>
              <w:t>InfoPath</w:t>
            </w:r>
            <w:r w:rsidRPr="00621662">
              <w:rPr>
                <w:rFonts w:cs="Tahoma"/>
                <w:color w:val="000000"/>
                <w:szCs w:val="18"/>
                <w:vertAlign w:val="superscript"/>
              </w:rPr>
              <w:t>®</w:t>
            </w:r>
            <w:r w:rsidRPr="00BB5519">
              <w:rPr>
                <w:rFonts w:cs="Tahoma"/>
                <w:color w:val="000000"/>
                <w:szCs w:val="18"/>
              </w:rPr>
              <w:t xml:space="preserve"> 2013</w:t>
            </w:r>
          </w:p>
          <w:p w:rsidR="00AD6AD6" w:rsidRPr="00BB5519" w:rsidRDefault="00AD6AD6" w:rsidP="004B54F7">
            <w:pPr>
              <w:spacing w:line="240" w:lineRule="atLeast"/>
            </w:pPr>
            <w:r w:rsidRPr="00BB5519">
              <w:rPr>
                <w:rFonts w:cs="Tahoma"/>
                <w:color w:val="000000"/>
                <w:szCs w:val="18"/>
              </w:rPr>
              <w:t>Lync 2013</w:t>
            </w:r>
          </w:p>
          <w:p w:rsidR="00AD6AD6" w:rsidRPr="00BB5519" w:rsidRDefault="00AD6AD6" w:rsidP="004B54F7">
            <w:pPr>
              <w:spacing w:line="240" w:lineRule="atLeast"/>
            </w:pPr>
            <w:r w:rsidRPr="00BB5519">
              <w:rPr>
                <w:rFonts w:cs="Tahoma"/>
                <w:color w:val="000000"/>
                <w:szCs w:val="18"/>
              </w:rPr>
              <w:t>OneNote™ 2013</w:t>
            </w:r>
          </w:p>
          <w:p w:rsidR="00AD6AD6" w:rsidRPr="00BB5519" w:rsidRDefault="00AD6AD6" w:rsidP="004B54F7">
            <w:pPr>
              <w:spacing w:line="240" w:lineRule="atLeast"/>
            </w:pPr>
            <w:r w:rsidRPr="00BB5519">
              <w:rPr>
                <w:rFonts w:cs="Tahoma"/>
                <w:color w:val="000000"/>
                <w:szCs w:val="18"/>
              </w:rPr>
              <w:t>Outlook</w:t>
            </w:r>
            <w:r w:rsidRPr="00621662">
              <w:rPr>
                <w:rFonts w:cs="Tahoma"/>
                <w:color w:val="000000"/>
                <w:szCs w:val="18"/>
                <w:vertAlign w:val="superscript"/>
              </w:rPr>
              <w:t>®</w:t>
            </w:r>
            <w:r w:rsidRPr="00BB5519">
              <w:rPr>
                <w:rFonts w:cs="Tahoma"/>
                <w:color w:val="000000"/>
                <w:szCs w:val="18"/>
              </w:rPr>
              <w:t xml:space="preserve"> 2013</w:t>
            </w:r>
          </w:p>
          <w:p w:rsidR="00AD6AD6" w:rsidRPr="00BB5519" w:rsidRDefault="00AD6AD6" w:rsidP="004B54F7">
            <w:pPr>
              <w:spacing w:line="240" w:lineRule="atLeast"/>
            </w:pPr>
            <w:r w:rsidRPr="00BB5519">
              <w:rPr>
                <w:rFonts w:cs="Tahoma"/>
                <w:color w:val="000000"/>
                <w:szCs w:val="18"/>
              </w:rPr>
              <w:t>PowerPoint</w:t>
            </w:r>
            <w:r w:rsidRPr="00621662">
              <w:rPr>
                <w:rFonts w:cs="Tahoma"/>
                <w:color w:val="000000"/>
                <w:szCs w:val="18"/>
                <w:vertAlign w:val="superscript"/>
              </w:rPr>
              <w:t>®</w:t>
            </w:r>
            <w:r w:rsidRPr="00BB5519">
              <w:rPr>
                <w:rFonts w:cs="Tahoma"/>
                <w:color w:val="000000"/>
                <w:szCs w:val="18"/>
              </w:rPr>
              <w:t xml:space="preserve"> 2013</w:t>
            </w:r>
          </w:p>
          <w:p w:rsidR="00AD6AD6" w:rsidRPr="00BB5519" w:rsidRDefault="00AD6AD6" w:rsidP="004B54F7">
            <w:pPr>
              <w:spacing w:line="240" w:lineRule="atLeast"/>
            </w:pPr>
            <w:r w:rsidRPr="00BB5519">
              <w:rPr>
                <w:rFonts w:cs="Tahoma"/>
                <w:color w:val="000000"/>
                <w:szCs w:val="18"/>
              </w:rPr>
              <w:t>Publisher 2013</w:t>
            </w:r>
          </w:p>
          <w:p w:rsidR="00AD6AD6" w:rsidRPr="00BB5519" w:rsidRDefault="00AD6AD6" w:rsidP="004B54F7">
            <w:pPr>
              <w:spacing w:line="240" w:lineRule="atLeast"/>
            </w:pPr>
            <w:r w:rsidRPr="00BB5519">
              <w:rPr>
                <w:rFonts w:cs="Tahoma"/>
                <w:color w:val="000000"/>
                <w:szCs w:val="18"/>
              </w:rPr>
              <w:t>Word 2013</w:t>
            </w:r>
          </w:p>
          <w:p w:rsidR="00AD6AD6" w:rsidRPr="00BB5519" w:rsidRDefault="00AD6AD6" w:rsidP="004B54F7">
            <w:pPr>
              <w:spacing w:line="240" w:lineRule="atLeast"/>
            </w:pPr>
            <w:r w:rsidRPr="00BB5519">
              <w:rPr>
                <w:rFonts w:cs="Tahoma"/>
                <w:color w:val="000000"/>
                <w:szCs w:val="18"/>
              </w:rPr>
              <w:t xml:space="preserve">Office für Mac Standard 2011 </w:t>
            </w:r>
          </w:p>
          <w:p w:rsidR="00AD6AD6" w:rsidRPr="00BB5519" w:rsidRDefault="00AD6AD6" w:rsidP="004B54F7">
            <w:pPr>
              <w:spacing w:line="240" w:lineRule="atLeast"/>
              <w:rPr>
                <w:lang w:val="de-DE"/>
              </w:rPr>
            </w:pPr>
            <w:r w:rsidRPr="00BB5519">
              <w:rPr>
                <w:rFonts w:cs="Tahoma"/>
                <w:color w:val="000000"/>
                <w:szCs w:val="18"/>
                <w:lang w:val="de-DE"/>
              </w:rPr>
              <w:t>Lync für Mac 2011</w:t>
            </w:r>
          </w:p>
          <w:p w:rsidR="00061A45" w:rsidRPr="00BB5519" w:rsidRDefault="007C4ADB" w:rsidP="004B54F7">
            <w:pPr>
              <w:spacing w:line="240" w:lineRule="atLeast"/>
              <w:rPr>
                <w:lang w:val="de-DE"/>
              </w:rPr>
            </w:pPr>
            <w:r w:rsidRPr="00BB5519">
              <w:rPr>
                <w:rFonts w:cs="Tahoma"/>
                <w:color w:val="000000"/>
                <w:szCs w:val="18"/>
                <w:lang w:val="de-DE"/>
              </w:rPr>
              <w:t>Outlook für Mac 2011</w:t>
            </w:r>
          </w:p>
          <w:p w:rsidR="00AD6AD6" w:rsidRPr="00BB5519" w:rsidRDefault="00AD6AD6" w:rsidP="004B54F7">
            <w:pPr>
              <w:spacing w:line="240" w:lineRule="atLeast"/>
              <w:rPr>
                <w:lang w:val="de-DE"/>
              </w:rPr>
            </w:pPr>
            <w:r w:rsidRPr="00BB5519">
              <w:rPr>
                <w:rFonts w:cs="Tahoma"/>
                <w:color w:val="000000"/>
                <w:szCs w:val="18"/>
                <w:lang w:val="de-DE"/>
              </w:rPr>
              <w:t>PowerPoint für Mac 2011</w:t>
            </w:r>
          </w:p>
          <w:p w:rsidR="00AD6AD6" w:rsidRPr="00BB5519" w:rsidRDefault="00AD6AD6" w:rsidP="004B54F7">
            <w:pPr>
              <w:spacing w:line="240" w:lineRule="atLeast"/>
              <w:rPr>
                <w:lang w:val="de-DE"/>
              </w:rPr>
            </w:pPr>
            <w:r w:rsidRPr="00BB5519">
              <w:rPr>
                <w:rFonts w:cs="Tahoma"/>
                <w:color w:val="000000"/>
                <w:szCs w:val="18"/>
                <w:lang w:val="de-DE"/>
              </w:rPr>
              <w:t>Excel für Mac 2011</w:t>
            </w:r>
          </w:p>
          <w:p w:rsidR="00AD6AD6" w:rsidRPr="00BB5519" w:rsidRDefault="00AD6AD6" w:rsidP="0083608D">
            <w:pPr>
              <w:spacing w:after="40" w:line="240" w:lineRule="atLeast"/>
              <w:rPr>
                <w:rFonts w:cs="Tahoma"/>
                <w:color w:val="000000"/>
                <w:szCs w:val="18"/>
              </w:rPr>
            </w:pPr>
            <w:r w:rsidRPr="00BB5519">
              <w:rPr>
                <w:rFonts w:cs="Tahoma"/>
                <w:color w:val="000000"/>
                <w:szCs w:val="18"/>
              </w:rPr>
              <w:t>Word für Mac 2011</w:t>
            </w:r>
          </w:p>
        </w:tc>
      </w:tr>
    </w:tbl>
    <w:p w:rsidR="00D8064F" w:rsidRPr="00BB5519" w:rsidRDefault="00AD6AD6" w:rsidP="0083608D">
      <w:pPr>
        <w:pStyle w:val="AppendixBodyText"/>
        <w:spacing w:before="20" w:after="0"/>
        <w:ind w:firstLine="547"/>
        <w:rPr>
          <w:lang w:val="de-DE"/>
        </w:rPr>
      </w:pPr>
      <w:r w:rsidRPr="00BB5519">
        <w:rPr>
          <w:rFonts w:ascii="Tahoma" w:hAnsi="Tahoma" w:cs="Tahoma"/>
          <w:b/>
          <w:i/>
          <w:sz w:val="16"/>
          <w:szCs w:val="16"/>
          <w:lang w:val="de-DE"/>
        </w:rPr>
        <w:t>Anmerkung:</w:t>
      </w:r>
      <w:r w:rsidRPr="00BB5519">
        <w:rPr>
          <w:rFonts w:ascii="Tahoma" w:hAnsi="Tahoma" w:cs="Tahoma"/>
          <w:i/>
          <w:sz w:val="16"/>
          <w:szCs w:val="16"/>
          <w:lang w:val="de-DE"/>
        </w:rPr>
        <w:t xml:space="preserve"> Änderungen der Liste der Produkte aus dem Office System-Anwendungs-Pool sind vorbehalten.</w:t>
      </w:r>
    </w:p>
    <w:p w:rsidR="00BA0707" w:rsidRPr="00BB5519" w:rsidRDefault="00BA0707" w:rsidP="0063466C">
      <w:pPr>
        <w:pStyle w:val="AppendixBodyText"/>
        <w:spacing w:after="0"/>
        <w:rPr>
          <w:lang w:val="de-DE"/>
        </w:rPr>
      </w:pPr>
    </w:p>
    <w:p w:rsidR="00023FE7" w:rsidRPr="00EC2A0D" w:rsidRDefault="00023FE7">
      <w:pPr>
        <w:pStyle w:val="Heading2"/>
        <w:ind w:left="0"/>
        <w:rPr>
          <w:rFonts w:ascii="Tahoma" w:hAnsi="Tahoma"/>
          <w:lang w:val="de-DE"/>
        </w:rPr>
      </w:pPr>
      <w:bookmarkStart w:id="782" w:name="_Toc336338228"/>
      <w:bookmarkStart w:id="783" w:name="_Toc354054924"/>
      <w:r w:rsidRPr="00EC2A0D">
        <w:rPr>
          <w:rFonts w:ascii="Tahoma" w:hAnsi="Tahoma"/>
          <w:lang w:val="de-DE"/>
        </w:rPr>
        <w:t>Rechte für neue Versionen</w:t>
      </w:r>
      <w:bookmarkEnd w:id="782"/>
      <w:bookmarkEnd w:id="783"/>
    </w:p>
    <w:p w:rsidR="00023FE7" w:rsidRPr="00BB5519" w:rsidRDefault="00023FE7" w:rsidP="00BA0707">
      <w:pPr>
        <w:rPr>
          <w:lang w:val="de-DE"/>
        </w:rPr>
      </w:pPr>
    </w:p>
    <w:p w:rsidR="00023FE7" w:rsidRPr="00BB5519" w:rsidRDefault="00023FE7" w:rsidP="0063466C">
      <w:pPr>
        <w:pStyle w:val="AppendixBodyText"/>
        <w:spacing w:after="0"/>
        <w:rPr>
          <w:lang w:val="de-DE"/>
        </w:rPr>
      </w:pPr>
      <w:r w:rsidRPr="00BB5519">
        <w:rPr>
          <w:rFonts w:ascii="Tahoma" w:hAnsi="Tahoma" w:cs="Tahoma"/>
          <w:color w:val="000000"/>
          <w:sz w:val="18"/>
          <w:lang w:val="de-DE"/>
        </w:rPr>
        <w:t>Mit Software Assurance sind Kunden berechtigt, auf neue Versionen lizenzierter Software upzugraden, die während ihrer Software Assurance-Laufzeit zur Verfügung gestellt werden.</w:t>
      </w:r>
      <w:r w:rsidR="009E4976" w:rsidRPr="00BB5519">
        <w:rPr>
          <w:rFonts w:ascii="Tahoma" w:hAnsi="Tahoma" w:cs="Tahoma"/>
          <w:color w:val="000000"/>
          <w:sz w:val="18"/>
          <w:lang w:val="de-DE"/>
        </w:rPr>
        <w:t xml:space="preserve"> </w:t>
      </w:r>
      <w:r w:rsidRPr="00BB5519">
        <w:rPr>
          <w:rFonts w:ascii="Tahoma" w:hAnsi="Tahoma" w:cs="Tahoma"/>
          <w:color w:val="000000"/>
          <w:sz w:val="18"/>
          <w:lang w:val="de-DE"/>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9E4976" w:rsidRPr="00BB5519">
        <w:rPr>
          <w:rFonts w:ascii="Tahoma" w:hAnsi="Tahoma" w:cs="Tahoma"/>
          <w:color w:val="000000"/>
          <w:sz w:val="18"/>
          <w:lang w:val="de-DE"/>
        </w:rPr>
        <w:t xml:space="preserve"> </w:t>
      </w:r>
      <w:r w:rsidRPr="00BB5519">
        <w:rPr>
          <w:rFonts w:ascii="Tahoma" w:hAnsi="Tahoma" w:cs="Tahoma"/>
          <w:color w:val="000000"/>
          <w:sz w:val="18"/>
          <w:lang w:val="de-DE"/>
        </w:rPr>
        <w:t>Beispiel: Wenn während der Software Assurance-Laufzeit eine neue Version von Microsoft Office zur Verfügung gestellt wird, werden Ihre Lizenzen automatisch auf die neue Version upgegradet. Kunden, die zeitlich unbeschränkte Lizenzen über Software Assurance erwerben, können die Upgrades nach Ablauf von Software Assurance bereitstellen.</w:t>
      </w:r>
    </w:p>
    <w:p w:rsidR="0083608D" w:rsidRPr="00D15040" w:rsidRDefault="0083608D" w:rsidP="0083608D">
      <w:pPr>
        <w:pStyle w:val="AppendixBodyText"/>
        <w:spacing w:after="0"/>
        <w:rPr>
          <w:rFonts w:ascii="Tahoma" w:hAnsi="Tahoma" w:cs="Tahoma"/>
          <w:lang w:val="de-DE"/>
        </w:rPr>
      </w:pPr>
      <w:bookmarkStart w:id="784" w:name="_Toc336338229"/>
    </w:p>
    <w:p w:rsidR="00023FE7" w:rsidRPr="0083608D" w:rsidRDefault="00023FE7">
      <w:pPr>
        <w:pStyle w:val="Heading2"/>
        <w:ind w:left="0"/>
        <w:rPr>
          <w:rFonts w:ascii="Tahoma" w:hAnsi="Tahoma"/>
        </w:rPr>
      </w:pPr>
      <w:bookmarkStart w:id="785" w:name="_Toc354054925"/>
      <w:r w:rsidRPr="0083608D">
        <w:rPr>
          <w:rFonts w:ascii="Tahoma" w:hAnsi="Tahoma"/>
        </w:rPr>
        <w:t>Office Multi Language Pack</w:t>
      </w:r>
      <w:bookmarkEnd w:id="784"/>
      <w:bookmarkEnd w:id="785"/>
    </w:p>
    <w:p w:rsidR="00023FE7" w:rsidRPr="00BB5519" w:rsidRDefault="00023FE7" w:rsidP="00BA0707"/>
    <w:p w:rsidR="0063466C" w:rsidRPr="0083608D" w:rsidRDefault="00E7419A" w:rsidP="0063466C">
      <w:pPr>
        <w:spacing w:after="60"/>
        <w:jc w:val="both"/>
        <w:rPr>
          <w:rFonts w:cs="Tahoma"/>
          <w:b/>
          <w:szCs w:val="18"/>
        </w:rPr>
      </w:pPr>
      <w:r w:rsidRPr="00BB5519">
        <w:rPr>
          <w:rFonts w:cs="Tahoma"/>
          <w:b/>
          <w:szCs w:val="18"/>
        </w:rPr>
        <w:t>Software Assurance-Kunden</w:t>
      </w:r>
    </w:p>
    <w:p w:rsidR="00E7419A" w:rsidRPr="00BB5519" w:rsidRDefault="00E7419A" w:rsidP="00E7419A">
      <w:pPr>
        <w:jc w:val="both"/>
        <w:rPr>
          <w:lang w:val="de-DE"/>
        </w:rPr>
      </w:pPr>
      <w:r w:rsidRPr="00BB5519">
        <w:rPr>
          <w:rFonts w:cs="Tahoma"/>
          <w:szCs w:val="18"/>
          <w:lang w:val="de-DE"/>
        </w:rPr>
        <w:t>Kunden mit aktiver Software Assurance für Office System-Produkte und -Suites sind während der Software Assurance-Laufzeit zu dieser Vergünstigung berechtigt. Kunden haben die Möglichkeit, die neueste Version des Office Multi Language Pack mit Kopien von Office System-Software zu verwenden, die sie unter qualifizierenden Lizenzen verwenden dürfen.</w:t>
      </w:r>
    </w:p>
    <w:p w:rsidR="0083608D" w:rsidRPr="00D15040" w:rsidRDefault="0083608D" w:rsidP="0083608D">
      <w:pPr>
        <w:jc w:val="both"/>
        <w:rPr>
          <w:rFonts w:cs="Tahoma"/>
          <w:szCs w:val="18"/>
          <w:lang w:val="de-DE"/>
        </w:rPr>
      </w:pPr>
    </w:p>
    <w:p w:rsidR="0063466C" w:rsidRPr="00D15040" w:rsidRDefault="00E7419A" w:rsidP="0063466C">
      <w:pPr>
        <w:spacing w:after="60"/>
        <w:jc w:val="both"/>
        <w:rPr>
          <w:rFonts w:cs="Tahoma"/>
          <w:b/>
          <w:szCs w:val="18"/>
          <w:lang w:val="de-DE"/>
        </w:rPr>
      </w:pPr>
      <w:r w:rsidRPr="00D15040">
        <w:rPr>
          <w:rFonts w:cs="Tahoma"/>
          <w:b/>
          <w:szCs w:val="18"/>
          <w:lang w:val="de-DE"/>
        </w:rPr>
        <w:t>Für Onlinedienste-Vergünstigungen berechtigte Kunden</w:t>
      </w:r>
    </w:p>
    <w:p w:rsidR="00E7419A" w:rsidRPr="00BB5519" w:rsidRDefault="00E7419A" w:rsidP="00E7419A">
      <w:pPr>
        <w:jc w:val="both"/>
        <w:rPr>
          <w:lang w:val="de-DE"/>
        </w:rPr>
      </w:pPr>
      <w:r w:rsidRPr="00BB5519">
        <w:rPr>
          <w:rFonts w:cs="Tahoma"/>
          <w:szCs w:val="18"/>
          <w:lang w:val="de-DE"/>
        </w:rPr>
        <w:t xml:space="preserve">Kunden mit Office 365 ProPlus und Office 365 Enterprise E3 und E4 sind während der Laufzeit ihres Beitritts zu dieser Vergünstigung berechtigt. </w:t>
      </w:r>
    </w:p>
    <w:p w:rsidR="0083608D" w:rsidRPr="00D15040" w:rsidRDefault="0083608D" w:rsidP="0083608D">
      <w:pPr>
        <w:jc w:val="both"/>
        <w:rPr>
          <w:lang w:val="de-DE"/>
        </w:rPr>
      </w:pPr>
    </w:p>
    <w:p w:rsidR="00023FE7" w:rsidRPr="00BB5519" w:rsidRDefault="00023FE7" w:rsidP="0083608D">
      <w:pPr>
        <w:ind w:right="90"/>
        <w:jc w:val="both"/>
        <w:rPr>
          <w:lang w:val="de-DE"/>
        </w:rPr>
      </w:pPr>
      <w:r w:rsidRPr="00BB5519">
        <w:rPr>
          <w:lang w:val="de-DE"/>
        </w:rPr>
        <w:t>Wenn der Vertrag eines Kunden zeitlich unbeschränkte Rechte zur Nutzung der Software unter seiner qualifizierenden Lizenz gewährt, verfügt er über ein zeitlich unbeschränktes Recht, das Office Multi Language Pack mit dieser Software zu nutzen (ein Kunde kann das Office Multi Language Pack auch nach Ablauf der SA-Laufzeit für seine qualifizierenden Lizenzen weiterhin mit Office System-Software unter diesen Lizenzen verwenden).</w:t>
      </w:r>
      <w:r w:rsidR="009E4976" w:rsidRPr="00BB5519">
        <w:rPr>
          <w:lang w:val="de-DE"/>
        </w:rPr>
        <w:t xml:space="preserve"> </w:t>
      </w:r>
      <w:r w:rsidRPr="00BB5519">
        <w:rPr>
          <w:lang w:val="de-DE"/>
        </w:rPr>
        <w:t xml:space="preserve">Andernfalls läuft das Recht zur Nutzung des Office Multi Language Pack mit Ablauf der Rechte unter der qualifizierenden Office System-Lizenz ab. </w:t>
      </w:r>
    </w:p>
    <w:p w:rsidR="00F76ED4" w:rsidRPr="00BB5519" w:rsidRDefault="00F76ED4">
      <w:pPr>
        <w:rPr>
          <w:lang w:val="de-DE"/>
        </w:rPr>
      </w:pPr>
      <w:bookmarkStart w:id="786" w:name="_Toc291204555"/>
      <w:r w:rsidRPr="00BB5519">
        <w:rPr>
          <w:b/>
          <w:sz w:val="24"/>
          <w:szCs w:val="24"/>
          <w:lang w:val="de-DE"/>
        </w:rPr>
        <w:br w:type="page"/>
      </w:r>
    </w:p>
    <w:p w:rsidR="000D4ECA" w:rsidRPr="00EC2A0D" w:rsidRDefault="000D4ECA" w:rsidP="000D4ECA">
      <w:pPr>
        <w:outlineLvl w:val="1"/>
        <w:rPr>
          <w:b/>
          <w:sz w:val="24"/>
          <w:szCs w:val="24"/>
          <w:lang w:val="de-DE"/>
        </w:rPr>
      </w:pPr>
      <w:r w:rsidRPr="00EC2A0D">
        <w:rPr>
          <w:b/>
          <w:sz w:val="24"/>
          <w:szCs w:val="24"/>
          <w:lang w:val="de-DE"/>
        </w:rPr>
        <w:lastRenderedPageBreak/>
        <w:t>Planning Services</w:t>
      </w:r>
      <w:bookmarkEnd w:id="786"/>
    </w:p>
    <w:p w:rsidR="000D4ECA" w:rsidRPr="00BB5519" w:rsidRDefault="000D4ECA" w:rsidP="000D4ECA">
      <w:pPr>
        <w:rPr>
          <w:lang w:val="de-DE"/>
        </w:rPr>
      </w:pPr>
    </w:p>
    <w:p w:rsidR="000D4ECA" w:rsidRPr="00BB5519" w:rsidRDefault="000D4ECA" w:rsidP="0083608D">
      <w:pPr>
        <w:spacing w:after="60"/>
        <w:ind w:right="270"/>
        <w:rPr>
          <w:lang w:val="de-DE"/>
        </w:rPr>
      </w:pPr>
      <w:r w:rsidRPr="00BB5519">
        <w:rPr>
          <w:rFonts w:cs="Tahoma"/>
          <w:color w:val="000000"/>
          <w:szCs w:val="18"/>
          <w:lang w:val="de-DE"/>
        </w:rPr>
        <w:t>Kunden (nicht Select-Lizenz für Forschung &amp; Lehre, Select Plus für Forschung &amp; Lehre, Campus- und School-Vertrag und Open Value Subscription – Bildungslösungen) mit Mitgliedschaft bei Software Assurance in den Anwendungs- und Server-Pools sind zu dieser Vergünstigung berechtigt.</w:t>
      </w:r>
      <w:r w:rsidR="009E4976" w:rsidRPr="00BB5519">
        <w:rPr>
          <w:rFonts w:cs="Tahoma"/>
          <w:color w:val="000000"/>
          <w:szCs w:val="18"/>
          <w:lang w:val="de-DE"/>
        </w:rPr>
        <w:t xml:space="preserve"> </w:t>
      </w:r>
      <w:r w:rsidRPr="00BB5519">
        <w:rPr>
          <w:rFonts w:cs="Tahoma"/>
          <w:color w:val="000000"/>
          <w:szCs w:val="18"/>
          <w:lang w:val="de-DE"/>
        </w:rPr>
        <w:t>Die Planning Services-Vergünstigung bietet qualifizierenden Kunden vorab festgelegte, angepasste Serviceangebote.</w:t>
      </w:r>
      <w:r w:rsidR="009E4976" w:rsidRPr="00BB5519">
        <w:rPr>
          <w:rFonts w:cs="Tahoma"/>
          <w:color w:val="000000"/>
          <w:szCs w:val="18"/>
          <w:lang w:val="de-DE"/>
        </w:rPr>
        <w:t xml:space="preserve"> </w:t>
      </w:r>
      <w:r w:rsidRPr="00BB5519">
        <w:rPr>
          <w:rFonts w:cs="Tahoma"/>
          <w:color w:val="000000"/>
          <w:szCs w:val="18"/>
          <w:lang w:val="de-DE"/>
        </w:rPr>
        <w:t>Zu den verfügbaren Angeboten gehören folgende:</w:t>
      </w:r>
    </w:p>
    <w:p w:rsidR="000D4ECA" w:rsidRPr="00BB5519" w:rsidRDefault="000D4ECA" w:rsidP="0063466C">
      <w:pPr>
        <w:rPr>
          <w:lang w:val="de-DE"/>
        </w:rPr>
      </w:pPr>
    </w:p>
    <w:p w:rsidR="000D4ECA" w:rsidRPr="00BB5519" w:rsidRDefault="000D4ECA" w:rsidP="00024C3C">
      <w:pPr>
        <w:numPr>
          <w:ilvl w:val="0"/>
          <w:numId w:val="10"/>
        </w:numPr>
        <w:spacing w:after="60" w:line="276" w:lineRule="auto"/>
      </w:pPr>
      <w:r w:rsidRPr="00BB5519">
        <w:rPr>
          <w:rFonts w:cs="Tahoma"/>
          <w:color w:val="000000"/>
          <w:szCs w:val="18"/>
        </w:rPr>
        <w:t>Desktop Deployment Planning Services (DDPS)</w:t>
      </w:r>
    </w:p>
    <w:p w:rsidR="000D4ECA" w:rsidRPr="00BB5519" w:rsidRDefault="000D4ECA" w:rsidP="002C1048">
      <w:pPr>
        <w:numPr>
          <w:ilvl w:val="1"/>
          <w:numId w:val="130"/>
        </w:numPr>
        <w:spacing w:after="60" w:line="276" w:lineRule="auto"/>
        <w:ind w:left="1980"/>
        <w:rPr>
          <w:lang w:val="de-DE"/>
        </w:rPr>
      </w:pPr>
      <w:r w:rsidRPr="00BB5519">
        <w:rPr>
          <w:rFonts w:cs="Tahoma"/>
          <w:color w:val="000000"/>
          <w:szCs w:val="18"/>
          <w:lang w:val="de-DE"/>
        </w:rPr>
        <w:t>Beschreibung: DDPS bietet Kunden die grundlegenden Analyse-, Planungs- und technischen Verfahrensweisen, die für den Start der Desktop-Bereitstellung mit Office 2010 und Windows 8 erforderlich sind. Dieses Angebot basiert auf den bewährten Methoden von Microsoft zur Desktop-Bereitstellung und unterstützt Kunden dabei, die Kosten, Risiken und die Komplexität von Bereitstellungen durch einen hohen Prozess- und Automatisierungsgrad zu senken. DDPS kann Unternehmen außerdem bei der Bewertung von Office 365 unterstützen, indem die Überlegungen und Anforderungen für die Einführung einer cloudfähigen Desktop-Umgebung berücksichtigt werden.</w:t>
      </w:r>
    </w:p>
    <w:p w:rsidR="000D4ECA" w:rsidRPr="00BB5519" w:rsidRDefault="000D4ECA" w:rsidP="002C1048">
      <w:pPr>
        <w:numPr>
          <w:ilvl w:val="1"/>
          <w:numId w:val="130"/>
        </w:numPr>
        <w:spacing w:after="60" w:line="276" w:lineRule="auto"/>
        <w:ind w:left="1980"/>
      </w:pPr>
      <w:r w:rsidRPr="00BB5519">
        <w:rPr>
          <w:rFonts w:cs="Tahoma"/>
          <w:color w:val="000000"/>
          <w:szCs w:val="18"/>
        </w:rPr>
        <w:t>Servicelevels: 1, 3, 5, 10 oder 15 Tage</w:t>
      </w:r>
    </w:p>
    <w:p w:rsidR="000D4ECA" w:rsidRPr="00BB5519" w:rsidRDefault="000D4ECA" w:rsidP="00024C3C">
      <w:pPr>
        <w:numPr>
          <w:ilvl w:val="0"/>
          <w:numId w:val="11"/>
        </w:numPr>
        <w:spacing w:after="60" w:line="276" w:lineRule="auto"/>
        <w:ind w:left="1440"/>
      </w:pPr>
      <w:r w:rsidRPr="00BB5519">
        <w:rPr>
          <w:rFonts w:cs="Tahoma"/>
          <w:color w:val="000000"/>
          <w:szCs w:val="18"/>
        </w:rPr>
        <w:t>SharePoint Deployment Planning Services (SDPS)</w:t>
      </w:r>
    </w:p>
    <w:p w:rsidR="000D4ECA" w:rsidRPr="00BB5519" w:rsidRDefault="000D4ECA" w:rsidP="0083608D">
      <w:pPr>
        <w:numPr>
          <w:ilvl w:val="1"/>
          <w:numId w:val="131"/>
        </w:numPr>
        <w:spacing w:after="60" w:line="276" w:lineRule="auto"/>
        <w:ind w:left="1980"/>
        <w:rPr>
          <w:lang w:val="de-DE"/>
        </w:rPr>
      </w:pPr>
      <w:r w:rsidRPr="00BB5519">
        <w:rPr>
          <w:rFonts w:cs="Tahoma"/>
          <w:color w:val="000000"/>
          <w:szCs w:val="18"/>
          <w:lang w:val="de-DE"/>
        </w:rPr>
        <w:t>Beschreibung: SDPS ermöglicht es qualifizierten Partner und Microsoft-Beratern, Kunden</w:t>
      </w:r>
      <w:r w:rsidR="0083608D">
        <w:rPr>
          <w:rFonts w:cs="Tahoma"/>
          <w:color w:val="000000"/>
          <w:szCs w:val="18"/>
          <w:lang w:val="de-DE"/>
        </w:rPr>
        <w:t> </w:t>
      </w:r>
      <w:r w:rsidRPr="00BB5519">
        <w:rPr>
          <w:rFonts w:cs="Tahoma"/>
          <w:color w:val="000000"/>
          <w:szCs w:val="18"/>
          <w:lang w:val="de-DE"/>
        </w:rPr>
        <w:t>bei</w:t>
      </w:r>
      <w:r w:rsidR="0083608D">
        <w:rPr>
          <w:rFonts w:cs="Tahoma"/>
          <w:color w:val="000000"/>
          <w:szCs w:val="18"/>
          <w:lang w:val="de-DE"/>
        </w:rPr>
        <w:t> </w:t>
      </w:r>
      <w:r w:rsidRPr="00BB5519">
        <w:rPr>
          <w:rFonts w:cs="Tahoma"/>
          <w:color w:val="000000"/>
          <w:szCs w:val="18"/>
          <w:lang w:val="de-DE"/>
        </w:rPr>
        <w:t>der Ausarbeitung eines angepassten SharePoint Portal Server-Bereitstellungsplans für ihre spezifische Umgebung und bei der Abschätzung der Gesamtkosten für die Technologiebereitstellung zu unterstützen.</w:t>
      </w:r>
      <w:r w:rsidR="009E4976" w:rsidRPr="00BB5519">
        <w:rPr>
          <w:rFonts w:cs="Tahoma"/>
          <w:color w:val="000000"/>
          <w:szCs w:val="18"/>
          <w:lang w:val="de-DE"/>
        </w:rPr>
        <w:t xml:space="preserve"> </w:t>
      </w:r>
      <w:r w:rsidRPr="00BB5519">
        <w:rPr>
          <w:rFonts w:cs="Tahoma"/>
          <w:color w:val="000000"/>
          <w:szCs w:val="18"/>
          <w:lang w:val="de-DE"/>
        </w:rPr>
        <w:t>SDPS kann Kunden außerdem bei der Bereitstellungsplanung zur Umstellung auf Office 365 unterstützen, wobei</w:t>
      </w:r>
      <w:r w:rsidR="0083608D">
        <w:rPr>
          <w:rFonts w:cs="Tahoma"/>
          <w:color w:val="000000"/>
          <w:szCs w:val="18"/>
          <w:lang w:val="de-DE"/>
        </w:rPr>
        <w:t> </w:t>
      </w:r>
      <w:r w:rsidRPr="00BB5519">
        <w:rPr>
          <w:rFonts w:cs="Tahoma"/>
          <w:color w:val="000000"/>
          <w:szCs w:val="18"/>
          <w:lang w:val="de-DE"/>
        </w:rPr>
        <w:t>SharePoint Online im Vordergrund steht.</w:t>
      </w:r>
      <w:r w:rsidR="009E4976" w:rsidRPr="00BB5519">
        <w:rPr>
          <w:rFonts w:cs="Tahoma"/>
          <w:color w:val="000000"/>
          <w:szCs w:val="18"/>
          <w:lang w:val="de-DE"/>
        </w:rPr>
        <w:t xml:space="preserve"> </w:t>
      </w:r>
    </w:p>
    <w:p w:rsidR="000D4ECA" w:rsidRPr="00BB5519" w:rsidRDefault="000D4ECA" w:rsidP="002C1048">
      <w:pPr>
        <w:numPr>
          <w:ilvl w:val="1"/>
          <w:numId w:val="131"/>
        </w:numPr>
        <w:spacing w:after="60" w:line="276" w:lineRule="auto"/>
        <w:ind w:left="1980"/>
      </w:pPr>
      <w:r w:rsidRPr="00BB5519">
        <w:rPr>
          <w:rFonts w:cs="Tahoma"/>
          <w:color w:val="000000"/>
          <w:szCs w:val="18"/>
        </w:rPr>
        <w:t>Servicelevels: 1, 3, 5, 10 oder 15 Tage</w:t>
      </w:r>
    </w:p>
    <w:p w:rsidR="000D4ECA" w:rsidRPr="00BB5519" w:rsidRDefault="000D4ECA" w:rsidP="00024C3C">
      <w:pPr>
        <w:numPr>
          <w:ilvl w:val="0"/>
          <w:numId w:val="10"/>
        </w:numPr>
        <w:spacing w:after="60" w:line="276" w:lineRule="auto"/>
      </w:pPr>
      <w:r w:rsidRPr="00BB5519">
        <w:rPr>
          <w:rFonts w:cs="Tahoma"/>
          <w:color w:val="000000"/>
          <w:szCs w:val="18"/>
        </w:rPr>
        <w:t>Lync und Exchange Deployment Planning Services (L&amp;EDPS)</w:t>
      </w:r>
    </w:p>
    <w:p w:rsidR="000D4ECA" w:rsidRPr="00BB5519" w:rsidRDefault="000D4ECA" w:rsidP="0083608D">
      <w:pPr>
        <w:numPr>
          <w:ilvl w:val="1"/>
          <w:numId w:val="132"/>
        </w:numPr>
        <w:spacing w:after="60" w:line="276" w:lineRule="auto"/>
        <w:ind w:left="1980"/>
        <w:rPr>
          <w:lang w:val="de-DE"/>
        </w:rPr>
      </w:pPr>
      <w:r w:rsidRPr="00BB5519">
        <w:rPr>
          <w:rFonts w:cs="Tahoma"/>
          <w:color w:val="000000"/>
          <w:szCs w:val="18"/>
          <w:lang w:val="de-DE"/>
        </w:rPr>
        <w:t>Beschreibung: L&amp;EDPS ermöglicht es qualifizierten Partnern und Microsoft-Beratern, Kunden</w:t>
      </w:r>
      <w:r w:rsidR="0083608D">
        <w:rPr>
          <w:rFonts w:cs="Tahoma"/>
          <w:color w:val="000000"/>
          <w:szCs w:val="18"/>
          <w:lang w:val="de-DE"/>
        </w:rPr>
        <w:t> </w:t>
      </w:r>
      <w:r w:rsidRPr="00BB5519">
        <w:rPr>
          <w:rFonts w:cs="Tahoma"/>
          <w:color w:val="000000"/>
          <w:szCs w:val="18"/>
          <w:lang w:val="de-DE"/>
        </w:rPr>
        <w:t xml:space="preserve">durch die Wert- und Bereitstellungsplanungsphasen bei Lync- und Exchange </w:t>
      </w:r>
      <w:r w:rsidR="0083608D">
        <w:rPr>
          <w:rFonts w:cs="Tahoma"/>
          <w:color w:val="000000"/>
          <w:szCs w:val="18"/>
          <w:lang w:val="de-DE"/>
        </w:rPr>
        <w:br/>
      </w:r>
      <w:r w:rsidRPr="00BB5519">
        <w:rPr>
          <w:rFonts w:cs="Tahoma"/>
          <w:color w:val="000000"/>
          <w:szCs w:val="18"/>
          <w:lang w:val="de-DE"/>
        </w:rPr>
        <w:t>2010-Implementierungen zu begleiten. Dazu gehören die Analyse der Umgebung im Kundenunternehmen und der Austausch von bewährten Methoden, sowohl für lokale als auch für Cloud-Lösungen.</w:t>
      </w:r>
      <w:r w:rsidR="009E4976" w:rsidRPr="00BB5519">
        <w:rPr>
          <w:rFonts w:cs="Tahoma"/>
          <w:color w:val="000000"/>
          <w:szCs w:val="18"/>
          <w:lang w:val="de-DE"/>
        </w:rPr>
        <w:t xml:space="preserve"> </w:t>
      </w:r>
      <w:r w:rsidRPr="00BB5519">
        <w:rPr>
          <w:rFonts w:cs="Tahoma"/>
          <w:color w:val="000000"/>
          <w:szCs w:val="18"/>
          <w:lang w:val="de-DE"/>
        </w:rPr>
        <w:t>L&amp;EDPS kann Kunden außerdem bei der Bereitstellungsplanung zur Umstellung auf Office 365 unterstützen, wobei Lync und Exchange Online im Vordergrund stehen.</w:t>
      </w:r>
    </w:p>
    <w:p w:rsidR="000D4ECA" w:rsidRPr="00BB5519" w:rsidRDefault="000D4ECA" w:rsidP="002C1048">
      <w:pPr>
        <w:numPr>
          <w:ilvl w:val="1"/>
          <w:numId w:val="132"/>
        </w:numPr>
        <w:spacing w:after="60" w:line="276" w:lineRule="auto"/>
        <w:ind w:left="1980"/>
      </w:pPr>
      <w:r w:rsidRPr="00BB5519">
        <w:rPr>
          <w:rFonts w:cs="Tahoma"/>
          <w:color w:val="000000"/>
          <w:szCs w:val="18"/>
        </w:rPr>
        <w:t>Servicelevels: 1, 3, 5, 10 oder 15 Tage</w:t>
      </w:r>
    </w:p>
    <w:p w:rsidR="000D4ECA" w:rsidRPr="00BB5519" w:rsidRDefault="000D4ECA" w:rsidP="00024C3C">
      <w:pPr>
        <w:numPr>
          <w:ilvl w:val="0"/>
          <w:numId w:val="10"/>
        </w:numPr>
        <w:spacing w:after="60" w:line="276" w:lineRule="auto"/>
      </w:pPr>
      <w:r w:rsidRPr="00BB5519">
        <w:rPr>
          <w:rFonts w:cs="Tahoma"/>
          <w:color w:val="000000"/>
          <w:szCs w:val="18"/>
        </w:rPr>
        <w:t>Private Cloud, Management und Virtualization Deployment Planning Services (PVDPS)</w:t>
      </w:r>
    </w:p>
    <w:p w:rsidR="000D4ECA" w:rsidRPr="00BB5519" w:rsidRDefault="000D4ECA" w:rsidP="0083608D">
      <w:pPr>
        <w:numPr>
          <w:ilvl w:val="1"/>
          <w:numId w:val="133"/>
        </w:numPr>
        <w:spacing w:after="60" w:line="276" w:lineRule="auto"/>
        <w:ind w:left="1980"/>
        <w:rPr>
          <w:lang w:val="de-DE"/>
        </w:rPr>
      </w:pPr>
      <w:r w:rsidRPr="00BB5519">
        <w:rPr>
          <w:rFonts w:cs="Tahoma"/>
          <w:color w:val="000000"/>
          <w:szCs w:val="18"/>
          <w:lang w:val="de-DE"/>
        </w:rPr>
        <w:t xml:space="preserve">Beschreibung: </w:t>
      </w:r>
      <w:r w:rsidRPr="00BB5519">
        <w:rPr>
          <w:rFonts w:cs="Tahoma"/>
          <w:szCs w:val="18"/>
          <w:lang w:val="de-DE"/>
        </w:rPr>
        <w:t>PVDPS bietet strukturierte Consultingeinsätze, mit denen Kunden Infrastrukturlösungen auf der Grundlage von Windows Server, Systems Center und Hyper-V</w:t>
      </w:r>
      <w:r w:rsidR="0083608D">
        <w:rPr>
          <w:rFonts w:cs="Tahoma"/>
          <w:szCs w:val="18"/>
          <w:lang w:val="de-DE"/>
        </w:rPr>
        <w:t> </w:t>
      </w:r>
      <w:r w:rsidRPr="00BB5519">
        <w:rPr>
          <w:rFonts w:cs="Tahoma"/>
          <w:szCs w:val="18"/>
          <w:lang w:val="de-DE"/>
        </w:rPr>
        <w:t>nutzen können. Mit diesem Service können Rechenzentrumskosten verringert, die geschäftliche Flexibilität sowie die Kontrolle über die physische, virtuelle und hybride Infrastruktur des Kunden verbessert werden</w:t>
      </w:r>
      <w:r w:rsidRPr="00BB5519">
        <w:rPr>
          <w:rFonts w:cs="Tahoma"/>
          <w:color w:val="000000"/>
          <w:szCs w:val="18"/>
          <w:lang w:val="de-DE"/>
        </w:rPr>
        <w:t xml:space="preserve">. </w:t>
      </w:r>
    </w:p>
    <w:p w:rsidR="000D4ECA" w:rsidRPr="00BB5519" w:rsidRDefault="000D4ECA" w:rsidP="002C1048">
      <w:pPr>
        <w:numPr>
          <w:ilvl w:val="1"/>
          <w:numId w:val="133"/>
        </w:numPr>
        <w:spacing w:after="60" w:line="276" w:lineRule="auto"/>
        <w:ind w:left="1980"/>
      </w:pPr>
      <w:r w:rsidRPr="00BB5519">
        <w:rPr>
          <w:rFonts w:cs="Tahoma"/>
          <w:color w:val="000000"/>
          <w:szCs w:val="18"/>
        </w:rPr>
        <w:t>Servicelevels: 3, 5, 10 oder 15 Tage</w:t>
      </w:r>
    </w:p>
    <w:p w:rsidR="000D4ECA" w:rsidRPr="00BB5519" w:rsidRDefault="000D4ECA" w:rsidP="00024C3C">
      <w:pPr>
        <w:numPr>
          <w:ilvl w:val="0"/>
          <w:numId w:val="10"/>
        </w:numPr>
        <w:spacing w:after="60" w:line="276" w:lineRule="auto"/>
      </w:pPr>
      <w:r w:rsidRPr="00BB5519">
        <w:rPr>
          <w:rFonts w:cs="Tahoma"/>
          <w:color w:val="000000"/>
          <w:szCs w:val="18"/>
        </w:rPr>
        <w:t>SQL Server Deployment Planning Services (SSDPS)</w:t>
      </w:r>
    </w:p>
    <w:p w:rsidR="000D4ECA" w:rsidRPr="00BB5519" w:rsidRDefault="000D4ECA" w:rsidP="002C1048">
      <w:pPr>
        <w:numPr>
          <w:ilvl w:val="1"/>
          <w:numId w:val="134"/>
        </w:numPr>
        <w:spacing w:after="60" w:line="276" w:lineRule="auto"/>
        <w:ind w:left="1980"/>
        <w:rPr>
          <w:lang w:val="de-DE"/>
        </w:rPr>
      </w:pPr>
      <w:r w:rsidRPr="00BB5519">
        <w:rPr>
          <w:rFonts w:cs="Tahoma"/>
          <w:color w:val="000000"/>
          <w:szCs w:val="18"/>
          <w:lang w:val="de-DE"/>
        </w:rPr>
        <w:t xml:space="preserve">Beschreibung: </w:t>
      </w:r>
      <w:r w:rsidRPr="00BB5519">
        <w:rPr>
          <w:rFonts w:cs="Tahoma"/>
          <w:szCs w:val="18"/>
          <w:lang w:val="de-DE"/>
        </w:rPr>
        <w:t>SSDPS umfasst eine ausführliche Bewertung und Bereitstellungsplanung für die Migration auf SQL Server, ein Upgrade auf die neue Version der SQL Server-Lösung und die SQL Server Business Intelligence-Lösung.</w:t>
      </w:r>
    </w:p>
    <w:p w:rsidR="000D4ECA" w:rsidRPr="00BB5519" w:rsidRDefault="000D4ECA" w:rsidP="002C1048">
      <w:pPr>
        <w:numPr>
          <w:ilvl w:val="1"/>
          <w:numId w:val="134"/>
        </w:numPr>
        <w:spacing w:after="60" w:line="276" w:lineRule="auto"/>
        <w:ind w:left="1980"/>
      </w:pPr>
      <w:r w:rsidRPr="00BB5519">
        <w:rPr>
          <w:rFonts w:cs="Tahoma"/>
          <w:color w:val="000000"/>
          <w:szCs w:val="18"/>
        </w:rPr>
        <w:t>Servicelevels: 3, 5, 10 oder 15 Tage</w:t>
      </w:r>
    </w:p>
    <w:p w:rsidR="000D4ECA" w:rsidRPr="00BB5519" w:rsidRDefault="000D4ECA" w:rsidP="0083608D">
      <w:pPr>
        <w:keepNext/>
        <w:keepLines/>
        <w:numPr>
          <w:ilvl w:val="0"/>
          <w:numId w:val="10"/>
        </w:numPr>
        <w:spacing w:after="60" w:line="276" w:lineRule="auto"/>
      </w:pPr>
      <w:r w:rsidRPr="00BB5519">
        <w:rPr>
          <w:rFonts w:cs="Tahoma"/>
          <w:color w:val="000000"/>
          <w:szCs w:val="18"/>
        </w:rPr>
        <w:lastRenderedPageBreak/>
        <w:t>Developer Tools Deployment Planning Services (DTDPS)</w:t>
      </w:r>
    </w:p>
    <w:p w:rsidR="000D4ECA" w:rsidRPr="00BB5519" w:rsidRDefault="000D4ECA" w:rsidP="002C1048">
      <w:pPr>
        <w:numPr>
          <w:ilvl w:val="1"/>
          <w:numId w:val="135"/>
        </w:numPr>
        <w:spacing w:after="60" w:line="276" w:lineRule="auto"/>
        <w:ind w:left="1980"/>
        <w:rPr>
          <w:lang w:val="de-DE"/>
        </w:rPr>
      </w:pPr>
      <w:r w:rsidRPr="00BB5519">
        <w:rPr>
          <w:rFonts w:cs="Tahoma"/>
          <w:color w:val="000000"/>
          <w:szCs w:val="18"/>
          <w:lang w:val="de-DE"/>
        </w:rPr>
        <w:t xml:space="preserve">Beschreibung: </w:t>
      </w:r>
      <w:r w:rsidRPr="00BB5519">
        <w:rPr>
          <w:rFonts w:cs="Tahoma"/>
          <w:szCs w:val="18"/>
          <w:lang w:val="de-DE"/>
        </w:rPr>
        <w:t>DTDPS umfasst eine genaue Analyse sowie einen prozessorientierten Ansatz zur Entwicklung eines Bereitstellungsplans für Visual Studio Team Foundation Server oder Visual Studio Test Tools.</w:t>
      </w:r>
      <w:r w:rsidR="009E4976" w:rsidRPr="00BB5519">
        <w:rPr>
          <w:rFonts w:cs="Tahoma"/>
          <w:szCs w:val="18"/>
          <w:lang w:val="de-DE"/>
        </w:rPr>
        <w:t xml:space="preserve"> </w:t>
      </w:r>
      <w:r w:rsidRPr="00BB5519">
        <w:rPr>
          <w:rFonts w:cs="Tahoma"/>
          <w:szCs w:val="18"/>
          <w:lang w:val="de-DE"/>
        </w:rPr>
        <w:t>Anhand bewährter Methoden von Microsoft arbeitet ein zertifizierter Partner einen individuellen Bereitstellungsplan aus, der auf die geschäftlichen Anforderungen abgestimmt ist</w:t>
      </w:r>
      <w:r w:rsidRPr="00BB5519">
        <w:rPr>
          <w:rFonts w:cs="Tahoma"/>
          <w:color w:val="000000"/>
          <w:szCs w:val="18"/>
          <w:lang w:val="de-DE"/>
        </w:rPr>
        <w:t xml:space="preserve">. </w:t>
      </w:r>
    </w:p>
    <w:p w:rsidR="000D4ECA" w:rsidRPr="00BB5519" w:rsidRDefault="000D4ECA" w:rsidP="002C1048">
      <w:pPr>
        <w:numPr>
          <w:ilvl w:val="1"/>
          <w:numId w:val="135"/>
        </w:numPr>
        <w:spacing w:after="60" w:line="276" w:lineRule="auto"/>
        <w:ind w:left="1980"/>
      </w:pPr>
      <w:r w:rsidRPr="00BB5519">
        <w:rPr>
          <w:rFonts w:cs="Tahoma"/>
          <w:color w:val="000000"/>
          <w:szCs w:val="18"/>
        </w:rPr>
        <w:t>Servicelevels: 3 oder 5 Tage</w:t>
      </w:r>
    </w:p>
    <w:p w:rsidR="000D4ECA" w:rsidRPr="00BB5519" w:rsidRDefault="000D4ECA" w:rsidP="00024C3C">
      <w:pPr>
        <w:numPr>
          <w:ilvl w:val="0"/>
          <w:numId w:val="10"/>
        </w:numPr>
        <w:spacing w:after="60" w:line="276" w:lineRule="auto"/>
      </w:pPr>
      <w:r w:rsidRPr="00BB5519">
        <w:rPr>
          <w:rFonts w:cs="Tahoma"/>
          <w:color w:val="000000"/>
          <w:szCs w:val="18"/>
        </w:rPr>
        <w:t>Public Cloud, Azure Deployment Planning Services (AZDPS)</w:t>
      </w:r>
    </w:p>
    <w:p w:rsidR="000D4ECA" w:rsidRPr="00BB5519" w:rsidRDefault="000D4ECA" w:rsidP="002C1048">
      <w:pPr>
        <w:numPr>
          <w:ilvl w:val="1"/>
          <w:numId w:val="136"/>
        </w:numPr>
        <w:spacing w:after="60" w:line="276" w:lineRule="auto"/>
        <w:ind w:left="1980"/>
        <w:rPr>
          <w:lang w:val="de-DE"/>
        </w:rPr>
      </w:pPr>
      <w:r w:rsidRPr="00BB5519">
        <w:rPr>
          <w:rFonts w:cs="Tahoma"/>
          <w:color w:val="000000"/>
          <w:szCs w:val="18"/>
          <w:lang w:val="de-DE"/>
        </w:rPr>
        <w:t xml:space="preserve">Beschreibung: </w:t>
      </w:r>
      <w:r w:rsidRPr="00BB5519">
        <w:rPr>
          <w:rFonts w:cs="Tahoma"/>
          <w:color w:val="1D1B11"/>
          <w:szCs w:val="18"/>
          <w:lang w:val="de-DE"/>
        </w:rPr>
        <w:t>Public</w:t>
      </w:r>
      <w:r w:rsidRPr="00BB5519">
        <w:rPr>
          <w:rFonts w:cs="Tahoma"/>
          <w:szCs w:val="18"/>
          <w:lang w:val="de-DE"/>
        </w:rPr>
        <w:t xml:space="preserve"> Cloud, AZDPS beinhaltet den Schulungs- und Migrationsservice der Windows Azure-Plattform. Dieser Service umfasst ein Lernprogramm für die Windows Azure-Plattform mit praxisorientierten Schulungsinhalten, die Anweisungen zum Migrieren von Anwendungen und Daten sowie zur Entwicklung von Anwendungen für die Cloud vermitteln und Kunden bei der Migration oder dem Schreiben ihrer ersten Anwendungen auf der Windows Azure-Plattform unterstützen.</w:t>
      </w:r>
    </w:p>
    <w:p w:rsidR="000D4ECA" w:rsidRPr="00BB5519" w:rsidRDefault="000D4ECA" w:rsidP="0063466C">
      <w:pPr>
        <w:numPr>
          <w:ilvl w:val="1"/>
          <w:numId w:val="136"/>
        </w:numPr>
        <w:spacing w:line="276" w:lineRule="auto"/>
        <w:ind w:left="1987"/>
      </w:pPr>
      <w:r w:rsidRPr="00BB5519">
        <w:rPr>
          <w:rFonts w:cs="Tahoma"/>
          <w:color w:val="000000"/>
          <w:szCs w:val="18"/>
        </w:rPr>
        <w:t>Servicelevels: 3, 5 oder 10 Tage</w:t>
      </w:r>
    </w:p>
    <w:p w:rsidR="000D4ECA" w:rsidRPr="00BB5519" w:rsidRDefault="000D4ECA" w:rsidP="0063466C">
      <w:pPr>
        <w:tabs>
          <w:tab w:val="left" w:pos="8040"/>
        </w:tabs>
      </w:pPr>
    </w:p>
    <w:p w:rsidR="000D4ECA" w:rsidRPr="00BB5519" w:rsidRDefault="000D4ECA" w:rsidP="000D4ECA">
      <w:pPr>
        <w:spacing w:after="60"/>
        <w:rPr>
          <w:lang w:val="de-DE"/>
        </w:rPr>
      </w:pPr>
      <w:r w:rsidRPr="00BB5519">
        <w:rPr>
          <w:rFonts w:cs="Tahoma"/>
          <w:color w:val="000000"/>
          <w:szCs w:val="18"/>
          <w:lang w:val="de-DE"/>
        </w:rPr>
        <w:t>Die Liste der verfügbaren Services und zugehörigen Servicelevels kann jederzeit geändert werden.</w:t>
      </w:r>
      <w:r w:rsidR="009E4976" w:rsidRPr="00BB5519">
        <w:rPr>
          <w:rFonts w:cs="Tahoma"/>
          <w:color w:val="000000"/>
          <w:szCs w:val="18"/>
          <w:lang w:val="de-DE"/>
        </w:rPr>
        <w:t xml:space="preserve"> </w:t>
      </w:r>
      <w:r w:rsidRPr="00BB5519">
        <w:rPr>
          <w:rFonts w:cs="Tahoma"/>
          <w:color w:val="000000"/>
          <w:szCs w:val="18"/>
          <w:lang w:val="de-DE"/>
        </w:rPr>
        <w:t>Von Qualifizierten Anbietern erhalten Kunden auf Anfrage eine Übersicht über den verfügbaren Leistungsumfang für jedes der oben genannten Serviceangebote.</w:t>
      </w:r>
    </w:p>
    <w:p w:rsidR="000D4ECA" w:rsidRPr="00BB5519" w:rsidRDefault="000D4ECA" w:rsidP="0063466C">
      <w:pPr>
        <w:rPr>
          <w:lang w:val="de-DE"/>
        </w:rPr>
      </w:pPr>
    </w:p>
    <w:p w:rsidR="000D4ECA" w:rsidRPr="00BB5519" w:rsidRDefault="000D4ECA" w:rsidP="0083608D">
      <w:pPr>
        <w:spacing w:after="60"/>
        <w:rPr>
          <w:lang w:val="de-DE"/>
        </w:rPr>
      </w:pPr>
      <w:r w:rsidRPr="00BB5519">
        <w:rPr>
          <w:rFonts w:cs="Tahoma"/>
          <w:color w:val="000000"/>
          <w:szCs w:val="18"/>
          <w:lang w:val="de-DE"/>
        </w:rPr>
        <w:t>Je nach der Anzahl der qualifizierenden Office-Anwendungslizenzen, qualifizierenden Serverlizenzen und der Anzahl</w:t>
      </w:r>
      <w:r w:rsidR="0083608D">
        <w:rPr>
          <w:rFonts w:cs="Tahoma"/>
          <w:color w:val="000000"/>
          <w:szCs w:val="18"/>
          <w:lang w:val="de-DE"/>
        </w:rPr>
        <w:t> </w:t>
      </w:r>
      <w:r w:rsidRPr="00BB5519">
        <w:rPr>
          <w:rFonts w:cs="Tahoma"/>
          <w:color w:val="000000"/>
          <w:szCs w:val="18"/>
          <w:lang w:val="de-DE"/>
        </w:rPr>
        <w:t>von Core CAL Suites, SQL CAL und Enterprise CAL Suites, für die Software Assurance erworben wird (siehe Diagramm unten), erhalten qualifizierte Kunden eine bestimmte Anzahl von Planning Services-Tagen.</w:t>
      </w:r>
      <w:r w:rsidR="009E4976" w:rsidRPr="00BB5519">
        <w:rPr>
          <w:rFonts w:cs="Tahoma"/>
          <w:color w:val="000000"/>
          <w:szCs w:val="18"/>
          <w:lang w:val="de-DE"/>
        </w:rPr>
        <w:t xml:space="preserve"> </w:t>
      </w:r>
      <w:r w:rsidRPr="00BB5519">
        <w:rPr>
          <w:rFonts w:cs="Tahoma"/>
          <w:bCs/>
          <w:color w:val="000000"/>
          <w:szCs w:val="18"/>
          <w:lang w:val="de-DE"/>
        </w:rPr>
        <w:t>Die Anzahl der Tage, die ein Kunde erhält, fließt in einen Pool mit Planning Services-Tagen, aus dem der Kunde Gutscheine für die obigen Serviceangebote erstellen kann.</w:t>
      </w:r>
      <w:r w:rsidR="009E4976" w:rsidRPr="00BB5519">
        <w:rPr>
          <w:rFonts w:cs="Tahoma"/>
          <w:bCs/>
          <w:color w:val="000000"/>
          <w:szCs w:val="18"/>
          <w:lang w:val="de-DE"/>
        </w:rPr>
        <w:t xml:space="preserve"> </w:t>
      </w:r>
      <w:r w:rsidRPr="00BB5519">
        <w:rPr>
          <w:rFonts w:cs="Tahoma"/>
          <w:bCs/>
          <w:color w:val="000000"/>
          <w:szCs w:val="18"/>
          <w:lang w:val="de-DE"/>
        </w:rPr>
        <w:t>Kunden können einen oder mehrere der obigen Services auswählen und aus den verfügbaren Servicelevels maximal den auswählen, der der Anzahl von Planning Services-Tagen entspricht, die für sie verfügbar sind.</w:t>
      </w:r>
    </w:p>
    <w:p w:rsidR="001C1727" w:rsidRPr="00BB5519" w:rsidRDefault="001C1727">
      <w:pPr>
        <w:rPr>
          <w:lang w:val="de-DE"/>
        </w:rPr>
      </w:pPr>
    </w:p>
    <w:p w:rsidR="000D4ECA" w:rsidRPr="00BB5519" w:rsidRDefault="000D4ECA" w:rsidP="000D4ECA">
      <w:pPr>
        <w:spacing w:after="60"/>
        <w:rPr>
          <w:lang w:val="de-DE"/>
        </w:rPr>
      </w:pPr>
      <w:r w:rsidRPr="00BB5519">
        <w:rPr>
          <w:rFonts w:cs="Tahoma"/>
          <w:bCs/>
          <w:color w:val="000000"/>
          <w:szCs w:val="18"/>
          <w:lang w:val="de-DE"/>
        </w:rPr>
        <w:t>In der folgenden Tabelle sind die qualifizierenden Anwendungs- und Serverlizenzen sowie die jeweils damit verbundenen Punkte aufgeführt:</w:t>
      </w:r>
    </w:p>
    <w:p w:rsidR="0063466C" w:rsidRPr="00BB5519" w:rsidRDefault="0063466C" w:rsidP="000D4ECA">
      <w:pPr>
        <w:spacing w:after="60"/>
        <w:rPr>
          <w:lang w:val="de-DE"/>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BB5519"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b/>
                <w:bCs/>
                <w:szCs w:val="18"/>
              </w:rPr>
              <w:t xml:space="preserve">Office-Anwendungs- und Serverlizenzen*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b/>
                <w:bCs/>
                <w:szCs w:val="18"/>
              </w:rPr>
              <w:t>Punkte</w:t>
            </w:r>
          </w:p>
        </w:tc>
      </w:tr>
      <w:tr w:rsidR="000D4ECA" w:rsidRPr="00BB5519"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D31281">
            <w:pPr>
              <w:spacing w:after="60"/>
              <w:jc w:val="center"/>
              <w:rPr>
                <w:rFonts w:cs="Tahoma"/>
                <w:szCs w:val="18"/>
                <w:lang w:val="de-DE"/>
              </w:rPr>
            </w:pPr>
            <w:r w:rsidRPr="00BB5519">
              <w:rPr>
                <w:rFonts w:cs="Tahoma"/>
                <w:szCs w:val="18"/>
                <w:lang w:val="de-DE"/>
              </w:rPr>
              <w:t>Produkte aus dem Office-Anwendungs-Pool (einschließlich Office-Suites, Project Standard und Professional, Visio Standard und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1</w:t>
            </w:r>
          </w:p>
        </w:tc>
      </w:tr>
      <w:tr w:rsidR="000D4ECA" w:rsidRPr="00BB551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F56FC9" w:rsidP="007002E0">
            <w:pPr>
              <w:spacing w:after="60"/>
              <w:jc w:val="center"/>
              <w:rPr>
                <w:rFonts w:cs="Tahoma"/>
                <w:szCs w:val="18"/>
              </w:rPr>
            </w:pPr>
            <w:r w:rsidRPr="00BB5519">
              <w:rPr>
                <w:rFonts w:eastAsia="Calibri" w:cs="Tahoma"/>
                <w:szCs w:val="18"/>
              </w:rPr>
              <w:t>SQL Server Standard Edition, Windows Server Standard Edition, Standard-Server-Management-Lizenz für System Center 2012 (2 Prozessoren), Visual Studio Professional mit MSDN und Visual Studio Test Professional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25</w:t>
            </w:r>
          </w:p>
        </w:tc>
      </w:tr>
      <w:tr w:rsidR="000D4ECA" w:rsidRPr="00BB551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F56FC9" w:rsidP="000D4ECA">
            <w:pPr>
              <w:spacing w:after="60"/>
              <w:jc w:val="center"/>
              <w:rPr>
                <w:rFonts w:cs="Tahoma"/>
                <w:szCs w:val="18"/>
              </w:rPr>
            </w:pPr>
            <w:r w:rsidRPr="00BB5519">
              <w:rPr>
                <w:rFonts w:eastAsia="Calibri" w:cs="Tahoma"/>
                <w:szCs w:val="18"/>
              </w:rPr>
              <w:t xml:space="preserve">SQL Server Enterprise Edition, </w:t>
            </w:r>
            <w:r w:rsidRPr="00BB5519">
              <w:rPr>
                <w:rFonts w:cs="Tahoma"/>
                <w:szCs w:val="18"/>
              </w:rPr>
              <w:t xml:space="preserve">SQL Server Business Intelligence, </w:t>
            </w:r>
            <w:r w:rsidRPr="00BB5519">
              <w:rPr>
                <w:rFonts w:eastAsia="Calibri" w:cs="Tahoma"/>
                <w:szCs w:val="18"/>
              </w:rPr>
              <w:t>Windows Server Enterprise Edition und Visual Studio Premium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50</w:t>
            </w:r>
          </w:p>
        </w:tc>
      </w:tr>
      <w:tr w:rsidR="000D4ECA" w:rsidRPr="00BB551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F56FC9" w:rsidP="000D4ECA">
            <w:pPr>
              <w:spacing w:after="60"/>
              <w:jc w:val="center"/>
              <w:rPr>
                <w:rFonts w:cs="Tahoma"/>
                <w:szCs w:val="18"/>
              </w:rPr>
            </w:pPr>
            <w:r w:rsidRPr="00BB5519">
              <w:rPr>
                <w:rFonts w:eastAsia="Calibri" w:cs="Tahoma"/>
                <w:szCs w:val="18"/>
              </w:rPr>
              <w:t>SQL Server Data Center Edition, Windows Server Data Center Edition, Server-Management-Lizenz für System Center 2012 Datacenter (2 Prozessoren) und Visual Studio Ultimate mit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75</w:t>
            </w:r>
          </w:p>
        </w:tc>
      </w:tr>
    </w:tbl>
    <w:p w:rsidR="000D4ECA" w:rsidRPr="00BB5519" w:rsidRDefault="000D4ECA" w:rsidP="0083608D">
      <w:pPr>
        <w:spacing w:before="40"/>
        <w:ind w:firstLine="720"/>
        <w:rPr>
          <w:lang w:val="de-DE"/>
        </w:rPr>
      </w:pPr>
      <w:r w:rsidRPr="00BB5519">
        <w:rPr>
          <w:rFonts w:cs="Tahoma"/>
          <w:b/>
          <w:i/>
          <w:sz w:val="16"/>
          <w:szCs w:val="18"/>
          <w:lang w:val="de-DE"/>
        </w:rPr>
        <w:t>Anmerkung:</w:t>
      </w:r>
      <w:r w:rsidRPr="00BB5519">
        <w:rPr>
          <w:rFonts w:cs="Tahoma"/>
          <w:i/>
          <w:sz w:val="16"/>
          <w:szCs w:val="18"/>
          <w:lang w:val="de-DE"/>
        </w:rPr>
        <w:t xml:space="preserve"> Weitere Informationen zu CALs finden Sie in der Tabelle zu CAL-Suites in diesem Abschnitt.</w:t>
      </w:r>
    </w:p>
    <w:p w:rsidR="00F56FC9" w:rsidRPr="00BB5519" w:rsidRDefault="00F56FC9" w:rsidP="0063466C">
      <w:pPr>
        <w:rPr>
          <w:lang w:val="de-DE"/>
        </w:rPr>
      </w:pPr>
    </w:p>
    <w:p w:rsidR="000D4ECA" w:rsidRPr="00BB5519" w:rsidRDefault="000D4ECA" w:rsidP="0083608D">
      <w:pPr>
        <w:rPr>
          <w:lang w:val="de-DE"/>
        </w:rPr>
      </w:pPr>
      <w:r w:rsidRPr="00BB5519">
        <w:rPr>
          <w:rFonts w:cs="Tahoma"/>
          <w:szCs w:val="18"/>
          <w:lang w:val="de-DE"/>
        </w:rPr>
        <w:t>Wenn diese berechtigten Produkte über den Beitritt zur Anwendungsplattform (EAP) oder den Beitritt für Core Infrastructure (ECI) erworben werden, werden alle unter dem EAP und ECI zugeteilten Punkte mit dem Faktor zwei</w:t>
      </w:r>
      <w:r w:rsidR="0083608D">
        <w:rPr>
          <w:rFonts w:cs="Tahoma"/>
          <w:szCs w:val="18"/>
          <w:lang w:val="de-DE"/>
        </w:rPr>
        <w:t> </w:t>
      </w:r>
      <w:r w:rsidRPr="00BB5519">
        <w:rPr>
          <w:rFonts w:cs="Tahoma"/>
          <w:szCs w:val="18"/>
          <w:lang w:val="de-DE"/>
        </w:rPr>
        <w:t xml:space="preserve">(2) multipliziert. </w:t>
      </w:r>
    </w:p>
    <w:p w:rsidR="000D4ECA" w:rsidRPr="00BB5519" w:rsidRDefault="000D4ECA" w:rsidP="0063466C">
      <w:pPr>
        <w:rPr>
          <w:lang w:val="de-DE"/>
        </w:rPr>
      </w:pPr>
    </w:p>
    <w:p w:rsidR="000D4ECA" w:rsidRPr="00BB5519" w:rsidRDefault="000D4ECA" w:rsidP="0063466C">
      <w:pPr>
        <w:rPr>
          <w:lang w:val="de-DE"/>
        </w:rPr>
      </w:pPr>
      <w:r w:rsidRPr="00BB5519">
        <w:rPr>
          <w:rFonts w:cs="Tahoma"/>
          <w:szCs w:val="18"/>
          <w:lang w:val="de-DE"/>
        </w:rPr>
        <w:t>Die Gesamtzahl der Punkte, zu denen der Kunde berechtigt ist, definiert die Ansprüche auf Planning Services-Tage wie unten dargestellt:</w:t>
      </w:r>
    </w:p>
    <w:p w:rsidR="000D4ECA" w:rsidRPr="00BB5519" w:rsidRDefault="000D4ECA" w:rsidP="0063466C">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B5519"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5519" w:rsidRDefault="000D4ECA" w:rsidP="00017D8D">
            <w:pPr>
              <w:keepNext/>
              <w:keepLines/>
              <w:spacing w:after="60"/>
              <w:jc w:val="center"/>
              <w:rPr>
                <w:rFonts w:cs="Tahoma"/>
                <w:szCs w:val="18"/>
                <w:lang w:val="de-DE"/>
              </w:rPr>
            </w:pPr>
            <w:r w:rsidRPr="00BB5519">
              <w:rPr>
                <w:rFonts w:cs="Tahoma"/>
                <w:b/>
                <w:bCs/>
                <w:szCs w:val="18"/>
                <w:lang w:val="de-DE"/>
              </w:rPr>
              <w:lastRenderedPageBreak/>
              <w:t>Office-Anwendungs- und/oder Serverpunkte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b/>
                <w:bCs/>
                <w:szCs w:val="18"/>
              </w:rPr>
              <w:t>Planning Services-Tage</w:t>
            </w:r>
          </w:p>
        </w:tc>
      </w:tr>
      <w:tr w:rsidR="000D4ECA" w:rsidRPr="00BB5519"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200</w:t>
            </w:r>
            <w:r w:rsidR="001C4813">
              <w:rPr>
                <w:rFonts w:cs="Tahoma"/>
                <w:szCs w:val="18"/>
              </w:rPr>
              <w:t xml:space="preserve"> – </w:t>
            </w:r>
            <w:r w:rsidRPr="00BB5519">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1</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500</w:t>
            </w:r>
            <w:r w:rsidR="001C4813">
              <w:rPr>
                <w:rFonts w:cs="Tahoma"/>
                <w:szCs w:val="18"/>
              </w:rPr>
              <w:t xml:space="preserve"> – </w:t>
            </w:r>
            <w:r w:rsidRPr="00BB5519">
              <w:rPr>
                <w:rFonts w:cs="Tahoma"/>
                <w:szCs w:val="18"/>
              </w:rPr>
              <w:t>1</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3</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2</w:t>
            </w:r>
            <w:r w:rsidR="00E27D36">
              <w:rPr>
                <w:rFonts w:cs="Tahoma"/>
                <w:szCs w:val="18"/>
              </w:rPr>
              <w:t>.</w:t>
            </w:r>
            <w:r w:rsidRPr="00BB5519">
              <w:rPr>
                <w:rFonts w:cs="Tahoma"/>
                <w:szCs w:val="18"/>
              </w:rPr>
              <w:t>000</w:t>
            </w:r>
            <w:r w:rsidR="001C4813">
              <w:rPr>
                <w:rFonts w:cs="Tahoma"/>
                <w:szCs w:val="18"/>
              </w:rPr>
              <w:t xml:space="preserve"> – </w:t>
            </w:r>
            <w:r w:rsidRPr="00BB5519">
              <w:rPr>
                <w:rFonts w:cs="Tahoma"/>
                <w:szCs w:val="18"/>
              </w:rPr>
              <w:t>3</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5</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4</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29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10</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30</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49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15</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50</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99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20</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100</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199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30</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200</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399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40</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400</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599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50</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keepNext/>
              <w:keepLines/>
              <w:spacing w:after="60"/>
              <w:jc w:val="center"/>
              <w:rPr>
                <w:rFonts w:cs="Tahoma"/>
                <w:szCs w:val="18"/>
              </w:rPr>
            </w:pPr>
            <w:r w:rsidRPr="00BB5519">
              <w:rPr>
                <w:rFonts w:cs="Tahoma"/>
                <w:szCs w:val="18"/>
              </w:rPr>
              <w:t>600</w:t>
            </w:r>
            <w:r w:rsidR="00E27D36">
              <w:rPr>
                <w:rFonts w:cs="Tahoma"/>
                <w:szCs w:val="18"/>
              </w:rPr>
              <w:t>.</w:t>
            </w:r>
            <w:r w:rsidRPr="00BB551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17D8D">
            <w:pPr>
              <w:keepNext/>
              <w:keepLines/>
              <w:spacing w:after="60"/>
              <w:jc w:val="center"/>
              <w:rPr>
                <w:rFonts w:cs="Tahoma"/>
                <w:szCs w:val="18"/>
              </w:rPr>
            </w:pPr>
            <w:r w:rsidRPr="00BB5519">
              <w:rPr>
                <w:rFonts w:cs="Tahoma"/>
                <w:szCs w:val="18"/>
              </w:rPr>
              <w:t>75</w:t>
            </w:r>
          </w:p>
        </w:tc>
      </w:tr>
    </w:tbl>
    <w:p w:rsidR="000D4ECA" w:rsidRPr="00BB5519" w:rsidRDefault="000D4ECA" w:rsidP="0063466C"/>
    <w:p w:rsidR="000D4ECA" w:rsidRPr="00BB5519" w:rsidRDefault="000D4ECA" w:rsidP="0063466C">
      <w:pPr>
        <w:rPr>
          <w:lang w:val="de-DE"/>
        </w:rPr>
      </w:pPr>
      <w:r w:rsidRPr="00BB5519">
        <w:rPr>
          <w:rFonts w:cs="Tahoma"/>
          <w:szCs w:val="18"/>
          <w:lang w:val="de-DE"/>
        </w:rPr>
        <w:t xml:space="preserve">Software Assurance für Core CAL Suites und SQL CAL zählt bei den Schwellenwerten in der ersten Spalte unten jeweils als </w:t>
      </w:r>
      <w:r w:rsidRPr="00BB5519">
        <w:rPr>
          <w:rFonts w:cs="Tahoma"/>
          <w:szCs w:val="18"/>
          <w:u w:val="single"/>
          <w:lang w:val="de-DE"/>
        </w:rPr>
        <w:t>ein (1) Punkt</w:t>
      </w:r>
      <w:r w:rsidRPr="000E3562">
        <w:rPr>
          <w:rFonts w:cs="Tahoma"/>
          <w:szCs w:val="18"/>
          <w:lang w:val="de-DE"/>
        </w:rPr>
        <w:t xml:space="preserve">, </w:t>
      </w:r>
      <w:r w:rsidRPr="00BB5519">
        <w:rPr>
          <w:rFonts w:cs="Tahoma"/>
          <w:szCs w:val="18"/>
          <w:lang w:val="de-DE"/>
        </w:rPr>
        <w:t xml:space="preserve">Software Assurance für Enterprise CAL Suites zählt bei den Schwellenwerten in der ersten Spalte unten jeweils als </w:t>
      </w:r>
      <w:r w:rsidRPr="00BB5519">
        <w:rPr>
          <w:rFonts w:cs="Tahoma"/>
          <w:szCs w:val="18"/>
          <w:u w:val="single"/>
          <w:lang w:val="de-DE"/>
        </w:rPr>
        <w:t>zwei (2) Punkte</w:t>
      </w:r>
      <w:r w:rsidRPr="00BB5519">
        <w:rPr>
          <w:rFonts w:cs="Tahoma"/>
          <w:szCs w:val="18"/>
          <w:lang w:val="de-DE"/>
        </w:rPr>
        <w:t>:</w:t>
      </w:r>
    </w:p>
    <w:p w:rsidR="000D4ECA" w:rsidRPr="00BB5519" w:rsidRDefault="000D4ECA" w:rsidP="0063466C">
      <w:pPr>
        <w:rPr>
          <w:lang w:val="de-D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BB5519"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b/>
                <w:bCs/>
                <w:szCs w:val="18"/>
              </w:rPr>
              <w:t>CAL-Suites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BB5519" w:rsidRDefault="000D4ECA" w:rsidP="000D4ECA">
            <w:pPr>
              <w:spacing w:after="60"/>
              <w:rPr>
                <w:rFonts w:cs="Tahoma"/>
                <w:szCs w:val="18"/>
              </w:rPr>
            </w:pPr>
            <w:r w:rsidRPr="00BB5519">
              <w:rPr>
                <w:rFonts w:cs="Tahoma"/>
                <w:b/>
                <w:bCs/>
                <w:szCs w:val="18"/>
              </w:rPr>
              <w:t xml:space="preserve">Planning Services-Tage </w:t>
            </w:r>
          </w:p>
        </w:tc>
      </w:tr>
      <w:tr w:rsidR="000D4ECA" w:rsidRPr="00BB5519"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172DDA">
            <w:pPr>
              <w:spacing w:after="60"/>
              <w:jc w:val="center"/>
              <w:rPr>
                <w:rFonts w:cs="Tahoma"/>
                <w:szCs w:val="18"/>
              </w:rPr>
            </w:pPr>
            <w:r w:rsidRPr="00BB5519">
              <w:rPr>
                <w:rFonts w:cs="Tahoma"/>
                <w:szCs w:val="18"/>
              </w:rPr>
              <w:t>200</w:t>
            </w:r>
            <w:r w:rsidR="00625B87">
              <w:rPr>
                <w:rFonts w:cs="Tahoma"/>
                <w:szCs w:val="18"/>
              </w:rPr>
              <w:t xml:space="preserve"> – </w:t>
            </w:r>
            <w:r w:rsidRPr="00BB5519">
              <w:rPr>
                <w:rFonts w:cs="Tahoma"/>
                <w:szCs w:val="18"/>
              </w:rPr>
              <w:t>3</w:t>
            </w:r>
            <w:r w:rsidR="00172DDA">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1</w:t>
            </w:r>
          </w:p>
        </w:tc>
      </w:tr>
      <w:tr w:rsidR="000D4ECA" w:rsidRPr="00BB5519"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spacing w:after="60"/>
              <w:jc w:val="center"/>
              <w:rPr>
                <w:rFonts w:cs="Tahoma"/>
                <w:szCs w:val="18"/>
              </w:rPr>
            </w:pPr>
            <w:r w:rsidRPr="00BB5519">
              <w:rPr>
                <w:rFonts w:cs="Tahoma"/>
                <w:szCs w:val="18"/>
              </w:rPr>
              <w:t>4</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3</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spacing w:after="60"/>
              <w:jc w:val="center"/>
              <w:rPr>
                <w:rFonts w:cs="Tahoma"/>
                <w:szCs w:val="18"/>
              </w:rPr>
            </w:pPr>
            <w:r w:rsidRPr="00BB5519">
              <w:rPr>
                <w:rFonts w:cs="Tahoma"/>
                <w:szCs w:val="18"/>
              </w:rPr>
              <w:t>10</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99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5</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spacing w:after="60"/>
              <w:jc w:val="center"/>
              <w:rPr>
                <w:rFonts w:cs="Tahoma"/>
                <w:szCs w:val="18"/>
              </w:rPr>
            </w:pPr>
            <w:r w:rsidRPr="00BB5519">
              <w:rPr>
                <w:rFonts w:cs="Tahoma"/>
                <w:szCs w:val="18"/>
              </w:rPr>
              <w:t>100</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299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7</w:t>
            </w:r>
          </w:p>
        </w:tc>
      </w:tr>
      <w:tr w:rsidR="000D4ECA" w:rsidRPr="00BB5519"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spacing w:after="60"/>
              <w:jc w:val="center"/>
              <w:rPr>
                <w:rFonts w:cs="Tahoma"/>
                <w:szCs w:val="18"/>
              </w:rPr>
            </w:pPr>
            <w:r w:rsidRPr="00BB5519">
              <w:rPr>
                <w:rFonts w:cs="Tahoma"/>
                <w:szCs w:val="18"/>
              </w:rPr>
              <w:t>300</w:t>
            </w:r>
            <w:r w:rsidR="00E27D36">
              <w:rPr>
                <w:rFonts w:cs="Tahoma"/>
                <w:szCs w:val="18"/>
              </w:rPr>
              <w:t>.</w:t>
            </w:r>
            <w:r w:rsidRPr="00BB5519">
              <w:rPr>
                <w:rFonts w:cs="Tahoma"/>
                <w:szCs w:val="18"/>
              </w:rPr>
              <w:t xml:space="preserve">000 </w:t>
            </w:r>
            <w:r w:rsidR="00E27D36">
              <w:rPr>
                <w:rFonts w:cs="Tahoma"/>
                <w:szCs w:val="18"/>
              </w:rPr>
              <w:t>–</w:t>
            </w:r>
            <w:r w:rsidRPr="00BB5519">
              <w:rPr>
                <w:rFonts w:cs="Tahoma"/>
                <w:szCs w:val="18"/>
              </w:rPr>
              <w:t xml:space="preserve"> 599</w:t>
            </w:r>
            <w:r w:rsidR="00E27D36">
              <w:rPr>
                <w:rFonts w:cs="Tahoma"/>
                <w:szCs w:val="18"/>
              </w:rPr>
              <w:t>.</w:t>
            </w:r>
            <w:r w:rsidRPr="00BB551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10</w:t>
            </w:r>
          </w:p>
        </w:tc>
      </w:tr>
      <w:tr w:rsidR="000D4ECA" w:rsidRPr="00BB551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E27D36">
            <w:pPr>
              <w:spacing w:after="60"/>
              <w:jc w:val="center"/>
              <w:rPr>
                <w:rFonts w:cs="Tahoma"/>
                <w:szCs w:val="18"/>
              </w:rPr>
            </w:pPr>
            <w:r w:rsidRPr="00BB5519">
              <w:rPr>
                <w:rFonts w:cs="Tahoma"/>
                <w:szCs w:val="18"/>
              </w:rPr>
              <w:t>600</w:t>
            </w:r>
            <w:r w:rsidR="00E27D36">
              <w:rPr>
                <w:rFonts w:cs="Tahoma"/>
                <w:szCs w:val="18"/>
              </w:rPr>
              <w:t>.</w:t>
            </w:r>
            <w:r w:rsidRPr="00BB551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BB5519" w:rsidRDefault="000D4ECA" w:rsidP="000D4ECA">
            <w:pPr>
              <w:spacing w:after="60"/>
              <w:jc w:val="center"/>
              <w:rPr>
                <w:rFonts w:cs="Tahoma"/>
                <w:szCs w:val="18"/>
              </w:rPr>
            </w:pPr>
            <w:r w:rsidRPr="00BB5519">
              <w:rPr>
                <w:rFonts w:cs="Tahoma"/>
                <w:szCs w:val="18"/>
              </w:rPr>
              <w:t>12</w:t>
            </w:r>
          </w:p>
        </w:tc>
      </w:tr>
    </w:tbl>
    <w:p w:rsidR="001C1727" w:rsidRPr="00BB5519" w:rsidRDefault="001C1727"/>
    <w:p w:rsidR="000D4ECA" w:rsidRPr="00BB5519" w:rsidRDefault="000D4ECA" w:rsidP="000D4ECA">
      <w:pPr>
        <w:spacing w:after="60"/>
      </w:pPr>
      <w:r w:rsidRPr="00BB5519">
        <w:rPr>
          <w:rFonts w:cs="Tahoma"/>
          <w:szCs w:val="20"/>
        </w:rPr>
        <w:t>Beispiele</w:t>
      </w:r>
    </w:p>
    <w:p w:rsidR="000D4ECA" w:rsidRPr="00BB5519" w:rsidRDefault="000D4ECA" w:rsidP="000D4ECA">
      <w:pPr>
        <w:spacing w:after="60"/>
      </w:pPr>
      <w:r w:rsidRPr="00BB5519">
        <w:rPr>
          <w:rFonts w:cs="Tahoma"/>
          <w:szCs w:val="20"/>
        </w:rPr>
        <w:t>Open Value-Vertrag mit:</w:t>
      </w:r>
    </w:p>
    <w:p w:rsidR="000D4ECA" w:rsidRPr="00BB5519" w:rsidRDefault="000D4ECA" w:rsidP="000D4ECA">
      <w:pPr>
        <w:spacing w:after="60"/>
      </w:pPr>
      <w:r w:rsidRPr="00BB5519">
        <w:rPr>
          <w:rFonts w:cs="Tahoma"/>
          <w:szCs w:val="20"/>
        </w:rPr>
        <w:t>150 Office Professional Plus L&amp;SA</w:t>
      </w:r>
    </w:p>
    <w:p w:rsidR="000D4ECA" w:rsidRPr="00BB5519" w:rsidRDefault="000D4ECA" w:rsidP="000D4ECA">
      <w:pPr>
        <w:spacing w:after="60"/>
      </w:pPr>
      <w:r w:rsidRPr="00BB5519">
        <w:rPr>
          <w:rFonts w:cs="Tahoma"/>
          <w:szCs w:val="20"/>
          <w:u w:val="single"/>
        </w:rPr>
        <w:t>+50 Visio Standard SA</w:t>
      </w:r>
      <w:r w:rsidRPr="00BB5519">
        <w:rPr>
          <w:rFonts w:cs="Tahoma"/>
          <w:szCs w:val="20"/>
          <w:u w:val="single"/>
        </w:rPr>
        <w:tab/>
      </w:r>
    </w:p>
    <w:p w:rsidR="000D4ECA" w:rsidRPr="00BB5519" w:rsidRDefault="000D4ECA" w:rsidP="000D4ECA">
      <w:pPr>
        <w:spacing w:after="60"/>
        <w:rPr>
          <w:lang w:val="de-DE"/>
        </w:rPr>
      </w:pPr>
      <w:r w:rsidRPr="00BB5519">
        <w:rPr>
          <w:rFonts w:cs="Tahoma"/>
          <w:szCs w:val="20"/>
          <w:lang w:val="de-DE"/>
        </w:rPr>
        <w:t>200 abgedeckte Office-Anwendungs- und/oder Serverlizenzpunkte = 1 Tag</w:t>
      </w:r>
    </w:p>
    <w:p w:rsidR="000D4ECA" w:rsidRPr="00BB5519" w:rsidRDefault="000D4ECA" w:rsidP="00077CE5">
      <w:pPr>
        <w:rPr>
          <w:lang w:val="de-DE"/>
        </w:rPr>
      </w:pPr>
    </w:p>
    <w:p w:rsidR="000D4ECA" w:rsidRPr="00BB5519" w:rsidRDefault="000D4ECA" w:rsidP="000D4ECA">
      <w:pPr>
        <w:spacing w:after="60"/>
        <w:rPr>
          <w:lang w:val="de-DE"/>
        </w:rPr>
      </w:pPr>
      <w:r w:rsidRPr="00BB5519">
        <w:rPr>
          <w:rFonts w:cs="Tahoma"/>
          <w:szCs w:val="20"/>
          <w:lang w:val="de-DE"/>
        </w:rPr>
        <w:t>Select- oder Select Plus-SAM-Beitritt mit:</w:t>
      </w:r>
    </w:p>
    <w:p w:rsidR="000D4ECA" w:rsidRPr="00BB5519" w:rsidRDefault="000D4ECA" w:rsidP="000D4ECA">
      <w:pPr>
        <w:spacing w:after="60"/>
        <w:rPr>
          <w:lang w:val="fr-FR"/>
        </w:rPr>
      </w:pPr>
      <w:r w:rsidRPr="00BB5519">
        <w:rPr>
          <w:rFonts w:cs="Tahoma"/>
          <w:szCs w:val="20"/>
          <w:lang w:val="fr-FR"/>
        </w:rPr>
        <w:t>3.500 Enterprise CAL Suite SA</w:t>
      </w:r>
    </w:p>
    <w:p w:rsidR="000D4ECA" w:rsidRPr="00BB5519" w:rsidRDefault="000D4ECA" w:rsidP="000D4ECA">
      <w:pPr>
        <w:spacing w:after="60"/>
        <w:rPr>
          <w:lang w:val="fr-FR"/>
        </w:rPr>
      </w:pPr>
      <w:r w:rsidRPr="00BB5519">
        <w:rPr>
          <w:rFonts w:cs="Tahoma"/>
          <w:szCs w:val="20"/>
          <w:u w:val="single"/>
          <w:lang w:val="fr-FR"/>
        </w:rPr>
        <w:t>x jeweils 2 Punkte</w:t>
      </w:r>
      <w:r w:rsidRPr="00BB5519">
        <w:rPr>
          <w:rFonts w:cs="Tahoma"/>
          <w:szCs w:val="20"/>
          <w:u w:val="single"/>
          <w:lang w:val="fr-FR"/>
        </w:rPr>
        <w:tab/>
      </w:r>
      <w:r w:rsidRPr="00BB5519">
        <w:rPr>
          <w:rFonts w:cs="Tahoma"/>
          <w:szCs w:val="20"/>
          <w:u w:val="single"/>
          <w:lang w:val="fr-FR"/>
        </w:rPr>
        <w:tab/>
      </w:r>
      <w:r w:rsidRPr="00BB5519">
        <w:rPr>
          <w:rFonts w:cs="Tahoma"/>
          <w:szCs w:val="20"/>
          <w:lang w:val="fr-FR"/>
        </w:rPr>
        <w:t xml:space="preserve"> </w:t>
      </w:r>
    </w:p>
    <w:p w:rsidR="000D4ECA" w:rsidRPr="00BB5519" w:rsidRDefault="000D4ECA" w:rsidP="000D4ECA">
      <w:pPr>
        <w:spacing w:after="60"/>
        <w:rPr>
          <w:lang w:val="de-DE"/>
        </w:rPr>
      </w:pPr>
      <w:r w:rsidRPr="00BB5519">
        <w:rPr>
          <w:rFonts w:cs="Tahoma"/>
          <w:szCs w:val="20"/>
          <w:lang w:val="de-DE"/>
        </w:rPr>
        <w:t xml:space="preserve">7.000 CAL-Punkte = 3 Tage </w:t>
      </w:r>
    </w:p>
    <w:p w:rsidR="000D4ECA" w:rsidRPr="00BB5519" w:rsidRDefault="000D4ECA" w:rsidP="00077CE5">
      <w:pPr>
        <w:rPr>
          <w:lang w:val="de-DE"/>
        </w:rPr>
      </w:pPr>
    </w:p>
    <w:p w:rsidR="000D4ECA" w:rsidRPr="00BB5519" w:rsidRDefault="000D4ECA" w:rsidP="000D4ECA">
      <w:pPr>
        <w:spacing w:after="60"/>
        <w:rPr>
          <w:lang w:val="de-DE"/>
        </w:rPr>
      </w:pPr>
      <w:r w:rsidRPr="00BB5519">
        <w:rPr>
          <w:rFonts w:cs="Tahoma"/>
          <w:szCs w:val="20"/>
          <w:lang w:val="de-DE"/>
        </w:rPr>
        <w:t>EA-Beitritt mit:</w:t>
      </w:r>
    </w:p>
    <w:p w:rsidR="000D4ECA" w:rsidRPr="00BB5519" w:rsidRDefault="000D4ECA" w:rsidP="000D4ECA">
      <w:pPr>
        <w:spacing w:after="60"/>
      </w:pPr>
      <w:r w:rsidRPr="00BB5519">
        <w:rPr>
          <w:rFonts w:cs="Tahoma"/>
          <w:szCs w:val="20"/>
        </w:rPr>
        <w:t>3.500 Enterprise Desktop</w:t>
      </w:r>
    </w:p>
    <w:p w:rsidR="000D4ECA" w:rsidRPr="00BB5519" w:rsidRDefault="000D4ECA" w:rsidP="002C1048">
      <w:pPr>
        <w:numPr>
          <w:ilvl w:val="0"/>
          <w:numId w:val="88"/>
        </w:numPr>
        <w:tabs>
          <w:tab w:val="left" w:pos="720"/>
        </w:tabs>
        <w:spacing w:after="60" w:line="276" w:lineRule="auto"/>
      </w:pPr>
      <w:r w:rsidRPr="00BB5519">
        <w:rPr>
          <w:rFonts w:cs="Tahoma"/>
          <w:szCs w:val="20"/>
        </w:rPr>
        <w:t xml:space="preserve">3.500 Office Professional </w:t>
      </w:r>
      <w:r w:rsidRPr="00BB5519">
        <w:rPr>
          <w:rFonts w:cs="Tahoma"/>
          <w:color w:val="000000"/>
          <w:szCs w:val="20"/>
        </w:rPr>
        <w:t>Plus</w:t>
      </w:r>
    </w:p>
    <w:p w:rsidR="000D4ECA" w:rsidRPr="00BB5519" w:rsidRDefault="000D4ECA" w:rsidP="002C1048">
      <w:pPr>
        <w:numPr>
          <w:ilvl w:val="0"/>
          <w:numId w:val="88"/>
        </w:numPr>
        <w:spacing w:after="60" w:line="276" w:lineRule="auto"/>
      </w:pPr>
      <w:r w:rsidRPr="00BB5519">
        <w:rPr>
          <w:rFonts w:cs="Tahoma"/>
          <w:color w:val="000000"/>
          <w:szCs w:val="20"/>
        </w:rPr>
        <w:t>3.500 Enterprise CAL Suite</w:t>
      </w:r>
    </w:p>
    <w:p w:rsidR="000D4ECA" w:rsidRPr="00BB5519" w:rsidRDefault="000D4ECA" w:rsidP="000D4ECA">
      <w:pPr>
        <w:spacing w:after="60"/>
        <w:rPr>
          <w:lang w:val="de-DE"/>
        </w:rPr>
      </w:pPr>
      <w:r w:rsidRPr="00BB5519">
        <w:rPr>
          <w:rFonts w:cs="Tahoma"/>
          <w:szCs w:val="20"/>
          <w:lang w:val="de-DE"/>
        </w:rPr>
        <w:t>+50 Windows ServerEnterprise Edition (x je 50 Punkte = 2.500 Punkte)</w:t>
      </w:r>
    </w:p>
    <w:p w:rsidR="000D4ECA" w:rsidRPr="00BB5519" w:rsidRDefault="000D4ECA" w:rsidP="000D4ECA">
      <w:pPr>
        <w:spacing w:after="60"/>
        <w:rPr>
          <w:lang w:val="de-DE"/>
        </w:rPr>
      </w:pPr>
      <w:r w:rsidRPr="00BB5519">
        <w:rPr>
          <w:rFonts w:cs="Tahoma"/>
          <w:szCs w:val="20"/>
          <w:u w:val="single"/>
          <w:lang w:val="de-DE"/>
        </w:rPr>
        <w:t>+600 Visio Standard SA</w:t>
      </w:r>
      <w:r w:rsidRPr="00BB5519">
        <w:rPr>
          <w:rFonts w:cs="Tahoma"/>
          <w:szCs w:val="20"/>
          <w:u w:val="single"/>
          <w:lang w:val="de-DE"/>
        </w:rPr>
        <w:tab/>
      </w:r>
    </w:p>
    <w:p w:rsidR="000D4ECA" w:rsidRPr="00BB5519" w:rsidRDefault="000D4ECA" w:rsidP="000D4ECA">
      <w:pPr>
        <w:spacing w:after="60"/>
        <w:rPr>
          <w:lang w:val="de-DE"/>
        </w:rPr>
      </w:pPr>
      <w:r w:rsidRPr="00BB5519">
        <w:rPr>
          <w:rFonts w:cs="Tahoma"/>
          <w:szCs w:val="20"/>
          <w:lang w:val="de-DE"/>
        </w:rPr>
        <w:t xml:space="preserve">6.600 Office-Anwendungs- und/oder Serverlizenzpunkte mit SA = 10 Tage </w:t>
      </w:r>
    </w:p>
    <w:p w:rsidR="000D4ECA" w:rsidRPr="00BB5519" w:rsidRDefault="000D4ECA" w:rsidP="000D4ECA">
      <w:pPr>
        <w:spacing w:after="60"/>
      </w:pPr>
      <w:r w:rsidRPr="00BB5519">
        <w:rPr>
          <w:rFonts w:cs="Tahoma"/>
          <w:szCs w:val="20"/>
        </w:rPr>
        <w:t>7.000 CAL-Suite-Punkte mit SA = 3 Tage</w:t>
      </w:r>
    </w:p>
    <w:p w:rsidR="000D4ECA" w:rsidRPr="00BB5519" w:rsidRDefault="000D4ECA" w:rsidP="002C1048">
      <w:pPr>
        <w:numPr>
          <w:ilvl w:val="0"/>
          <w:numId w:val="89"/>
        </w:numPr>
        <w:spacing w:after="60"/>
        <w:ind w:left="720"/>
      </w:pPr>
      <w:r w:rsidRPr="00BB5519">
        <w:rPr>
          <w:rFonts w:cs="Tahoma"/>
          <w:szCs w:val="20"/>
        </w:rPr>
        <w:t>Insgesamt 13 Planning Services-Tage</w:t>
      </w:r>
    </w:p>
    <w:p w:rsidR="000D4ECA" w:rsidRPr="00BB5519" w:rsidRDefault="000D4ECA" w:rsidP="000D4ECA">
      <w:pPr>
        <w:spacing w:after="60"/>
      </w:pPr>
      <w:r w:rsidRPr="00BB5519">
        <w:rPr>
          <w:rFonts w:cs="Tahoma"/>
          <w:szCs w:val="20"/>
        </w:rPr>
        <w:t>ECI-Beitritt mit:</w:t>
      </w:r>
    </w:p>
    <w:p w:rsidR="00316AE2" w:rsidRPr="00BB5519" w:rsidRDefault="00316AE2" w:rsidP="00316AE2">
      <w:pPr>
        <w:spacing w:after="60"/>
      </w:pPr>
      <w:r w:rsidRPr="00BB5519">
        <w:rPr>
          <w:rFonts w:cs="Tahoma"/>
          <w:szCs w:val="20"/>
        </w:rPr>
        <w:lastRenderedPageBreak/>
        <w:t xml:space="preserve">100 ECI Datacenter </w:t>
      </w:r>
    </w:p>
    <w:p w:rsidR="00316AE2" w:rsidRPr="00BB5519" w:rsidRDefault="00316AE2" w:rsidP="002C1048">
      <w:pPr>
        <w:numPr>
          <w:ilvl w:val="0"/>
          <w:numId w:val="89"/>
        </w:numPr>
        <w:spacing w:after="60"/>
        <w:ind w:left="720"/>
      </w:pPr>
      <w:r w:rsidRPr="00BB5519">
        <w:rPr>
          <w:rFonts w:cs="Tahoma"/>
          <w:szCs w:val="20"/>
        </w:rPr>
        <w:t>100 Windows Server Datacenter Edition (x je 75 Punkte x 2-Punkte-Multiplikator = 15.000 Punkte)</w:t>
      </w:r>
    </w:p>
    <w:p w:rsidR="00316AE2" w:rsidRPr="00BB5519" w:rsidRDefault="00316AE2" w:rsidP="002C1048">
      <w:pPr>
        <w:numPr>
          <w:ilvl w:val="0"/>
          <w:numId w:val="89"/>
        </w:numPr>
        <w:spacing w:after="60"/>
        <w:ind w:left="720"/>
      </w:pPr>
      <w:r w:rsidRPr="00BB5519">
        <w:rPr>
          <w:rFonts w:cs="Tahoma"/>
          <w:szCs w:val="20"/>
          <w:u w:val="single"/>
        </w:rPr>
        <w:t>100 System Center 2012 Datacenter Edition (x je 75 Punkte x 2-Punkte-Multiplikator = 15.000 Punkte)</w:t>
      </w:r>
    </w:p>
    <w:p w:rsidR="000D4ECA" w:rsidRPr="00BB5519" w:rsidRDefault="00316AE2" w:rsidP="00697E59">
      <w:pPr>
        <w:spacing w:after="60"/>
        <w:ind w:firstLine="360"/>
        <w:rPr>
          <w:lang w:val="de-DE"/>
        </w:rPr>
      </w:pPr>
      <w:r w:rsidRPr="00BB5519">
        <w:rPr>
          <w:rFonts w:cs="Tahoma"/>
          <w:szCs w:val="20"/>
          <w:lang w:val="de-DE"/>
        </w:rPr>
        <w:t>30.000 Office-Anwendungs- und/oder Serverlizenzpunkte mit SA = 15 Tage</w:t>
      </w:r>
    </w:p>
    <w:p w:rsidR="00697E59" w:rsidRPr="00BB5519" w:rsidRDefault="00697E59" w:rsidP="00077CE5">
      <w:pPr>
        <w:ind w:firstLine="360"/>
        <w:rPr>
          <w:lang w:val="de-DE"/>
        </w:rPr>
      </w:pPr>
    </w:p>
    <w:p w:rsidR="00023FE7" w:rsidRPr="00BB5519" w:rsidRDefault="00023FE7" w:rsidP="000E3562">
      <w:pPr>
        <w:pStyle w:val="AppendixBodyText"/>
        <w:spacing w:after="0"/>
        <w:rPr>
          <w:lang w:val="de-DE"/>
        </w:rPr>
      </w:pPr>
      <w:r w:rsidRPr="00BB5519">
        <w:rPr>
          <w:rFonts w:ascii="Tahoma" w:hAnsi="Tahoma" w:cs="Tahoma"/>
          <w:sz w:val="18"/>
          <w:lang w:val="de-DE"/>
        </w:rP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w:t>
      </w:r>
      <w:r w:rsidR="000E3562">
        <w:rPr>
          <w:rFonts w:ascii="Tahoma" w:hAnsi="Tahoma" w:cs="Tahoma"/>
          <w:sz w:val="18"/>
          <w:lang w:val="de-DE"/>
        </w:rPr>
        <w:t> </w:t>
      </w:r>
      <w:r w:rsidRPr="00BB5519">
        <w:rPr>
          <w:rFonts w:ascii="Tahoma" w:hAnsi="Tahoma" w:cs="Tahoma"/>
          <w:sz w:val="18"/>
          <w:lang w:val="de-DE"/>
        </w:rPr>
        <w:t>Trainingsgutschein-Vergünstigung, die umgewandelt werden können.</w:t>
      </w:r>
      <w:r w:rsidR="009E4976" w:rsidRPr="00BB5519">
        <w:rPr>
          <w:rFonts w:ascii="Tahoma" w:hAnsi="Tahoma" w:cs="Tahoma"/>
          <w:sz w:val="18"/>
          <w:lang w:val="de-DE"/>
        </w:rPr>
        <w:t xml:space="preserve"> </w:t>
      </w:r>
      <w:r w:rsidRPr="00BB5519">
        <w:rPr>
          <w:rFonts w:ascii="Tahoma" w:hAnsi="Tahoma" w:cs="Tahoma"/>
          <w:sz w:val="18"/>
          <w:lang w:val="de-DE"/>
        </w:rPr>
        <w:t>Berechtigte Kunden können nicht in Anspruch</w:t>
      </w:r>
      <w:r w:rsidR="0083608D">
        <w:rPr>
          <w:rFonts w:ascii="Tahoma" w:hAnsi="Tahoma" w:cs="Tahoma"/>
          <w:sz w:val="18"/>
          <w:lang w:val="de-DE"/>
        </w:rPr>
        <w:t> </w:t>
      </w:r>
      <w:r w:rsidRPr="00BB5519">
        <w:rPr>
          <w:rFonts w:ascii="Tahoma" w:hAnsi="Tahoma" w:cs="Tahoma"/>
          <w:sz w:val="18"/>
          <w:lang w:val="de-DE"/>
        </w:rPr>
        <w:t xml:space="preserve">genommene Trainingsgutschein-Tage im Verhältnis 3:1 in Planning Service-Tage umwandeln (drei Trainingsgutschein-Tage = ein Planning Services-Tag). </w:t>
      </w:r>
      <w:r w:rsidRPr="00BB5519">
        <w:rPr>
          <w:rFonts w:ascii="Tahoma" w:hAnsi="Tahoma" w:cs="Tahoma"/>
          <w:bCs/>
          <w:sz w:val="18"/>
          <w:lang w:val="de-DE"/>
        </w:rPr>
        <w:t>(HINWEIS: Kunden, die ihre Trainingsgutschein-Tage für</w:t>
      </w:r>
      <w:r w:rsidR="000E3562">
        <w:rPr>
          <w:rFonts w:ascii="Tahoma" w:hAnsi="Tahoma" w:cs="Tahoma"/>
          <w:bCs/>
          <w:sz w:val="18"/>
          <w:lang w:val="de-DE"/>
        </w:rPr>
        <w:t> </w:t>
      </w:r>
      <w:r w:rsidRPr="00BB5519">
        <w:rPr>
          <w:rFonts w:ascii="Tahoma" w:hAnsi="Tahoma" w:cs="Tahoma"/>
          <w:bCs/>
          <w:sz w:val="18"/>
          <w:lang w:val="de-DE"/>
        </w:rPr>
        <w:t xml:space="preserve">Planning Services verwenden möchten, sollten mit diesen Tagen keine Trainingsgutscheine erstellen.) [Im Allgemeinen können </w:t>
      </w:r>
      <w:r w:rsidRPr="00BB5519">
        <w:rPr>
          <w:rFonts w:ascii="Tahoma" w:hAnsi="Tahoma" w:cs="Tahoma"/>
          <w:sz w:val="18"/>
          <w:lang w:val="de-DE"/>
        </w:rPr>
        <w:t>Planning</w:t>
      </w:r>
      <w:r w:rsidRPr="00BB5519">
        <w:rPr>
          <w:rFonts w:ascii="Tahoma" w:hAnsi="Tahoma" w:cs="Tahoma"/>
          <w:bCs/>
          <w:sz w:val="18"/>
          <w:lang w:val="de-DE"/>
        </w:rPr>
        <w:t xml:space="preserve"> Services-Tage nicht in Trainingsgutschein-Tage umgewandelt werden.] Wenn jedoch</w:t>
      </w:r>
      <w:r w:rsidR="000E3562">
        <w:rPr>
          <w:rFonts w:ascii="Tahoma" w:hAnsi="Tahoma" w:cs="Tahoma"/>
          <w:bCs/>
          <w:sz w:val="18"/>
          <w:lang w:val="de-DE"/>
        </w:rPr>
        <w:t> </w:t>
      </w:r>
      <w:r w:rsidRPr="00BB5519">
        <w:rPr>
          <w:rFonts w:ascii="Tahoma" w:hAnsi="Tahoma" w:cs="Tahoma"/>
          <w:bCs/>
          <w:sz w:val="18"/>
          <w:lang w:val="de-DE"/>
        </w:rPr>
        <w:t>ein Kunde die Umwandlung von Trainingsgutschein-Tagen rückgängig machen möchte, können die Planning</w:t>
      </w:r>
      <w:r w:rsidR="000E3562">
        <w:rPr>
          <w:rFonts w:ascii="Tahoma" w:hAnsi="Tahoma" w:cs="Tahoma"/>
          <w:bCs/>
          <w:sz w:val="18"/>
          <w:lang w:val="de-DE"/>
        </w:rPr>
        <w:t> </w:t>
      </w:r>
      <w:r w:rsidRPr="00BB5519">
        <w:rPr>
          <w:rFonts w:ascii="Tahoma" w:hAnsi="Tahoma" w:cs="Tahoma"/>
          <w:bCs/>
          <w:sz w:val="18"/>
          <w:lang w:val="de-DE"/>
        </w:rPr>
        <w:t>Services-Tage wieder in Trainingsgutschein-Tage umgewandelt werden. Nach der Umwandlung von Trainingsgutschein-Tagen in Planning Services-Tage erscheinen die Planning Services-Tage im Pool der Planning Services-Tage des Kunden.</w:t>
      </w:r>
      <w:r w:rsidR="009E4976" w:rsidRPr="00BB5519">
        <w:rPr>
          <w:rFonts w:ascii="Tahoma" w:hAnsi="Tahoma" w:cs="Tahoma"/>
          <w:bCs/>
          <w:sz w:val="18"/>
          <w:lang w:val="de-DE"/>
        </w:rPr>
        <w:t xml:space="preserve"> </w:t>
      </w:r>
      <w:r w:rsidRPr="00BB5519">
        <w:rPr>
          <w:rFonts w:ascii="Tahoma" w:hAnsi="Tahoma" w:cs="Tahoma"/>
          <w:bCs/>
          <w:sz w:val="18"/>
          <w:lang w:val="de-DE"/>
        </w:rPr>
        <w:t>Mit diesen Tagen können dann Gutscheine für verfügbare Services (wie DDPS oder SDPS) erstellt werden.</w:t>
      </w:r>
      <w:r w:rsidR="009E4976" w:rsidRPr="00BB5519">
        <w:rPr>
          <w:rFonts w:ascii="Tahoma" w:hAnsi="Tahoma" w:cs="Tahoma"/>
          <w:bCs/>
          <w:sz w:val="18"/>
          <w:lang w:val="de-DE"/>
        </w:rPr>
        <w:t xml:space="preserve"> </w:t>
      </w:r>
      <w:r w:rsidRPr="00BB5519">
        <w:rPr>
          <w:rFonts w:ascii="Tahoma" w:hAnsi="Tahoma" w:cs="Tahoma"/>
          <w:bCs/>
          <w:sz w:val="18"/>
          <w:lang w:val="de-DE"/>
        </w:rPr>
        <w:t>*Die Berechtigung von Kunden, Tage zurück in Trainingsgutschein-Tage umzuwandeln, ist durch die Anzahl von Tagen, die auf der Stufe der Planning Services-Tage verfügbar sind, begrenzt.</w:t>
      </w:r>
      <w:r w:rsidR="009E4976" w:rsidRPr="00BB5519">
        <w:rPr>
          <w:rFonts w:ascii="Tahoma" w:hAnsi="Tahoma" w:cs="Tahoma"/>
          <w:bCs/>
          <w:sz w:val="18"/>
          <w:lang w:val="de-DE"/>
        </w:rPr>
        <w:t xml:space="preserve"> </w:t>
      </w:r>
      <w:r w:rsidRPr="00BB5519">
        <w:rPr>
          <w:rFonts w:ascii="Tahoma" w:hAnsi="Tahoma" w:cs="Tahoma"/>
          <w:bCs/>
          <w:sz w:val="18"/>
          <w:lang w:val="de-DE"/>
        </w:rPr>
        <w:t>Wenn ein Kunde 10 Tage zurückumwandeln möchte, sich jedoch nur 8 Planning Services-Tage in seinem Pool befinden, kann der Kunde nur 8</w:t>
      </w:r>
      <w:r w:rsidR="000E3562">
        <w:rPr>
          <w:rFonts w:ascii="Tahoma" w:hAnsi="Tahoma" w:cs="Tahoma"/>
          <w:bCs/>
          <w:sz w:val="18"/>
          <w:lang w:val="de-DE"/>
        </w:rPr>
        <w:t> </w:t>
      </w:r>
      <w:r w:rsidRPr="00BB5519">
        <w:rPr>
          <w:rFonts w:ascii="Tahoma" w:hAnsi="Tahoma" w:cs="Tahoma"/>
          <w:bCs/>
          <w:sz w:val="18"/>
          <w:lang w:val="de-DE"/>
        </w:rPr>
        <w:t>Tage zurückumwandeln.</w:t>
      </w:r>
      <w:r w:rsidR="009E4976" w:rsidRPr="00BB5519">
        <w:rPr>
          <w:rFonts w:ascii="Tahoma" w:hAnsi="Tahoma" w:cs="Tahoma"/>
          <w:bCs/>
          <w:sz w:val="18"/>
          <w:lang w:val="de-DE"/>
        </w:rPr>
        <w:t xml:space="preserve"> </w:t>
      </w:r>
    </w:p>
    <w:p w:rsidR="00F528E5" w:rsidRPr="00BB5519" w:rsidRDefault="00F528E5" w:rsidP="00F528E5">
      <w:pPr>
        <w:pStyle w:val="AppendixBodyText"/>
        <w:spacing w:after="0"/>
        <w:rPr>
          <w:lang w:val="de-DE"/>
        </w:rPr>
      </w:pPr>
    </w:p>
    <w:p w:rsidR="00023FE7" w:rsidRPr="00BB5519" w:rsidRDefault="00023FE7" w:rsidP="00F528E5">
      <w:pPr>
        <w:pStyle w:val="AppendixBodyText"/>
        <w:spacing w:after="0"/>
        <w:rPr>
          <w:lang w:val="de-DE"/>
        </w:rPr>
      </w:pPr>
      <w:r w:rsidRPr="00BB5519">
        <w:rPr>
          <w:rFonts w:ascii="Tahoma" w:hAnsi="Tahoma" w:cs="Tahoma"/>
          <w:bCs/>
          <w:sz w:val="18"/>
          <w:lang w:val="de-DE"/>
        </w:rP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rsidR="00023FE7" w:rsidRPr="00BB5519" w:rsidRDefault="00023FE7" w:rsidP="00077CE5">
      <w:pPr>
        <w:pStyle w:val="AppendixBodyText"/>
        <w:spacing w:after="0"/>
        <w:rPr>
          <w:lang w:val="de-DE"/>
        </w:rPr>
      </w:pPr>
    </w:p>
    <w:p w:rsidR="00023FE7" w:rsidRPr="00BB5519" w:rsidRDefault="000D4ECA">
      <w:pPr>
        <w:pStyle w:val="AppendixBodyText"/>
        <w:rPr>
          <w:lang w:val="de-DE"/>
        </w:rPr>
      </w:pPr>
      <w:r w:rsidRPr="00BB5519">
        <w:rPr>
          <w:rFonts w:ascii="Tahoma" w:hAnsi="Tahoma" w:cs="Tahoma"/>
          <w:sz w:val="18"/>
          <w:lang w:val="de-DE"/>
        </w:rPr>
        <w:t>Planning Services können dem Kunden durch qualifizierte Microsoft-Partner oder Microsoft Consulting Services bereitgestellt werden.</w:t>
      </w:r>
      <w:r w:rsidR="009E4976" w:rsidRPr="00BB5519">
        <w:rPr>
          <w:rFonts w:ascii="Tahoma" w:hAnsi="Tahoma" w:cs="Tahoma"/>
          <w:sz w:val="18"/>
          <w:lang w:val="de-DE"/>
        </w:rPr>
        <w:t xml:space="preserve"> </w:t>
      </w:r>
      <w:r w:rsidRPr="00BB5519">
        <w:rPr>
          <w:rFonts w:ascii="Tahoma" w:hAnsi="Tahoma" w:cs="Tahoma"/>
          <w:sz w:val="18"/>
          <w:lang w:val="de-DE"/>
        </w:rPr>
        <w:t xml:space="preserve">Kunden können die Liste Qualifizierter Anbieter unter folgender Adresse einsehen: </w:t>
      </w:r>
      <w:r w:rsidRPr="00994BD3">
        <w:rPr>
          <w:rFonts w:ascii="Tahoma" w:hAnsi="Tahoma" w:cs="Tahoma"/>
          <w:sz w:val="18"/>
          <w:lang w:val="de-DE"/>
        </w:rPr>
        <w:t>http://directory.partners.extranet.microsoft.com/psbproviders</w:t>
      </w:r>
      <w:r w:rsidR="009E4976" w:rsidRPr="00BB5519">
        <w:rPr>
          <w:rFonts w:ascii="Tahoma" w:hAnsi="Tahoma" w:cs="Tahoma"/>
          <w:sz w:val="18"/>
          <w:lang w:val="de-DE"/>
        </w:rPr>
        <w:t xml:space="preserve"> </w:t>
      </w:r>
    </w:p>
    <w:p w:rsidR="00EC05F0" w:rsidRPr="00BB5519" w:rsidRDefault="00EC05F0">
      <w:pPr>
        <w:rPr>
          <w:lang w:val="de-DE"/>
        </w:rPr>
      </w:pPr>
    </w:p>
    <w:p w:rsidR="00023FE7" w:rsidRPr="00BB5519" w:rsidRDefault="000D4ECA" w:rsidP="005A141F">
      <w:pPr>
        <w:pStyle w:val="AppendixBodyText"/>
        <w:spacing w:after="0"/>
        <w:rPr>
          <w:lang w:val="de-DE"/>
        </w:rPr>
      </w:pPr>
      <w:r w:rsidRPr="00BB5519">
        <w:rPr>
          <w:rFonts w:ascii="Tahoma" w:hAnsi="Tahoma" w:cs="Tahoma"/>
          <w:sz w:val="18"/>
          <w:lang w:val="de-DE"/>
        </w:rPr>
        <w:t>Planning Services-Einsätze umfassen Beratung mit einem vorab festgelegten Leistungsumfang, aus der ein allgemeiner Bereitstellungsplan hervorgeht; die eigentliche Bereitstellung der Software kann nicht im Leistungsumfang berücksichtigt werden.</w:t>
      </w:r>
    </w:p>
    <w:p w:rsidR="00023FE7" w:rsidRPr="00BB5519" w:rsidRDefault="00023FE7" w:rsidP="005A141F">
      <w:pPr>
        <w:pStyle w:val="AppendixBodyText"/>
        <w:spacing w:after="0"/>
        <w:rPr>
          <w:lang w:val="de-DE"/>
        </w:rPr>
      </w:pPr>
    </w:p>
    <w:p w:rsidR="00AC1997" w:rsidRPr="00BB5519" w:rsidRDefault="000D4ECA" w:rsidP="002F529F">
      <w:pPr>
        <w:pStyle w:val="AppendixBodyText"/>
        <w:numPr>
          <w:ilvl w:val="0"/>
          <w:numId w:val="1"/>
        </w:numPr>
        <w:tabs>
          <w:tab w:val="clear" w:pos="720"/>
          <w:tab w:val="num" w:pos="1440"/>
        </w:tabs>
        <w:ind w:left="1440"/>
        <w:rPr>
          <w:lang w:val="de-DE"/>
        </w:rPr>
      </w:pPr>
      <w:r w:rsidRPr="00BB5519">
        <w:rPr>
          <w:rFonts w:ascii="Tahoma" w:hAnsi="Tahoma" w:cs="Tahoma"/>
          <w:bCs/>
          <w:sz w:val="18"/>
          <w:lang w:val="de-DE"/>
        </w:rPr>
        <w:t>Planning Services sind nicht in allen Sprachen verfügbar.</w:t>
      </w:r>
    </w:p>
    <w:p w:rsidR="00AC1997" w:rsidRPr="00BB5519" w:rsidRDefault="000D4ECA" w:rsidP="002F529F">
      <w:pPr>
        <w:pStyle w:val="AppendixBodyText"/>
        <w:numPr>
          <w:ilvl w:val="0"/>
          <w:numId w:val="1"/>
        </w:numPr>
        <w:tabs>
          <w:tab w:val="clear" w:pos="720"/>
          <w:tab w:val="num" w:pos="1440"/>
        </w:tabs>
        <w:ind w:left="1440"/>
        <w:rPr>
          <w:lang w:val="de-DE"/>
        </w:rPr>
      </w:pPr>
      <w:r w:rsidRPr="00BB5519">
        <w:rPr>
          <w:rFonts w:ascii="Tahoma" w:hAnsi="Tahoma" w:cs="Tahoma"/>
          <w:bCs/>
          <w:color w:val="000000"/>
          <w:sz w:val="18"/>
          <w:lang w:val="de-DE"/>
        </w:rPr>
        <w:t>Planning Services-Gutscheine können nur von dem Kunden eingelöst werden, der sich für die Vergünstigung qualifiziert hat.</w:t>
      </w:r>
    </w:p>
    <w:p w:rsidR="00AC1997" w:rsidRPr="00BB5519" w:rsidRDefault="000D4ECA" w:rsidP="002F529F">
      <w:pPr>
        <w:pStyle w:val="AppendixBodyText"/>
        <w:numPr>
          <w:ilvl w:val="0"/>
          <w:numId w:val="1"/>
        </w:numPr>
        <w:tabs>
          <w:tab w:val="clear" w:pos="720"/>
          <w:tab w:val="num" w:pos="1440"/>
        </w:tabs>
        <w:ind w:left="1440"/>
        <w:rPr>
          <w:lang w:val="de-DE"/>
        </w:rPr>
      </w:pPr>
      <w:r w:rsidRPr="00BB5519">
        <w:rPr>
          <w:rFonts w:ascii="Tahoma" w:hAnsi="Tahoma" w:cs="Tahoma"/>
          <w:bCs/>
          <w:color w:val="000000"/>
          <w:sz w:val="18"/>
          <w:lang w:val="de-DE"/>
        </w:rPr>
        <w:t>Planning Services-Gutscheine können nicht gegen Bargeld, Zahlungen oder andere entgeltliche Gegenleistungen eingetauscht werden.</w:t>
      </w:r>
    </w:p>
    <w:p w:rsidR="00AC1997" w:rsidRPr="00BB5519" w:rsidRDefault="00AC1997" w:rsidP="002F529F">
      <w:pPr>
        <w:pStyle w:val="AppendixBodyText"/>
        <w:numPr>
          <w:ilvl w:val="0"/>
          <w:numId w:val="1"/>
        </w:numPr>
        <w:tabs>
          <w:tab w:val="clear" w:pos="720"/>
          <w:tab w:val="num" w:pos="1440"/>
        </w:tabs>
        <w:ind w:left="1440"/>
        <w:rPr>
          <w:lang w:val="de-DE"/>
        </w:rPr>
      </w:pPr>
      <w:r w:rsidRPr="00BB5519">
        <w:rPr>
          <w:rFonts w:ascii="Tahoma" w:hAnsi="Tahoma" w:cs="Tahoma"/>
          <w:bCs/>
          <w:color w:val="000000"/>
          <w:sz w:val="18"/>
          <w:lang w:val="de-DE"/>
        </w:rPr>
        <w:t xml:space="preserve">Kunden, die daran interessiert sind, zusätzliche Services zu erwerben, die über </w:t>
      </w:r>
      <w:r w:rsidRPr="00BB5519">
        <w:rPr>
          <w:rFonts w:ascii="Tahoma" w:hAnsi="Tahoma" w:cs="Tahoma"/>
          <w:color w:val="000000"/>
          <w:sz w:val="18"/>
          <w:szCs w:val="18"/>
          <w:lang w:val="de-DE"/>
        </w:rPr>
        <w:t>den Umfang der Arbeit für den zugewiesenen Gutscheineinsatz (wie durch den Gutscheintyp und Servicelevel vorgegeben)</w:t>
      </w:r>
      <w:r w:rsidRPr="00BB5519">
        <w:rPr>
          <w:rFonts w:ascii="Tahoma" w:hAnsi="Tahoma" w:cs="Tahoma"/>
          <w:bCs/>
          <w:color w:val="000000"/>
          <w:sz w:val="18"/>
          <w:lang w:val="de-DE"/>
        </w:rPr>
        <w:t xml:space="preserve"> hinausgehen, können den Anbieter außerhalb dieses Programms bezahlen.</w:t>
      </w:r>
    </w:p>
    <w:p w:rsidR="00AC1997" w:rsidRPr="00BB5519" w:rsidRDefault="00AC1997" w:rsidP="008145A2">
      <w:pPr>
        <w:pStyle w:val="AppendixBodyText"/>
        <w:numPr>
          <w:ilvl w:val="0"/>
          <w:numId w:val="1"/>
        </w:numPr>
        <w:tabs>
          <w:tab w:val="clear" w:pos="720"/>
          <w:tab w:val="num" w:pos="1440"/>
        </w:tabs>
        <w:ind w:left="1440"/>
        <w:rPr>
          <w:lang w:val="de-DE"/>
        </w:rPr>
      </w:pPr>
      <w:r w:rsidRPr="00BB5519">
        <w:rPr>
          <w:rFonts w:ascii="Tahoma" w:hAnsi="Tahoma" w:cs="Tahoma"/>
          <w:color w:val="000000"/>
          <w:sz w:val="18"/>
          <w:lang w:val="de-DE"/>
        </w:rPr>
        <w:t>Durch Verringerung de</w:t>
      </w:r>
      <w:r w:rsidRPr="00BB5519">
        <w:rPr>
          <w:rFonts w:ascii="Tahoma" w:hAnsi="Tahoma" w:cs="Tahoma"/>
          <w:bCs/>
          <w:color w:val="000000"/>
          <w:sz w:val="18"/>
          <w:lang w:val="de-DE"/>
        </w:rPr>
        <w:t>s</w:t>
      </w:r>
      <w:r w:rsidRPr="00BB5519">
        <w:rPr>
          <w:rFonts w:ascii="Tahoma" w:hAnsi="Tahoma" w:cs="Tahoma"/>
          <w:color w:val="000000"/>
          <w:sz w:val="18"/>
          <w:lang w:val="de-DE"/>
        </w:rPr>
        <w:t xml:space="preserve"> qualifizierenden SA-Umfangs aufgrund von Rückgaben und</w:t>
      </w:r>
      <w:r w:rsidR="008145A2">
        <w:rPr>
          <w:rFonts w:ascii="Tahoma" w:hAnsi="Tahoma" w:cs="Tahoma"/>
          <w:color w:val="000000"/>
          <w:sz w:val="18"/>
          <w:lang w:val="de-DE"/>
        </w:rPr>
        <w:t xml:space="preserve"> anderen Abrechnungsanpassungen</w:t>
      </w:r>
      <w:r w:rsidRPr="00BB5519">
        <w:rPr>
          <w:rFonts w:ascii="Tahoma" w:hAnsi="Tahoma" w:cs="Tahoma"/>
          <w:color w:val="000000"/>
          <w:sz w:val="18"/>
          <w:lang w:val="de-DE"/>
        </w:rPr>
        <w:t xml:space="preserve"> sofern zulässig, </w:t>
      </w:r>
      <w:r w:rsidRPr="00BB5519">
        <w:rPr>
          <w:rFonts w:ascii="Tahoma" w:hAnsi="Tahoma" w:cs="Tahoma"/>
          <w:bCs/>
          <w:color w:val="000000"/>
          <w:sz w:val="18"/>
          <w:lang w:val="de-DE"/>
        </w:rPr>
        <w:t>kann</w:t>
      </w:r>
      <w:r w:rsidRPr="00BB5519">
        <w:rPr>
          <w:rFonts w:ascii="Tahoma" w:hAnsi="Tahoma" w:cs="Tahoma"/>
          <w:color w:val="000000"/>
          <w:sz w:val="18"/>
          <w:lang w:val="de-DE"/>
        </w:rPr>
        <w:t xml:space="preserve"> die Anzahl der Tage des Planning Services-Anspruchs des Kunden verringert </w:t>
      </w:r>
      <w:r w:rsidRPr="00BB5519">
        <w:rPr>
          <w:rFonts w:ascii="Tahoma" w:hAnsi="Tahoma" w:cs="Tahoma"/>
          <w:bCs/>
          <w:color w:val="000000"/>
          <w:sz w:val="18"/>
          <w:lang w:val="de-DE"/>
        </w:rPr>
        <w:t>werden.</w:t>
      </w:r>
    </w:p>
    <w:p w:rsidR="00762183" w:rsidRPr="00BB5519" w:rsidRDefault="00AC1997" w:rsidP="002F529F">
      <w:pPr>
        <w:pStyle w:val="AppendixBodyText"/>
        <w:numPr>
          <w:ilvl w:val="0"/>
          <w:numId w:val="24"/>
        </w:numPr>
        <w:tabs>
          <w:tab w:val="num" w:pos="1440"/>
        </w:tabs>
        <w:ind w:left="1440"/>
      </w:pPr>
      <w:r w:rsidRPr="00BB5519">
        <w:rPr>
          <w:rFonts w:ascii="Tahoma" w:hAnsi="Tahoma" w:cs="Tahoma"/>
          <w:bCs/>
          <w:color w:val="000000"/>
          <w:sz w:val="18"/>
          <w:lang w:val="de-DE"/>
        </w:rPr>
        <w:t xml:space="preserve">Gutscheine sind nur mit </w:t>
      </w:r>
      <w:r w:rsidRPr="00BB5519">
        <w:rPr>
          <w:rFonts w:ascii="Tahoma" w:hAnsi="Tahoma" w:cs="Tahoma"/>
          <w:color w:val="000000"/>
          <w:sz w:val="18"/>
          <w:lang w:val="de-DE"/>
        </w:rPr>
        <w:t xml:space="preserve">qualifizierten Anbietern </w:t>
      </w:r>
      <w:r w:rsidRPr="00BB5519">
        <w:rPr>
          <w:rFonts w:ascii="Tahoma" w:hAnsi="Tahoma" w:cs="Tahoma"/>
          <w:bCs/>
          <w:color w:val="000000"/>
          <w:sz w:val="18"/>
          <w:lang w:val="de-DE"/>
        </w:rPr>
        <w:t xml:space="preserve">für den jeweiligen Servicetyp gültig, für den der Gutschein </w:t>
      </w:r>
      <w:r w:rsidRPr="00BB5519">
        <w:rPr>
          <w:rFonts w:ascii="Tahoma" w:hAnsi="Tahoma" w:cs="Tahoma"/>
          <w:bCs/>
          <w:color w:val="000000"/>
          <w:sz w:val="18"/>
          <w:szCs w:val="18"/>
          <w:lang w:val="de-DE"/>
        </w:rPr>
        <w:t xml:space="preserve">eingelöst wird. </w:t>
      </w:r>
      <w:r w:rsidRPr="00BB5519">
        <w:rPr>
          <w:rFonts w:ascii="Tahoma" w:hAnsi="Tahoma" w:cs="Tahoma"/>
          <w:color w:val="000000"/>
          <w:sz w:val="18"/>
          <w:szCs w:val="18"/>
          <w:lang w:val="de-DE"/>
        </w:rPr>
        <w:t xml:space="preserve">Der Gutschein kann bei jedem qualifizierten Anbieter weltweit eingesetzt werden. </w:t>
      </w:r>
      <w:r w:rsidRPr="00BB5519">
        <w:rPr>
          <w:rFonts w:ascii="Tahoma" w:hAnsi="Tahoma" w:cs="Tahoma"/>
          <w:color w:val="000000"/>
          <w:sz w:val="18"/>
          <w:szCs w:val="18"/>
        </w:rPr>
        <w:t>Die Teilnahme kann unterschiedlich sein.</w:t>
      </w:r>
    </w:p>
    <w:p w:rsidR="0083748D" w:rsidRPr="00BB5519" w:rsidRDefault="0083748D" w:rsidP="002F529F">
      <w:pPr>
        <w:pStyle w:val="AppendixBodyText"/>
        <w:numPr>
          <w:ilvl w:val="0"/>
          <w:numId w:val="1"/>
        </w:numPr>
        <w:tabs>
          <w:tab w:val="clear" w:pos="720"/>
          <w:tab w:val="num" w:pos="1440"/>
        </w:tabs>
        <w:ind w:left="1440"/>
        <w:rPr>
          <w:lang w:val="de-DE"/>
        </w:rPr>
      </w:pPr>
      <w:r w:rsidRPr="00BB5519">
        <w:rPr>
          <w:rFonts w:ascii="Tahoma" w:hAnsi="Tahoma" w:cs="Tahoma"/>
          <w:color w:val="000000"/>
          <w:sz w:val="18"/>
          <w:szCs w:val="18"/>
          <w:lang w:val="de-DE"/>
        </w:rPr>
        <w:t>Gutscheine müssen während der Software Assurance-Laufzeit zugewiesen werden.</w:t>
      </w:r>
    </w:p>
    <w:p w:rsidR="0083748D" w:rsidRPr="00BB5519" w:rsidRDefault="0083748D" w:rsidP="002F529F">
      <w:pPr>
        <w:pStyle w:val="AppendixBodyText"/>
        <w:numPr>
          <w:ilvl w:val="0"/>
          <w:numId w:val="1"/>
        </w:numPr>
        <w:tabs>
          <w:tab w:val="clear" w:pos="720"/>
          <w:tab w:val="num" w:pos="1440"/>
        </w:tabs>
        <w:ind w:left="1440"/>
        <w:rPr>
          <w:lang w:val="de-DE"/>
        </w:rPr>
      </w:pPr>
      <w:r w:rsidRPr="00BB5519">
        <w:rPr>
          <w:rFonts w:ascii="Tahoma" w:hAnsi="Tahoma" w:cs="Tahoma"/>
          <w:color w:val="000000"/>
          <w:sz w:val="18"/>
          <w:szCs w:val="18"/>
          <w:lang w:val="de-DE"/>
        </w:rP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w:t>
      </w:r>
    </w:p>
    <w:p w:rsidR="00AC1997" w:rsidRPr="00BB5519" w:rsidRDefault="00AC1997" w:rsidP="002F529F">
      <w:pPr>
        <w:pStyle w:val="AppendixBodyText"/>
        <w:numPr>
          <w:ilvl w:val="0"/>
          <w:numId w:val="21"/>
        </w:numPr>
        <w:tabs>
          <w:tab w:val="num" w:pos="1440"/>
        </w:tabs>
        <w:rPr>
          <w:lang w:val="de-DE"/>
        </w:rPr>
      </w:pPr>
      <w:r w:rsidRPr="00BB5519">
        <w:rPr>
          <w:rFonts w:ascii="Tahoma" w:hAnsi="Tahoma" w:cs="Tahoma"/>
          <w:bCs/>
          <w:color w:val="000000"/>
          <w:sz w:val="18"/>
          <w:szCs w:val="18"/>
          <w:lang w:val="de-DE"/>
        </w:rPr>
        <w:t>Microsoft ist nicht</w:t>
      </w:r>
      <w:r w:rsidRPr="00BB5519">
        <w:rPr>
          <w:rFonts w:ascii="Tahoma" w:hAnsi="Tahoma" w:cs="Tahoma"/>
          <w:bCs/>
          <w:color w:val="000000"/>
          <w:sz w:val="18"/>
          <w:lang w:val="de-DE"/>
        </w:rPr>
        <w:t xml:space="preserve"> für verlorene, gestohlene, verlegte oder missbrauchte Gutscheine verantwortlich.</w:t>
      </w:r>
    </w:p>
    <w:p w:rsidR="00AC1997" w:rsidRPr="00BB5519" w:rsidRDefault="00AC1997" w:rsidP="002F529F">
      <w:pPr>
        <w:pStyle w:val="AppendixBodyText"/>
        <w:numPr>
          <w:ilvl w:val="0"/>
          <w:numId w:val="21"/>
        </w:numPr>
        <w:tabs>
          <w:tab w:val="num" w:pos="1440"/>
        </w:tabs>
        <w:rPr>
          <w:lang w:val="de-DE"/>
        </w:rPr>
      </w:pPr>
      <w:r w:rsidRPr="00BB5519">
        <w:rPr>
          <w:rFonts w:ascii="Tahoma" w:hAnsi="Tahoma" w:cs="Tahoma"/>
          <w:bCs/>
          <w:color w:val="000000"/>
          <w:sz w:val="18"/>
          <w:lang w:val="de-DE"/>
        </w:rPr>
        <w:lastRenderedPageBreak/>
        <w:t xml:space="preserve">Im Rahmen von Gutscheinen erbrachte Services </w:t>
      </w:r>
      <w:r w:rsidRPr="00BB5519">
        <w:rPr>
          <w:rFonts w:ascii="Tahoma" w:hAnsi="Tahoma" w:cs="Tahoma"/>
          <w:color w:val="000000"/>
          <w:sz w:val="18"/>
          <w:lang w:val="de-DE"/>
        </w:rPr>
        <w:t>werden unter einem Vertrag zwischen dem Kunden und dem Qualifizierten Anbieter erbracht; Microsoft ist für Arbeiten oder Versäumnisse seitens des Qualifizierten Anbieters im Zusammenhang mit den Services nicht verantwortlich.</w:t>
      </w:r>
    </w:p>
    <w:p w:rsidR="00F643B6" w:rsidRPr="00BB5519" w:rsidRDefault="00AC1997" w:rsidP="002C1048">
      <w:pPr>
        <w:pStyle w:val="AppendixBodyText"/>
        <w:numPr>
          <w:ilvl w:val="0"/>
          <w:numId w:val="90"/>
        </w:numPr>
        <w:rPr>
          <w:lang w:val="de-DE"/>
        </w:rPr>
      </w:pPr>
      <w:r w:rsidRPr="00BB5519">
        <w:rPr>
          <w:rFonts w:ascii="Tahoma" w:hAnsi="Tahoma" w:cs="Tahoma"/>
          <w:bCs/>
          <w:color w:val="000000"/>
          <w:sz w:val="18"/>
          <w:lang w:val="de-DE"/>
        </w:rPr>
        <w:t>Durch Annahme eines Planning Services-Einsatzes erkennen Kunden an,</w:t>
      </w:r>
      <w:r w:rsidRPr="00BB5519">
        <w:rPr>
          <w:rFonts w:ascii="Tahoma" w:hAnsi="Tahoma" w:cs="Tahoma"/>
          <w:bCs/>
          <w:sz w:val="18"/>
          <w:lang w:val="de-DE"/>
        </w:rPr>
        <w:t xml:space="preserve"> dass sie nach Abschluss der Leistung zu Qualitätssicherungszwecken einen Fragebogen erhalten.</w:t>
      </w:r>
    </w:p>
    <w:p w:rsidR="0008036A" w:rsidRPr="00BB5519" w:rsidRDefault="00F643B6" w:rsidP="002C1048">
      <w:pPr>
        <w:pStyle w:val="AppendixBodyText"/>
        <w:numPr>
          <w:ilvl w:val="0"/>
          <w:numId w:val="90"/>
        </w:numPr>
        <w:rPr>
          <w:lang w:val="de-DE"/>
        </w:rPr>
      </w:pPr>
      <w:r w:rsidRPr="00BB5519">
        <w:rPr>
          <w:rFonts w:ascii="Tahoma" w:hAnsi="Tahoma" w:cs="Tahoma"/>
          <w:bCs/>
          <w:color w:val="000000"/>
          <w:sz w:val="18"/>
          <w:szCs w:val="18"/>
          <w:lang w:val="de-DE"/>
        </w:rPr>
        <w:t>In den Tabellen oben sind die verfügbaren Servicetage basierend auf einem Beitritt oder Vertrag für volle 3 Jahre aufgeführt.</w:t>
      </w:r>
      <w:r w:rsidR="009E4976" w:rsidRPr="00BB5519">
        <w:rPr>
          <w:rFonts w:ascii="Tahoma" w:hAnsi="Tahoma" w:cs="Tahoma"/>
          <w:bCs/>
          <w:color w:val="000000"/>
          <w:sz w:val="18"/>
          <w:szCs w:val="18"/>
          <w:lang w:val="de-DE"/>
        </w:rPr>
        <w:t xml:space="preserve"> </w:t>
      </w:r>
      <w:r w:rsidRPr="00BB5519">
        <w:rPr>
          <w:rFonts w:ascii="Tahoma" w:hAnsi="Tahoma" w:cs="Tahoma"/>
          <w:bCs/>
          <w:color w:val="000000"/>
          <w:sz w:val="18"/>
          <w:szCs w:val="18"/>
          <w:lang w:val="de-DE"/>
        </w:rPr>
        <w:t>Kunden, die Software Assurance für ein Jahr erwerben, e</w:t>
      </w:r>
      <w:r w:rsidRPr="00BB5519">
        <w:rPr>
          <w:rFonts w:ascii="Tahoma" w:hAnsi="Tahoma" w:cs="Tahoma"/>
          <w:color w:val="000000"/>
          <w:sz w:val="18"/>
          <w:szCs w:val="18"/>
          <w:lang w:val="de-DE"/>
        </w:rPr>
        <w:t>rhalten ein Drittel der angegebenen Anzahl von Servicetagen.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Kunden, die Software Assurance für zwei Jahre erwerben, erhalten zwei Drittel der angegebenen Anzahl von Servicetagen.</w:t>
      </w:r>
      <w:r w:rsidR="009E4976" w:rsidRPr="00BB5519">
        <w:rPr>
          <w:rFonts w:ascii="Tahoma" w:hAnsi="Tahoma" w:cs="Tahoma"/>
          <w:color w:val="000000"/>
          <w:sz w:val="18"/>
          <w:szCs w:val="18"/>
          <w:lang w:val="de-DE"/>
        </w:rPr>
        <w:t xml:space="preserve"> </w:t>
      </w:r>
    </w:p>
    <w:p w:rsidR="0008036A" w:rsidRPr="0083608D" w:rsidRDefault="0008036A" w:rsidP="005A141F">
      <w:pPr>
        <w:pStyle w:val="AppendixBodyText"/>
        <w:spacing w:after="0"/>
        <w:rPr>
          <w:rFonts w:ascii="Tahoma" w:hAnsi="Tahoma" w:cs="Tahoma"/>
          <w:sz w:val="18"/>
          <w:szCs w:val="18"/>
          <w:lang w:val="de-DE"/>
        </w:rPr>
      </w:pPr>
    </w:p>
    <w:p w:rsidR="00023FE7" w:rsidRPr="00BB5519" w:rsidRDefault="00023FE7">
      <w:pPr>
        <w:pStyle w:val="AppendixBodyText"/>
        <w:rPr>
          <w:lang w:val="de-DE"/>
        </w:rPr>
      </w:pPr>
      <w:r w:rsidRPr="00BB5519">
        <w:rPr>
          <w:rFonts w:ascii="Tahoma" w:hAnsi="Tahoma" w:cs="Tahoma"/>
          <w:bCs/>
          <w:color w:val="000000"/>
          <w:sz w:val="18"/>
          <w:lang w:val="de-DE"/>
        </w:rPr>
        <w:t>Fertiggestellte Arbeitsergebnisse, die vom Qualifizierten Anbieter am Ende des Einsatzes bei Microsoft eingereicht werden, können von Microsoft für Qualitätssicherungszwecke verwendet und für diesen Zweck an das Microsoft-Kundenteam weitergegeben werden.</w:t>
      </w:r>
    </w:p>
    <w:p w:rsidR="0083608D" w:rsidRPr="00D15040" w:rsidRDefault="0083608D" w:rsidP="0083608D">
      <w:pPr>
        <w:pStyle w:val="AppendixBodyText"/>
        <w:spacing w:after="0"/>
        <w:rPr>
          <w:rFonts w:ascii="Tahoma" w:hAnsi="Tahoma" w:cs="Tahoma"/>
          <w:sz w:val="18"/>
          <w:lang w:val="de-DE"/>
        </w:rPr>
      </w:pPr>
      <w:bookmarkStart w:id="787" w:name="_Toc328145999"/>
      <w:bookmarkStart w:id="788" w:name="_Toc336338230"/>
    </w:p>
    <w:p w:rsidR="00023FE7" w:rsidRPr="00EC2A0D" w:rsidRDefault="00023FE7">
      <w:pPr>
        <w:pStyle w:val="Heading3"/>
        <w:rPr>
          <w:rFonts w:ascii="Tahoma" w:hAnsi="Tahoma"/>
          <w:sz w:val="24"/>
          <w:lang w:val="de-DE"/>
        </w:rPr>
      </w:pPr>
      <w:bookmarkStart w:id="789" w:name="_Toc354054926"/>
      <w:r w:rsidRPr="00EC2A0D">
        <w:rPr>
          <w:rFonts w:ascii="Tahoma" w:hAnsi="Tahoma"/>
          <w:sz w:val="24"/>
          <w:lang w:val="de-DE"/>
        </w:rPr>
        <w:t>Windows 8 Enterprise</w:t>
      </w:r>
      <w:bookmarkEnd w:id="787"/>
      <w:bookmarkEnd w:id="788"/>
      <w:bookmarkEnd w:id="789"/>
      <w:r w:rsidRPr="00EC2A0D">
        <w:rPr>
          <w:rFonts w:ascii="Tahoma" w:hAnsi="Tahoma"/>
          <w:sz w:val="24"/>
          <w:lang w:val="de-DE"/>
        </w:rPr>
        <w:t xml:space="preserve"> </w:t>
      </w:r>
    </w:p>
    <w:p w:rsidR="0083608D" w:rsidRPr="00D15040" w:rsidRDefault="0083608D" w:rsidP="0083608D">
      <w:pPr>
        <w:pStyle w:val="AppendixBodyText"/>
        <w:spacing w:after="0"/>
        <w:rPr>
          <w:rFonts w:ascii="Tahoma" w:hAnsi="Tahoma" w:cs="Tahoma"/>
          <w:sz w:val="18"/>
          <w:lang w:val="de-DE"/>
        </w:rPr>
      </w:pPr>
    </w:p>
    <w:p w:rsidR="005A141F" w:rsidRPr="00BB5519" w:rsidRDefault="00324479" w:rsidP="005A141F">
      <w:pPr>
        <w:spacing w:after="60"/>
        <w:jc w:val="both"/>
        <w:rPr>
          <w:lang w:val="de-DE"/>
        </w:rPr>
      </w:pPr>
      <w:r w:rsidRPr="00BB5519">
        <w:rPr>
          <w:rFonts w:cs="Tahoma"/>
          <w:b/>
          <w:szCs w:val="18"/>
          <w:lang w:val="de-DE"/>
        </w:rPr>
        <w:t>Berechtigte Software Assurance-Kunden</w:t>
      </w:r>
    </w:p>
    <w:p w:rsidR="00324479" w:rsidRPr="00BB5519" w:rsidRDefault="00324479" w:rsidP="00324479">
      <w:pPr>
        <w:jc w:val="both"/>
        <w:rPr>
          <w:lang w:val="de-DE"/>
        </w:rPr>
      </w:pPr>
      <w:r w:rsidRPr="00BB5519">
        <w:rPr>
          <w:rFonts w:cs="Tahoma"/>
          <w:szCs w:val="18"/>
          <w:lang w:val="de-DE"/>
        </w:rPr>
        <w:t>Kunden mit aktiver Software Assurance für das Windows Desktop-Betriebssystem sind zu dieser Vergünstigung berechtigt. Mit Software Assurance für das Windows Desktop-Betriebssystem auf einem lizenzierten Gerät haben Kunden die Möglichkeit, Windows 8 Enterprise anstelle von Windows 8 Pro auf diesem Gerät zu verwenden.</w:t>
      </w:r>
    </w:p>
    <w:p w:rsidR="0083608D" w:rsidRPr="00D15040" w:rsidRDefault="0083608D" w:rsidP="0083608D">
      <w:pPr>
        <w:pStyle w:val="AppendixBodyText"/>
        <w:spacing w:after="0"/>
        <w:rPr>
          <w:rFonts w:ascii="Tahoma" w:hAnsi="Tahoma" w:cs="Tahoma"/>
          <w:sz w:val="18"/>
          <w:lang w:val="de-DE"/>
        </w:rPr>
      </w:pPr>
    </w:p>
    <w:p w:rsidR="00324479" w:rsidRPr="00BB5519" w:rsidRDefault="00324479" w:rsidP="00324479">
      <w:pPr>
        <w:jc w:val="both"/>
        <w:rPr>
          <w:lang w:val="de-DE"/>
        </w:rPr>
      </w:pPr>
      <w:r w:rsidRPr="00BB5519">
        <w:rPr>
          <w:rFonts w:cs="Tahoma"/>
          <w:szCs w:val="18"/>
          <w:lang w:val="de-DE"/>
        </w:rPr>
        <w:t xml:space="preserve">Berechtigte Software Assurance-Kunden verfügen über die Rechte zur Verwendung von Windows 8 Enterprise wie in den Produktbenutzungsrechten beschrieben. Kunden sind nicht berechtigt, Windows 8 Enterprise vom lizenzierten Gerät auf ein anderes Gerät zu verschieben, außer in Verbindung mit der zulässigen Neuzuweisung ihrer Software Assurance. </w:t>
      </w:r>
    </w:p>
    <w:p w:rsidR="0083608D" w:rsidRPr="00D15040" w:rsidRDefault="0083608D" w:rsidP="0083608D">
      <w:pPr>
        <w:pStyle w:val="AppendixBodyText"/>
        <w:spacing w:after="0"/>
        <w:rPr>
          <w:rFonts w:ascii="Tahoma" w:hAnsi="Tahoma" w:cs="Tahoma"/>
          <w:sz w:val="18"/>
          <w:lang w:val="de-DE"/>
        </w:rPr>
      </w:pPr>
    </w:p>
    <w:p w:rsidR="005A141F" w:rsidRPr="00BB5519" w:rsidRDefault="00324479" w:rsidP="005A141F">
      <w:pPr>
        <w:spacing w:after="60"/>
        <w:jc w:val="both"/>
        <w:rPr>
          <w:lang w:val="de-DE"/>
        </w:rPr>
      </w:pPr>
      <w:r w:rsidRPr="00BB5519">
        <w:rPr>
          <w:rFonts w:cs="Tahoma"/>
          <w:b/>
          <w:szCs w:val="18"/>
          <w:lang w:val="de-DE"/>
        </w:rPr>
        <w:t>Für Onlinedienste-Vergünstigungen berechtigte Kunden</w:t>
      </w:r>
    </w:p>
    <w:p w:rsidR="00324479" w:rsidRPr="00BB5519" w:rsidRDefault="0071258F" w:rsidP="00324479">
      <w:pPr>
        <w:jc w:val="both"/>
        <w:rPr>
          <w:lang w:val="de-DE"/>
        </w:rPr>
      </w:pPr>
      <w:r w:rsidRPr="00BB5519">
        <w:rPr>
          <w:rFonts w:cs="Tahoma"/>
          <w:szCs w:val="18"/>
          <w:lang w:val="de-DE"/>
        </w:rPr>
        <w:t>Windows Intune (Pro Gerät)-Kunden verfügen über die Rechte zur Verwendung von Windows 8 Enterprise wie in den Produktbenutzungsrechten beschrieben. Im Abschnitt „Produkthinweise“ dieser Produktliste finden Sie die Bestimmungen, die für den Erwerb und die Neuzuweisung von Windows Intune (Pro Gerät)-Lizenzen gelten.</w:t>
      </w:r>
    </w:p>
    <w:p w:rsidR="0083608D" w:rsidRPr="00D15040" w:rsidRDefault="0083608D" w:rsidP="0083608D">
      <w:pPr>
        <w:pStyle w:val="AppendixBodyText"/>
        <w:spacing w:after="0"/>
        <w:rPr>
          <w:rFonts w:ascii="Tahoma" w:hAnsi="Tahoma" w:cs="Tahoma"/>
          <w:sz w:val="18"/>
          <w:lang w:val="de-DE"/>
        </w:rPr>
      </w:pPr>
    </w:p>
    <w:p w:rsidR="00324479" w:rsidRPr="00BB5519" w:rsidRDefault="00324479" w:rsidP="00324479">
      <w:pPr>
        <w:spacing w:after="60"/>
        <w:rPr>
          <w:lang w:val="de-DE"/>
        </w:rPr>
      </w:pPr>
      <w:r w:rsidRPr="00BB5519">
        <w:rPr>
          <w:rFonts w:cs="Tahoma"/>
          <w:szCs w:val="18"/>
          <w:lang w:val="de-DE"/>
        </w:rPr>
        <w:t>Software Assurance- und Windows Intune (Pro Gerät)-Kunden sind berechtigt, die MUI-Edition von früheren Versionen des Windows Desktop-Betriebssystems anstelle von Windows 8 Enterprise zu verwenden.</w:t>
      </w:r>
    </w:p>
    <w:p w:rsidR="0083608D" w:rsidRPr="0083608D" w:rsidRDefault="0083608D" w:rsidP="0083608D">
      <w:pPr>
        <w:pStyle w:val="AppendixBodyText"/>
        <w:spacing w:after="0"/>
        <w:rPr>
          <w:rFonts w:ascii="Tahoma" w:hAnsi="Tahoma" w:cs="Tahoma"/>
          <w:sz w:val="18"/>
          <w:lang w:val="de-DE"/>
        </w:rPr>
      </w:pPr>
      <w:bookmarkStart w:id="790" w:name="_Toc336338231"/>
    </w:p>
    <w:p w:rsidR="00870095" w:rsidRPr="00E03266" w:rsidRDefault="00870095" w:rsidP="00E03266">
      <w:pPr>
        <w:pStyle w:val="Heading3"/>
        <w:spacing w:after="60"/>
        <w:rPr>
          <w:rFonts w:ascii="Tahoma" w:hAnsi="Tahoma"/>
          <w:sz w:val="18"/>
          <w:lang w:val="de-DE"/>
        </w:rPr>
      </w:pPr>
      <w:bookmarkStart w:id="791" w:name="_Toc354054927"/>
      <w:r w:rsidRPr="00E03266">
        <w:rPr>
          <w:rFonts w:ascii="Tahoma" w:hAnsi="Tahoma"/>
          <w:sz w:val="18"/>
          <w:lang w:val="de-DE"/>
        </w:rPr>
        <w:t>Windows 8 Enterprise Sideloading</w:t>
      </w:r>
      <w:bookmarkEnd w:id="790"/>
      <w:bookmarkEnd w:id="791"/>
    </w:p>
    <w:p w:rsidR="00810479" w:rsidRPr="00BB5519" w:rsidRDefault="00870095" w:rsidP="00991DD4">
      <w:pPr>
        <w:jc w:val="both"/>
        <w:rPr>
          <w:lang w:val="de-DE"/>
        </w:rPr>
      </w:pPr>
      <w:r w:rsidRPr="00BB5519">
        <w:rPr>
          <w:rFonts w:cs="Tahoma"/>
          <w:szCs w:val="18"/>
          <w:lang w:val="de-DE"/>
        </w:rPr>
        <w:t>Siehe Produkthinweis zu Windows 8 Enterprise Sideloading im Abschnitt „Produkthinweise“ dieses Dokuments.</w:t>
      </w:r>
    </w:p>
    <w:p w:rsidR="00BD1A6A" w:rsidRPr="00BB5519" w:rsidRDefault="00BD1A6A">
      <w:pPr>
        <w:rPr>
          <w:lang w:val="de-DE"/>
        </w:rPr>
      </w:pPr>
      <w:bookmarkStart w:id="792" w:name="_Toc336338232"/>
    </w:p>
    <w:p w:rsidR="00EA1BE9" w:rsidRPr="00EC2A0D" w:rsidRDefault="00EA1BE9" w:rsidP="005A141F">
      <w:pPr>
        <w:pStyle w:val="Heading3"/>
        <w:spacing w:after="60"/>
        <w:rPr>
          <w:rFonts w:ascii="Tahoma" w:hAnsi="Tahoma"/>
          <w:sz w:val="18"/>
          <w:lang w:val="de-DE"/>
        </w:rPr>
      </w:pPr>
      <w:bookmarkStart w:id="793" w:name="_Toc354054928"/>
      <w:r w:rsidRPr="00EC2A0D">
        <w:rPr>
          <w:rFonts w:ascii="Tahoma" w:hAnsi="Tahoma"/>
          <w:sz w:val="18"/>
          <w:lang w:val="de-DE"/>
        </w:rPr>
        <w:t>Windows Companion-Abonnementlizenz</w:t>
      </w:r>
      <w:bookmarkEnd w:id="792"/>
      <w:bookmarkEnd w:id="793"/>
    </w:p>
    <w:p w:rsidR="00EA1BE9" w:rsidRPr="00BB5519" w:rsidRDefault="00EA1BE9" w:rsidP="00870095">
      <w:pPr>
        <w:jc w:val="both"/>
        <w:rPr>
          <w:lang w:val="de-DE"/>
        </w:rPr>
      </w:pPr>
      <w:r w:rsidRPr="00BB5519">
        <w:rPr>
          <w:rFonts w:cs="Tahoma"/>
          <w:szCs w:val="18"/>
          <w:lang w:val="de-DE"/>
        </w:rPr>
        <w:t>Siehe Produkthinweis zu Windows Companion-Abonnementlizenz im Abschnitt „Produkthinweise“ dieses Dokuments.</w:t>
      </w:r>
    </w:p>
    <w:p w:rsidR="00870095" w:rsidRPr="00BB5519" w:rsidRDefault="00870095" w:rsidP="003C56F1">
      <w:pPr>
        <w:jc w:val="both"/>
        <w:rPr>
          <w:lang w:val="de-DE"/>
        </w:rPr>
      </w:pPr>
    </w:p>
    <w:p w:rsidR="00023FE7" w:rsidRPr="00EC2A0D" w:rsidRDefault="00023FE7">
      <w:pPr>
        <w:pStyle w:val="Heading3"/>
        <w:rPr>
          <w:rFonts w:ascii="Tahoma" w:hAnsi="Tahoma" w:cs="Tahoma"/>
          <w:sz w:val="24"/>
          <w:lang w:val="de-DE"/>
        </w:rPr>
      </w:pPr>
      <w:bookmarkStart w:id="794" w:name="_Toc328146000"/>
      <w:bookmarkStart w:id="795" w:name="_Toc336338233"/>
      <w:bookmarkStart w:id="796" w:name="_Toc354054929"/>
      <w:r w:rsidRPr="00EC2A0D">
        <w:rPr>
          <w:rFonts w:ascii="Tahoma" w:hAnsi="Tahoma" w:cs="Tahoma"/>
          <w:sz w:val="24"/>
          <w:lang w:val="de-DE"/>
        </w:rPr>
        <w:t>Trainingsgutscheine</w:t>
      </w:r>
      <w:bookmarkEnd w:id="794"/>
      <w:bookmarkEnd w:id="795"/>
      <w:bookmarkEnd w:id="796"/>
    </w:p>
    <w:p w:rsidR="00023FE7" w:rsidRPr="00BB5519" w:rsidRDefault="00023FE7" w:rsidP="003C56F1">
      <w:pPr>
        <w:pStyle w:val="AppendixBodyText"/>
        <w:spacing w:after="0"/>
        <w:rPr>
          <w:lang w:val="de-DE"/>
        </w:rPr>
      </w:pPr>
    </w:p>
    <w:p w:rsidR="00023FE7" w:rsidRDefault="008A15A8" w:rsidP="008113AB">
      <w:pPr>
        <w:pStyle w:val="AppendixBodyText"/>
        <w:spacing w:after="0"/>
        <w:rPr>
          <w:rFonts w:ascii="Tahoma" w:hAnsi="Tahoma" w:cs="Tahoma"/>
          <w:sz w:val="18"/>
          <w:szCs w:val="18"/>
          <w:lang w:val="de-DE"/>
        </w:rPr>
      </w:pPr>
      <w:r w:rsidRPr="00BB5519">
        <w:rPr>
          <w:rFonts w:ascii="Tahoma" w:hAnsi="Tahoma" w:cs="Tahoma"/>
          <w:sz w:val="18"/>
          <w:szCs w:val="18"/>
          <w:lang w:val="de-DE"/>
        </w:rPr>
        <w:t>Kunden (nicht Kunden mit Select-Lizenz für Forschung &amp; Lehre, Select Plus für Forschung &amp; Lehre, Open Value Subscription – Bildungslösungen, Campus-Vertrag und School-Vertrag) mit Mitgliedschaft bei Software Assurance in den Anwendungs- oder System-Produktpools sind zu Microsoft-Trainingsgutscheinen berechtigt.</w:t>
      </w:r>
      <w:r w:rsidR="009E4976" w:rsidRPr="00BB5519">
        <w:rPr>
          <w:rFonts w:ascii="Tahoma" w:hAnsi="Tahoma" w:cs="Tahoma"/>
          <w:sz w:val="18"/>
          <w:szCs w:val="18"/>
          <w:lang w:val="de-DE"/>
        </w:rPr>
        <w:t xml:space="preserve"> </w:t>
      </w:r>
      <w:r w:rsidRPr="00BB5519">
        <w:rPr>
          <w:rFonts w:ascii="Tahoma" w:hAnsi="Tahoma" w:cs="Tahoma"/>
          <w:sz w:val="18"/>
          <w:szCs w:val="18"/>
          <w:lang w:val="de-DE"/>
        </w:rPr>
        <w:t>Diese Gutscheine berechtigen Kunden zum Erhalt von Kursen von einem Microsoft-Partner mit einer Learning-Kompetenz (Microsoft Learning Partner) für eine bestimmte Anzahl von Schulungstagen.</w:t>
      </w:r>
      <w:r w:rsidR="009E4976" w:rsidRPr="00BB5519">
        <w:rPr>
          <w:rFonts w:ascii="Tahoma" w:hAnsi="Tahoma" w:cs="Tahoma"/>
          <w:sz w:val="18"/>
          <w:szCs w:val="18"/>
          <w:lang w:val="de-DE"/>
        </w:rPr>
        <w:t xml:space="preserve"> </w:t>
      </w:r>
      <w:r w:rsidRPr="00BB5519">
        <w:rPr>
          <w:rFonts w:ascii="Tahoma" w:hAnsi="Tahoma" w:cs="Tahoma"/>
          <w:sz w:val="18"/>
          <w:szCs w:val="18"/>
          <w:lang w:val="de-DE"/>
        </w:rPr>
        <w:t>Die Anzahl der bewilligten Tage hängt vom Programm und der Anzahl qualifizierender Lizenzen ab, für die Software Assurance erworben wird.</w:t>
      </w:r>
      <w:r w:rsidR="009E4976" w:rsidRPr="00BB5519">
        <w:rPr>
          <w:rFonts w:ascii="Tahoma" w:hAnsi="Tahoma" w:cs="Tahoma"/>
          <w:sz w:val="18"/>
          <w:szCs w:val="18"/>
          <w:lang w:val="de-DE"/>
        </w:rPr>
        <w:t xml:space="preserve"> </w:t>
      </w:r>
      <w:r w:rsidRPr="00BB5519">
        <w:rPr>
          <w:rFonts w:ascii="Tahoma" w:hAnsi="Tahoma" w:cs="Tahoma"/>
          <w:sz w:val="18"/>
          <w:szCs w:val="18"/>
          <w:lang w:val="de-DE"/>
        </w:rPr>
        <w:t>Nachdem der Verwalter der Trainingsgutschein-Vergünstigung die Trainingsgutschein-Vergünstigung über das Center für Volumenlizenz-Services (VLSC) aktiviert hat, kann der Verwalter der Trainingsgutschein-Vergünstigung des Kunden</w:t>
      </w:r>
      <w:r w:rsidR="008113AB">
        <w:rPr>
          <w:rFonts w:ascii="Tahoma" w:hAnsi="Tahoma" w:cs="Tahoma"/>
          <w:sz w:val="18"/>
          <w:szCs w:val="18"/>
          <w:lang w:val="de-DE"/>
        </w:rPr>
        <w:t> </w:t>
      </w:r>
      <w:r w:rsidRPr="00BB5519">
        <w:rPr>
          <w:rFonts w:ascii="Tahoma" w:hAnsi="Tahoma" w:cs="Tahoma"/>
          <w:sz w:val="18"/>
          <w:szCs w:val="18"/>
          <w:lang w:val="de-DE"/>
        </w:rPr>
        <w:t>bestimmten Personen Trainingsgutscheine zuweisen.</w:t>
      </w:r>
    </w:p>
    <w:p w:rsidR="0083608D" w:rsidRDefault="0083608D" w:rsidP="008113AB">
      <w:pPr>
        <w:pStyle w:val="AppendixBodyText"/>
        <w:spacing w:after="0"/>
        <w:rPr>
          <w:rFonts w:ascii="Tahoma" w:hAnsi="Tahoma" w:cs="Tahoma"/>
          <w:sz w:val="18"/>
          <w:szCs w:val="18"/>
          <w:lang w:val="de-DE"/>
        </w:rPr>
      </w:pPr>
    </w:p>
    <w:p w:rsidR="0083608D" w:rsidRDefault="0083608D" w:rsidP="008113AB">
      <w:pPr>
        <w:pStyle w:val="AppendixBodyText"/>
        <w:spacing w:after="0"/>
        <w:rPr>
          <w:rFonts w:ascii="Tahoma" w:hAnsi="Tahoma" w:cs="Tahoma"/>
          <w:sz w:val="18"/>
          <w:szCs w:val="18"/>
          <w:lang w:val="de-DE"/>
        </w:rPr>
      </w:pPr>
    </w:p>
    <w:p w:rsidR="0083608D" w:rsidRDefault="0083608D" w:rsidP="008113AB">
      <w:pPr>
        <w:pStyle w:val="AppendixBodyText"/>
        <w:spacing w:after="0"/>
        <w:rPr>
          <w:lang w:val="de-DE"/>
        </w:rPr>
      </w:pPr>
    </w:p>
    <w:p w:rsidR="000E3562" w:rsidRPr="00BB5519" w:rsidRDefault="000E3562" w:rsidP="008113AB">
      <w:pPr>
        <w:pStyle w:val="AppendixBodyText"/>
        <w:spacing w:after="0"/>
        <w:rPr>
          <w:lang w:val="de-DE"/>
        </w:rPr>
      </w:pPr>
    </w:p>
    <w:tbl>
      <w:tblPr>
        <w:tblpPr w:leftFromText="180" w:rightFromText="180" w:vertAnchor="text" w:horzAnchor="margin" w:tblpX="99" w:tblpY="350"/>
        <w:tblW w:w="92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240"/>
      </w:tblGrid>
      <w:tr w:rsidR="00F76ED4" w:rsidRPr="00BB5519" w:rsidTr="0083608D">
        <w:trPr>
          <w:cantSplit/>
          <w:trHeight w:val="531"/>
        </w:trPr>
        <w:tc>
          <w:tcPr>
            <w:tcW w:w="2903" w:type="dxa"/>
            <w:shd w:val="clear" w:color="auto" w:fill="FFCC99"/>
            <w:vAlign w:val="center"/>
          </w:tcPr>
          <w:p w:rsidR="00F76ED4" w:rsidRPr="00BB5519" w:rsidRDefault="00F76ED4" w:rsidP="0083608D">
            <w:pPr>
              <w:pStyle w:val="AppendixTableHeadings"/>
              <w:keepNext/>
              <w:keepLines/>
              <w:rPr>
                <w:rFonts w:ascii="Tahoma" w:hAnsi="Tahoma" w:cs="Tahoma"/>
                <w:sz w:val="20"/>
                <w:szCs w:val="20"/>
              </w:rPr>
            </w:pPr>
            <w:r w:rsidRPr="00BB5519">
              <w:rPr>
                <w:rFonts w:ascii="Tahoma" w:hAnsi="Tahoma" w:cs="Tahoma"/>
                <w:sz w:val="20"/>
                <w:szCs w:val="20"/>
              </w:rPr>
              <w:lastRenderedPageBreak/>
              <w:t>Programm</w:t>
            </w:r>
          </w:p>
        </w:tc>
        <w:tc>
          <w:tcPr>
            <w:tcW w:w="3150" w:type="dxa"/>
            <w:shd w:val="clear" w:color="auto" w:fill="FFCC99"/>
            <w:vAlign w:val="center"/>
          </w:tcPr>
          <w:p w:rsidR="00F76ED4" w:rsidRPr="00BB5519" w:rsidRDefault="00F76ED4" w:rsidP="0083608D">
            <w:pPr>
              <w:pStyle w:val="AppendixTableHeadings"/>
              <w:keepNext/>
              <w:keepLines/>
              <w:rPr>
                <w:rFonts w:ascii="Tahoma" w:hAnsi="Tahoma" w:cs="Tahoma"/>
                <w:sz w:val="20"/>
                <w:szCs w:val="20"/>
                <w:lang w:val="de-DE"/>
              </w:rPr>
            </w:pPr>
            <w:r w:rsidRPr="00BB5519">
              <w:rPr>
                <w:rFonts w:ascii="Tahoma" w:hAnsi="Tahoma" w:cs="Tahoma"/>
                <w:sz w:val="20"/>
                <w:szCs w:val="20"/>
                <w:lang w:val="de-DE"/>
              </w:rPr>
              <w:t>Produkte aus dem Office System-Anwendungs-Pool</w:t>
            </w:r>
            <w:r w:rsidRPr="00BB5519">
              <w:rPr>
                <w:rFonts w:ascii="Tahoma" w:hAnsi="Tahoma" w:cs="Tahoma"/>
                <w:b w:val="0"/>
                <w:i/>
                <w:sz w:val="20"/>
                <w:szCs w:val="20"/>
                <w:lang w:val="de-DE"/>
              </w:rPr>
              <w:t xml:space="preserve"> </w:t>
            </w:r>
          </w:p>
        </w:tc>
        <w:tc>
          <w:tcPr>
            <w:tcW w:w="3240" w:type="dxa"/>
            <w:shd w:val="clear" w:color="auto" w:fill="FFCC99"/>
            <w:vAlign w:val="center"/>
          </w:tcPr>
          <w:p w:rsidR="00F76ED4" w:rsidRPr="00BB5519" w:rsidRDefault="00F76ED4" w:rsidP="0083608D">
            <w:pPr>
              <w:pStyle w:val="AppendixTableHeadings"/>
              <w:keepNext/>
              <w:keepLines/>
              <w:rPr>
                <w:rFonts w:ascii="Tahoma" w:hAnsi="Tahoma" w:cs="Tahoma"/>
                <w:sz w:val="20"/>
                <w:szCs w:val="20"/>
              </w:rPr>
            </w:pPr>
            <w:r w:rsidRPr="00BB5519">
              <w:rPr>
                <w:rFonts w:ascii="Tahoma" w:hAnsi="Tahoma" w:cs="Tahoma"/>
                <w:sz w:val="20"/>
                <w:szCs w:val="20"/>
              </w:rPr>
              <w:t>System-Pool</w:t>
            </w:r>
          </w:p>
        </w:tc>
      </w:tr>
      <w:tr w:rsidR="00F76ED4" w:rsidRPr="006F21F8" w:rsidTr="0083608D">
        <w:trPr>
          <w:cantSplit/>
          <w:trHeight w:val="236"/>
        </w:trPr>
        <w:tc>
          <w:tcPr>
            <w:tcW w:w="2903" w:type="dxa"/>
            <w:vAlign w:val="center"/>
          </w:tcPr>
          <w:p w:rsidR="00F76ED4" w:rsidRPr="00BB5519" w:rsidRDefault="00F76ED4" w:rsidP="0083608D">
            <w:pPr>
              <w:pStyle w:val="AppendixTableText"/>
              <w:keepNext/>
              <w:keepLines/>
              <w:rPr>
                <w:rFonts w:ascii="Tahoma" w:hAnsi="Tahoma" w:cs="Tahoma"/>
              </w:rPr>
            </w:pPr>
            <w:r w:rsidRPr="00BB5519">
              <w:rPr>
                <w:rFonts w:ascii="Tahoma" w:hAnsi="Tahoma" w:cs="Tahoma"/>
              </w:rPr>
              <w:t>Open Value</w:t>
            </w:r>
          </w:p>
        </w:tc>
        <w:tc>
          <w:tcPr>
            <w:tcW w:w="3150" w:type="dxa"/>
            <w:vAlign w:val="center"/>
          </w:tcPr>
          <w:p w:rsidR="00F76ED4" w:rsidRPr="00BB5519" w:rsidRDefault="00F76ED4" w:rsidP="0083608D">
            <w:pPr>
              <w:pStyle w:val="AppendixTableText"/>
              <w:keepNext/>
              <w:keepLines/>
              <w:rPr>
                <w:rFonts w:ascii="Tahoma" w:hAnsi="Tahoma" w:cs="Tahoma"/>
              </w:rPr>
            </w:pPr>
            <w:r w:rsidRPr="00BB5519">
              <w:rPr>
                <w:rFonts w:ascii="Tahoma" w:hAnsi="Tahoma" w:cs="Tahoma"/>
              </w:rPr>
              <w:t xml:space="preserve">2 Tage pro 50 Lizenzen </w:t>
            </w:r>
            <w:r w:rsidR="00433B9B">
              <w:rPr>
                <w:rFonts w:ascii="Tahoma" w:hAnsi="Tahoma" w:cs="Tahoma"/>
              </w:rPr>
              <w:br/>
            </w:r>
            <w:r w:rsidRPr="00BB5519">
              <w:rPr>
                <w:rFonts w:ascii="Tahoma" w:hAnsi="Tahoma" w:cs="Tahoma"/>
              </w:rPr>
              <w:t>(maximal 20 Tage)</w:t>
            </w:r>
          </w:p>
        </w:tc>
        <w:tc>
          <w:tcPr>
            <w:tcW w:w="3240" w:type="dxa"/>
            <w:vAlign w:val="center"/>
          </w:tcPr>
          <w:p w:rsidR="00F76ED4" w:rsidRPr="00BB5519" w:rsidRDefault="00F76ED4" w:rsidP="0083608D">
            <w:pPr>
              <w:pStyle w:val="AppendixTableText"/>
              <w:keepNext/>
              <w:keepLines/>
              <w:rPr>
                <w:lang w:val="de-DE"/>
              </w:rPr>
            </w:pPr>
            <w:r w:rsidRPr="00BB5519">
              <w:rPr>
                <w:rFonts w:ascii="Tahoma" w:hAnsi="Tahoma" w:cs="Tahoma"/>
                <w:lang w:val="de-DE"/>
              </w:rPr>
              <w:t>1 Tag pro 50 Lizenzen</w:t>
            </w:r>
          </w:p>
          <w:p w:rsidR="00F76ED4" w:rsidRPr="00BB5519" w:rsidRDefault="00F76ED4" w:rsidP="0083608D">
            <w:pPr>
              <w:pStyle w:val="AppendixTableText"/>
              <w:keepNext/>
              <w:keepLines/>
              <w:rPr>
                <w:rFonts w:ascii="Tahoma" w:hAnsi="Tahoma" w:cs="Tahoma"/>
                <w:lang w:val="de-DE"/>
              </w:rPr>
            </w:pPr>
            <w:r w:rsidRPr="00BB5519">
              <w:rPr>
                <w:rFonts w:ascii="Tahoma" w:hAnsi="Tahoma" w:cs="Tahoma"/>
                <w:lang w:val="de-DE"/>
              </w:rPr>
              <w:t>(maximal 10 Tage)</w:t>
            </w: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83608D">
            <w:pPr>
              <w:pStyle w:val="AppendixTableHeadings"/>
              <w:keepNext/>
              <w:keepLines/>
              <w:rPr>
                <w:rFonts w:ascii="Tahoma" w:hAnsi="Tahoma" w:cs="Tahoma"/>
                <w:b w:val="0"/>
              </w:rPr>
            </w:pPr>
            <w:r w:rsidRPr="00BB5519">
              <w:rPr>
                <w:rFonts w:ascii="Tahoma" w:hAnsi="Tahoma" w:cs="Tahoma"/>
                <w:b w:val="0"/>
              </w:rPr>
              <w:t>1</w:t>
            </w:r>
            <w:r w:rsidR="00433B9B" w:rsidRPr="00433B9B">
              <w:rPr>
                <w:rFonts w:ascii="Tahoma" w:hAnsi="Tahoma" w:cs="Tahoma"/>
                <w:b w:val="0"/>
                <w:bCs w:val="0"/>
              </w:rPr>
              <w:t xml:space="preserve"> – </w:t>
            </w:r>
            <w:r w:rsidRPr="00BB5519">
              <w:rPr>
                <w:rFonts w:ascii="Tahoma" w:hAnsi="Tahoma" w:cs="Tahoma"/>
                <w:b w:val="0"/>
              </w:rPr>
              <w:t>249</w:t>
            </w:r>
          </w:p>
        </w:tc>
        <w:tc>
          <w:tcPr>
            <w:tcW w:w="3150" w:type="dxa"/>
            <w:vAlign w:val="center"/>
          </w:tcPr>
          <w:p w:rsidR="00F76ED4" w:rsidRPr="00BB5519" w:rsidRDefault="00F76ED4" w:rsidP="0083608D">
            <w:pPr>
              <w:pStyle w:val="AppendixTableText"/>
              <w:keepNext/>
              <w:keepLines/>
              <w:rPr>
                <w:rFonts w:ascii="Tahoma" w:hAnsi="Tahoma" w:cs="Tahoma"/>
              </w:rPr>
            </w:pPr>
            <w:r w:rsidRPr="00BB5519">
              <w:rPr>
                <w:rFonts w:ascii="Tahoma" w:hAnsi="Tahoma" w:cs="Tahoma"/>
              </w:rPr>
              <w:t>2 Tage pro 50 Lizenzen</w:t>
            </w:r>
          </w:p>
        </w:tc>
        <w:tc>
          <w:tcPr>
            <w:tcW w:w="3240" w:type="dxa"/>
            <w:vAlign w:val="center"/>
          </w:tcPr>
          <w:p w:rsidR="00F76ED4" w:rsidRPr="00BB5519" w:rsidRDefault="00F76ED4" w:rsidP="0083608D">
            <w:pPr>
              <w:pStyle w:val="AppendixTableText"/>
              <w:keepNext/>
              <w:keepLines/>
            </w:pPr>
            <w:r w:rsidRPr="00BB5519">
              <w:rPr>
                <w:rFonts w:ascii="Tahoma" w:hAnsi="Tahoma" w:cs="Tahoma"/>
              </w:rPr>
              <w:t>1 Tag pro 50 Lizenzen</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B759A0">
            <w:pPr>
              <w:pStyle w:val="AppendixTableText"/>
              <w:keepNext/>
              <w:keepLines/>
              <w:rPr>
                <w:rFonts w:ascii="Tahoma" w:hAnsi="Tahoma" w:cs="Tahoma"/>
              </w:rPr>
            </w:pPr>
            <w:r w:rsidRPr="00BB5519">
              <w:rPr>
                <w:rFonts w:ascii="Tahoma" w:hAnsi="Tahoma" w:cs="Tahoma"/>
              </w:rPr>
              <w:t>250</w:t>
            </w:r>
            <w:r w:rsidR="00433B9B" w:rsidRPr="00433B9B">
              <w:rPr>
                <w:rFonts w:ascii="Tahoma" w:hAnsi="Tahoma" w:cs="Tahoma"/>
                <w:b/>
                <w:bCs/>
              </w:rPr>
              <w:t xml:space="preserve"> – </w:t>
            </w:r>
            <w:r w:rsidRPr="00BB5519">
              <w:rPr>
                <w:rFonts w:ascii="Tahoma" w:hAnsi="Tahoma" w:cs="Tahoma"/>
              </w:rPr>
              <w:t>2</w:t>
            </w:r>
            <w:r w:rsidR="00B759A0">
              <w:rPr>
                <w:rFonts w:ascii="Tahoma" w:hAnsi="Tahoma" w:cs="Tahoma"/>
              </w:rPr>
              <w:t>.</w:t>
            </w:r>
            <w:r w:rsidRPr="00BB5519">
              <w:rPr>
                <w:rFonts w:ascii="Tahoma" w:hAnsi="Tahoma" w:cs="Tahoma"/>
              </w:rPr>
              <w:t xml:space="preserve">399 </w:t>
            </w:r>
          </w:p>
        </w:tc>
        <w:tc>
          <w:tcPr>
            <w:tcW w:w="3150" w:type="dxa"/>
            <w:vAlign w:val="center"/>
          </w:tcPr>
          <w:p w:rsidR="00F76ED4" w:rsidRPr="00BB5519" w:rsidRDefault="00F76ED4" w:rsidP="0083608D">
            <w:pPr>
              <w:pStyle w:val="AppendixTableText"/>
              <w:keepNext/>
              <w:keepLines/>
            </w:pPr>
            <w:r w:rsidRPr="00BB5519">
              <w:rPr>
                <w:rFonts w:ascii="Tahoma" w:hAnsi="Tahoma" w:cs="Tahoma"/>
              </w:rPr>
              <w:t>20 Tage pro</w:t>
            </w:r>
          </w:p>
          <w:p w:rsidR="00F76ED4" w:rsidRPr="00BB5519" w:rsidRDefault="00F76ED4" w:rsidP="0083608D">
            <w:pPr>
              <w:pStyle w:val="AppendixTableText"/>
              <w:keepNext/>
              <w:keepLines/>
              <w:rPr>
                <w:rFonts w:ascii="Tahoma" w:hAnsi="Tahoma" w:cs="Tahoma"/>
              </w:rPr>
            </w:pPr>
            <w:r w:rsidRPr="00BB5519">
              <w:rPr>
                <w:rFonts w:ascii="Tahoma" w:hAnsi="Tahoma" w:cs="Tahoma"/>
              </w:rPr>
              <w:t>berechtigtem Beitritt</w:t>
            </w:r>
          </w:p>
        </w:tc>
        <w:tc>
          <w:tcPr>
            <w:tcW w:w="3240" w:type="dxa"/>
            <w:vAlign w:val="center"/>
          </w:tcPr>
          <w:p w:rsidR="00F76ED4" w:rsidRPr="00BB5519" w:rsidRDefault="00F76ED4" w:rsidP="0083608D">
            <w:pPr>
              <w:pStyle w:val="AppendixTableText"/>
              <w:keepNext/>
              <w:keepLines/>
            </w:pPr>
            <w:r w:rsidRPr="00BB5519">
              <w:rPr>
                <w:rFonts w:ascii="Tahoma" w:hAnsi="Tahoma" w:cs="Tahoma"/>
              </w:rPr>
              <w:t>10 Tage pro</w:t>
            </w:r>
          </w:p>
          <w:p w:rsidR="00F76ED4" w:rsidRPr="00BB5519" w:rsidRDefault="00F76ED4" w:rsidP="0083608D">
            <w:pPr>
              <w:pStyle w:val="AppendixTableText"/>
              <w:keepNext/>
              <w:keepLines/>
              <w:rPr>
                <w:rFonts w:ascii="Tahoma" w:hAnsi="Tahoma" w:cs="Tahoma"/>
              </w:rPr>
            </w:pPr>
            <w:r w:rsidRPr="00BB5519">
              <w:rPr>
                <w:rFonts w:ascii="Tahoma" w:hAnsi="Tahoma" w:cs="Tahoma"/>
              </w:rPr>
              <w:t>berechtigtem Beitritt</w:t>
            </w: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Text"/>
              <w:keepNext/>
              <w:keepLines/>
              <w:rPr>
                <w:rFonts w:ascii="Tahoma" w:hAnsi="Tahoma" w:cs="Tahoma"/>
                <w:i/>
              </w:rPr>
            </w:pPr>
            <w:r w:rsidRPr="00BB5519">
              <w:rPr>
                <w:rFonts w:ascii="Tahoma" w:hAnsi="Tahoma" w:cs="Tahoma"/>
              </w:rPr>
              <w:t>2</w:t>
            </w:r>
            <w:r w:rsidR="00E85D10">
              <w:rPr>
                <w:rFonts w:ascii="Tahoma" w:hAnsi="Tahoma" w:cs="Tahoma"/>
              </w:rPr>
              <w:t>.</w:t>
            </w:r>
            <w:r w:rsidRPr="00BB5519">
              <w:rPr>
                <w:rFonts w:ascii="Tahoma" w:hAnsi="Tahoma" w:cs="Tahoma"/>
              </w:rPr>
              <w:t>400</w:t>
            </w:r>
            <w:r w:rsidR="00433B9B" w:rsidRPr="00433B9B">
              <w:rPr>
                <w:rFonts w:ascii="Tahoma" w:hAnsi="Tahoma" w:cs="Tahoma"/>
                <w:b/>
                <w:bCs/>
              </w:rPr>
              <w:t xml:space="preserve"> – </w:t>
            </w:r>
            <w:r w:rsidRPr="00BB5519">
              <w:rPr>
                <w:rFonts w:ascii="Tahoma" w:hAnsi="Tahoma" w:cs="Tahoma"/>
              </w:rPr>
              <w:t>5</w:t>
            </w:r>
            <w:r w:rsidR="00E85D10">
              <w:rPr>
                <w:rFonts w:ascii="Tahoma" w:hAnsi="Tahoma" w:cs="Tahoma"/>
              </w:rPr>
              <w:t>.</w:t>
            </w:r>
            <w:r w:rsidRPr="00BB5519">
              <w:rPr>
                <w:rFonts w:ascii="Tahoma" w:hAnsi="Tahoma" w:cs="Tahoma"/>
              </w:rPr>
              <w:t>999</w:t>
            </w:r>
          </w:p>
        </w:tc>
        <w:tc>
          <w:tcPr>
            <w:tcW w:w="3150" w:type="dxa"/>
            <w:vAlign w:val="center"/>
          </w:tcPr>
          <w:p w:rsidR="00F76ED4" w:rsidRPr="00BB5519" w:rsidRDefault="00F76ED4" w:rsidP="0083608D">
            <w:pPr>
              <w:pStyle w:val="AppendixTableText"/>
              <w:keepNext/>
              <w:keepLines/>
            </w:pPr>
            <w:r w:rsidRPr="00BB5519">
              <w:rPr>
                <w:rFonts w:ascii="Tahoma" w:hAnsi="Tahoma" w:cs="Tahoma"/>
              </w:rPr>
              <w:t xml:space="preserve">30 Tage* </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 xml:space="preserve">15 Tage* </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Text"/>
              <w:keepNext/>
              <w:keepLines/>
              <w:rPr>
                <w:rFonts w:ascii="Tahoma" w:hAnsi="Tahoma" w:cs="Tahoma"/>
                <w:i/>
              </w:rPr>
            </w:pPr>
            <w:r w:rsidRPr="00BB5519">
              <w:rPr>
                <w:rFonts w:ascii="Tahoma" w:hAnsi="Tahoma" w:cs="Tahoma"/>
              </w:rPr>
              <w:t>6</w:t>
            </w:r>
            <w:r w:rsidR="00E85D10">
              <w:rPr>
                <w:rFonts w:ascii="Tahoma" w:hAnsi="Tahoma" w:cs="Tahoma"/>
              </w:rPr>
              <w:t>.</w:t>
            </w:r>
            <w:r w:rsidRPr="00BB5519">
              <w:rPr>
                <w:rFonts w:ascii="Tahoma" w:hAnsi="Tahoma" w:cs="Tahoma"/>
              </w:rPr>
              <w:t>000</w:t>
            </w:r>
            <w:r w:rsidR="00433B9B" w:rsidRPr="00433B9B">
              <w:rPr>
                <w:rFonts w:ascii="Tahoma" w:hAnsi="Tahoma" w:cs="Tahoma"/>
                <w:b/>
                <w:bCs/>
              </w:rPr>
              <w:t xml:space="preserve"> – </w:t>
            </w:r>
            <w:r w:rsidRPr="00BB5519">
              <w:rPr>
                <w:rFonts w:ascii="Tahoma" w:hAnsi="Tahoma" w:cs="Tahoma"/>
              </w:rPr>
              <w:t>14</w:t>
            </w:r>
            <w:r w:rsidR="00E85D10">
              <w:rPr>
                <w:rFonts w:ascii="Tahoma" w:hAnsi="Tahoma" w:cs="Tahoma"/>
              </w:rPr>
              <w:t>.</w:t>
            </w:r>
            <w:r w:rsidRPr="00BB5519">
              <w:rPr>
                <w:rFonts w:ascii="Tahoma" w:hAnsi="Tahoma" w:cs="Tahoma"/>
              </w:rPr>
              <w:t>999</w:t>
            </w:r>
          </w:p>
        </w:tc>
        <w:tc>
          <w:tcPr>
            <w:tcW w:w="3150" w:type="dxa"/>
            <w:vAlign w:val="center"/>
          </w:tcPr>
          <w:p w:rsidR="00F76ED4" w:rsidRPr="00BB5519" w:rsidRDefault="00F76ED4" w:rsidP="0083608D">
            <w:pPr>
              <w:pStyle w:val="AppendixTableText"/>
              <w:keepNext/>
              <w:keepLines/>
            </w:pPr>
            <w:r w:rsidRPr="00BB5519">
              <w:rPr>
                <w:rFonts w:ascii="Tahoma" w:hAnsi="Tahoma" w:cs="Tahoma"/>
              </w:rPr>
              <w:t xml:space="preserve">50 Tage* </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 xml:space="preserve">25 Tage* </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Text"/>
              <w:keepNext/>
              <w:keepLines/>
              <w:rPr>
                <w:rFonts w:ascii="Tahoma" w:hAnsi="Tahoma" w:cs="Tahoma"/>
                <w:i/>
              </w:rPr>
            </w:pPr>
            <w:r w:rsidRPr="00BB5519">
              <w:rPr>
                <w:rFonts w:ascii="Tahoma" w:hAnsi="Tahoma" w:cs="Tahoma"/>
              </w:rPr>
              <w:t>15</w:t>
            </w:r>
            <w:r w:rsidR="00E85D10">
              <w:rPr>
                <w:rFonts w:ascii="Tahoma" w:hAnsi="Tahoma" w:cs="Tahoma"/>
              </w:rPr>
              <w:t>.</w:t>
            </w:r>
            <w:r w:rsidRPr="00BB5519">
              <w:rPr>
                <w:rFonts w:ascii="Tahoma" w:hAnsi="Tahoma" w:cs="Tahoma"/>
              </w:rPr>
              <w:t>000</w:t>
            </w:r>
            <w:r w:rsidR="00433B9B" w:rsidRPr="00433B9B">
              <w:rPr>
                <w:rFonts w:ascii="Tahoma" w:hAnsi="Tahoma" w:cs="Tahoma"/>
                <w:b/>
                <w:bCs/>
              </w:rPr>
              <w:t xml:space="preserve"> – </w:t>
            </w:r>
            <w:r w:rsidRPr="00BB5519">
              <w:rPr>
                <w:rFonts w:ascii="Tahoma" w:hAnsi="Tahoma" w:cs="Tahoma"/>
              </w:rPr>
              <w:t>29</w:t>
            </w:r>
            <w:r w:rsidR="00E85D10">
              <w:rPr>
                <w:rFonts w:ascii="Tahoma" w:hAnsi="Tahoma" w:cs="Tahoma"/>
              </w:rPr>
              <w:t>.</w:t>
            </w:r>
            <w:r w:rsidRPr="00BB5519">
              <w:rPr>
                <w:rFonts w:ascii="Tahoma" w:hAnsi="Tahoma" w:cs="Tahoma"/>
              </w:rPr>
              <w:t>999</w:t>
            </w:r>
          </w:p>
        </w:tc>
        <w:tc>
          <w:tcPr>
            <w:tcW w:w="3150" w:type="dxa"/>
            <w:vAlign w:val="center"/>
          </w:tcPr>
          <w:p w:rsidR="00F76ED4" w:rsidRPr="00BB5519" w:rsidRDefault="00F76ED4" w:rsidP="0083608D">
            <w:pPr>
              <w:pStyle w:val="AppendixTableText"/>
              <w:keepNext/>
              <w:keepLines/>
            </w:pPr>
            <w:r w:rsidRPr="00BB5519">
              <w:rPr>
                <w:rFonts w:ascii="Tahoma" w:hAnsi="Tahoma" w:cs="Tahoma"/>
              </w:rPr>
              <w:t xml:space="preserve">110 Tage* </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 xml:space="preserve">55 Tage* </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Text"/>
              <w:keepNext/>
              <w:keepLines/>
              <w:rPr>
                <w:rFonts w:ascii="Tahoma" w:hAnsi="Tahoma" w:cs="Tahoma"/>
                <w:i/>
              </w:rPr>
            </w:pPr>
            <w:r w:rsidRPr="00BB5519">
              <w:rPr>
                <w:rFonts w:ascii="Tahoma" w:hAnsi="Tahoma" w:cs="Tahoma"/>
              </w:rPr>
              <w:t>30</w:t>
            </w:r>
            <w:r w:rsidR="00E85D10">
              <w:rPr>
                <w:rFonts w:ascii="Tahoma" w:hAnsi="Tahoma" w:cs="Tahoma"/>
              </w:rPr>
              <w:t>.</w:t>
            </w:r>
            <w:r w:rsidRPr="00BB5519">
              <w:rPr>
                <w:rFonts w:ascii="Tahoma" w:hAnsi="Tahoma" w:cs="Tahoma"/>
              </w:rPr>
              <w:t>000</w:t>
            </w:r>
            <w:r w:rsidR="00433B9B" w:rsidRPr="00433B9B">
              <w:rPr>
                <w:rFonts w:ascii="Tahoma" w:hAnsi="Tahoma" w:cs="Tahoma"/>
                <w:b/>
                <w:bCs/>
              </w:rPr>
              <w:t xml:space="preserve"> – </w:t>
            </w:r>
            <w:r w:rsidRPr="00BB5519">
              <w:rPr>
                <w:rFonts w:ascii="Tahoma" w:hAnsi="Tahoma" w:cs="Tahoma"/>
              </w:rPr>
              <w:t>49</w:t>
            </w:r>
            <w:r w:rsidR="00E85D10">
              <w:rPr>
                <w:rFonts w:ascii="Tahoma" w:hAnsi="Tahoma" w:cs="Tahoma"/>
              </w:rPr>
              <w:t>.</w:t>
            </w:r>
            <w:r w:rsidRPr="00BB5519">
              <w:rPr>
                <w:rFonts w:ascii="Tahoma" w:hAnsi="Tahoma" w:cs="Tahoma"/>
              </w:rPr>
              <w:t>999</w:t>
            </w:r>
          </w:p>
        </w:tc>
        <w:tc>
          <w:tcPr>
            <w:tcW w:w="3150" w:type="dxa"/>
            <w:vAlign w:val="center"/>
          </w:tcPr>
          <w:p w:rsidR="00F76ED4" w:rsidRPr="00BB5519" w:rsidRDefault="00F76ED4" w:rsidP="0083608D">
            <w:pPr>
              <w:pStyle w:val="AppendixTableText"/>
              <w:keepNext/>
              <w:keepLines/>
            </w:pPr>
            <w:r w:rsidRPr="00BB5519">
              <w:rPr>
                <w:rFonts w:ascii="Tahoma" w:hAnsi="Tahoma" w:cs="Tahoma"/>
              </w:rPr>
              <w:t xml:space="preserve">160 Tage* </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80 Tage*</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Text"/>
              <w:keepNext/>
              <w:keepLines/>
              <w:rPr>
                <w:rFonts w:ascii="Tahoma" w:hAnsi="Tahoma" w:cs="Tahoma"/>
                <w:i/>
              </w:rPr>
            </w:pPr>
            <w:r w:rsidRPr="00BB5519">
              <w:rPr>
                <w:rFonts w:ascii="Tahoma" w:hAnsi="Tahoma" w:cs="Tahoma"/>
              </w:rPr>
              <w:t>50</w:t>
            </w:r>
            <w:r w:rsidR="00E85D10">
              <w:rPr>
                <w:rFonts w:ascii="Tahoma" w:hAnsi="Tahoma" w:cs="Tahoma"/>
              </w:rPr>
              <w:t>.</w:t>
            </w:r>
            <w:r w:rsidRPr="00BB5519">
              <w:rPr>
                <w:rFonts w:ascii="Tahoma" w:hAnsi="Tahoma" w:cs="Tahoma"/>
              </w:rPr>
              <w:t>000</w:t>
            </w:r>
            <w:r w:rsidR="00433B9B" w:rsidRPr="00433B9B">
              <w:rPr>
                <w:rFonts w:ascii="Tahoma" w:hAnsi="Tahoma" w:cs="Tahoma"/>
                <w:b/>
                <w:bCs/>
              </w:rPr>
              <w:t xml:space="preserve"> – </w:t>
            </w:r>
            <w:r w:rsidRPr="00BB5519">
              <w:rPr>
                <w:rFonts w:ascii="Tahoma" w:hAnsi="Tahoma" w:cs="Tahoma"/>
              </w:rPr>
              <w:t>99</w:t>
            </w:r>
            <w:r w:rsidR="00E85D10">
              <w:rPr>
                <w:rFonts w:ascii="Tahoma" w:hAnsi="Tahoma" w:cs="Tahoma"/>
              </w:rPr>
              <w:t>.</w:t>
            </w:r>
            <w:r w:rsidRPr="00BB5519">
              <w:rPr>
                <w:rFonts w:ascii="Tahoma" w:hAnsi="Tahoma" w:cs="Tahoma"/>
              </w:rPr>
              <w:t>999</w:t>
            </w:r>
          </w:p>
        </w:tc>
        <w:tc>
          <w:tcPr>
            <w:tcW w:w="3150" w:type="dxa"/>
            <w:vAlign w:val="center"/>
          </w:tcPr>
          <w:p w:rsidR="00F76ED4" w:rsidRPr="00BB5519" w:rsidRDefault="00F76ED4" w:rsidP="0083608D">
            <w:pPr>
              <w:pStyle w:val="AppendixTableText"/>
              <w:keepNext/>
              <w:keepLines/>
            </w:pPr>
            <w:r w:rsidRPr="00BB5519">
              <w:rPr>
                <w:rFonts w:ascii="Tahoma" w:hAnsi="Tahoma" w:cs="Tahoma"/>
              </w:rPr>
              <w:t>250 Tage*</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 xml:space="preserve">125 Tage* </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Headings"/>
              <w:keepNext/>
              <w:keepLines/>
              <w:rPr>
                <w:rFonts w:ascii="Tahoma" w:hAnsi="Tahoma" w:cs="Tahoma"/>
                <w:b w:val="0"/>
              </w:rPr>
            </w:pPr>
            <w:r w:rsidRPr="00BB5519">
              <w:rPr>
                <w:rFonts w:ascii="Tahoma" w:hAnsi="Tahoma" w:cs="Tahoma"/>
                <w:b w:val="0"/>
              </w:rPr>
              <w:t>100</w:t>
            </w:r>
            <w:r w:rsidR="00E85D10">
              <w:rPr>
                <w:rFonts w:ascii="Tahoma" w:hAnsi="Tahoma" w:cs="Tahoma"/>
                <w:b w:val="0"/>
              </w:rPr>
              <w:t>.</w:t>
            </w:r>
            <w:r w:rsidRPr="00BB5519">
              <w:rPr>
                <w:rFonts w:ascii="Tahoma" w:hAnsi="Tahoma" w:cs="Tahoma"/>
                <w:b w:val="0"/>
              </w:rPr>
              <w:t>000</w:t>
            </w:r>
            <w:r w:rsidR="00433B9B" w:rsidRPr="00433B9B">
              <w:rPr>
                <w:rFonts w:ascii="Tahoma" w:hAnsi="Tahoma" w:cs="Tahoma"/>
                <w:b w:val="0"/>
                <w:bCs w:val="0"/>
              </w:rPr>
              <w:t xml:space="preserve"> – </w:t>
            </w:r>
            <w:r w:rsidRPr="00BB5519">
              <w:rPr>
                <w:rFonts w:ascii="Tahoma" w:hAnsi="Tahoma" w:cs="Tahoma"/>
                <w:b w:val="0"/>
              </w:rPr>
              <w:t>199</w:t>
            </w:r>
            <w:r w:rsidR="00E85D10">
              <w:rPr>
                <w:rFonts w:ascii="Tahoma" w:hAnsi="Tahoma" w:cs="Tahoma"/>
                <w:b w:val="0"/>
              </w:rPr>
              <w:t>.</w:t>
            </w:r>
            <w:r w:rsidRPr="00BB5519">
              <w:rPr>
                <w:rFonts w:ascii="Tahoma" w:hAnsi="Tahoma" w:cs="Tahoma"/>
                <w:b w:val="0"/>
              </w:rPr>
              <w:t>999</w:t>
            </w:r>
          </w:p>
        </w:tc>
        <w:tc>
          <w:tcPr>
            <w:tcW w:w="3150" w:type="dxa"/>
            <w:vAlign w:val="center"/>
          </w:tcPr>
          <w:p w:rsidR="00F76ED4" w:rsidRPr="00BB5519" w:rsidRDefault="00F76ED4" w:rsidP="0083608D">
            <w:pPr>
              <w:pStyle w:val="AppendixTableText"/>
              <w:keepNext/>
              <w:keepLines/>
            </w:pPr>
            <w:r w:rsidRPr="00BB5519">
              <w:rPr>
                <w:rFonts w:ascii="Tahoma" w:hAnsi="Tahoma" w:cs="Tahoma"/>
              </w:rPr>
              <w:t>400 Tage*</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200 Tage*</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Headings"/>
              <w:keepNext/>
              <w:keepLines/>
              <w:rPr>
                <w:rFonts w:ascii="Tahoma" w:hAnsi="Tahoma" w:cs="Tahoma"/>
                <w:b w:val="0"/>
              </w:rPr>
            </w:pPr>
            <w:r w:rsidRPr="00BB5519">
              <w:rPr>
                <w:rFonts w:ascii="Tahoma" w:hAnsi="Tahoma" w:cs="Tahoma"/>
                <w:b w:val="0"/>
              </w:rPr>
              <w:t>200</w:t>
            </w:r>
            <w:r w:rsidR="00E85D10">
              <w:rPr>
                <w:rFonts w:ascii="Tahoma" w:hAnsi="Tahoma" w:cs="Tahoma"/>
                <w:b w:val="0"/>
              </w:rPr>
              <w:t>.</w:t>
            </w:r>
            <w:r w:rsidRPr="00BB5519">
              <w:rPr>
                <w:rFonts w:ascii="Tahoma" w:hAnsi="Tahoma" w:cs="Tahoma"/>
                <w:b w:val="0"/>
              </w:rPr>
              <w:t>000</w:t>
            </w:r>
            <w:r w:rsidR="00433B9B" w:rsidRPr="00433B9B">
              <w:rPr>
                <w:rFonts w:ascii="Tahoma" w:hAnsi="Tahoma" w:cs="Tahoma"/>
                <w:b w:val="0"/>
                <w:bCs w:val="0"/>
              </w:rPr>
              <w:t xml:space="preserve"> – </w:t>
            </w:r>
            <w:r w:rsidRPr="00BB5519">
              <w:rPr>
                <w:rFonts w:ascii="Tahoma" w:hAnsi="Tahoma" w:cs="Tahoma"/>
                <w:b w:val="0"/>
              </w:rPr>
              <w:t>399</w:t>
            </w:r>
            <w:r w:rsidR="00E85D10">
              <w:rPr>
                <w:rFonts w:ascii="Tahoma" w:hAnsi="Tahoma" w:cs="Tahoma"/>
                <w:b w:val="0"/>
              </w:rPr>
              <w:t>.</w:t>
            </w:r>
            <w:r w:rsidRPr="00BB5519">
              <w:rPr>
                <w:rFonts w:ascii="Tahoma" w:hAnsi="Tahoma" w:cs="Tahoma"/>
                <w:b w:val="0"/>
              </w:rPr>
              <w:t>999</w:t>
            </w:r>
          </w:p>
        </w:tc>
        <w:tc>
          <w:tcPr>
            <w:tcW w:w="3150" w:type="dxa"/>
            <w:vAlign w:val="center"/>
          </w:tcPr>
          <w:p w:rsidR="00F76ED4" w:rsidRPr="00BB5519" w:rsidRDefault="00F76ED4" w:rsidP="0083608D">
            <w:pPr>
              <w:pStyle w:val="AppendixTableText"/>
              <w:keepNext/>
              <w:keepLines/>
            </w:pPr>
            <w:r w:rsidRPr="00BB5519">
              <w:rPr>
                <w:rFonts w:ascii="Tahoma" w:hAnsi="Tahoma" w:cs="Tahoma"/>
              </w:rPr>
              <w:t>600 Tage*</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300 Tage*</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Headings"/>
              <w:keepNext/>
              <w:keepLines/>
              <w:rPr>
                <w:rFonts w:ascii="Tahoma" w:hAnsi="Tahoma" w:cs="Tahoma"/>
                <w:b w:val="0"/>
              </w:rPr>
            </w:pPr>
            <w:r w:rsidRPr="00BB5519">
              <w:rPr>
                <w:rFonts w:ascii="Tahoma" w:hAnsi="Tahoma" w:cs="Tahoma"/>
                <w:b w:val="0"/>
              </w:rPr>
              <w:t>400</w:t>
            </w:r>
            <w:r w:rsidR="00E85D10">
              <w:rPr>
                <w:rFonts w:ascii="Tahoma" w:hAnsi="Tahoma" w:cs="Tahoma"/>
                <w:b w:val="0"/>
              </w:rPr>
              <w:t>.</w:t>
            </w:r>
            <w:r w:rsidRPr="00BB5519">
              <w:rPr>
                <w:rFonts w:ascii="Tahoma" w:hAnsi="Tahoma" w:cs="Tahoma"/>
                <w:b w:val="0"/>
              </w:rPr>
              <w:t>000</w:t>
            </w:r>
            <w:r w:rsidR="00433B9B" w:rsidRPr="00433B9B">
              <w:rPr>
                <w:rFonts w:ascii="Tahoma" w:hAnsi="Tahoma" w:cs="Tahoma"/>
                <w:b w:val="0"/>
                <w:bCs w:val="0"/>
              </w:rPr>
              <w:t xml:space="preserve"> – </w:t>
            </w:r>
            <w:r w:rsidRPr="00BB5519">
              <w:rPr>
                <w:rFonts w:ascii="Tahoma" w:hAnsi="Tahoma" w:cs="Tahoma"/>
                <w:b w:val="0"/>
              </w:rPr>
              <w:t>599</w:t>
            </w:r>
            <w:r w:rsidR="00E85D10">
              <w:rPr>
                <w:rFonts w:ascii="Tahoma" w:hAnsi="Tahoma" w:cs="Tahoma"/>
                <w:b w:val="0"/>
              </w:rPr>
              <w:t>.</w:t>
            </w:r>
            <w:r w:rsidRPr="00BB5519">
              <w:rPr>
                <w:rFonts w:ascii="Tahoma" w:hAnsi="Tahoma" w:cs="Tahoma"/>
                <w:b w:val="0"/>
              </w:rPr>
              <w:t>999</w:t>
            </w:r>
          </w:p>
        </w:tc>
        <w:tc>
          <w:tcPr>
            <w:tcW w:w="3150" w:type="dxa"/>
            <w:vAlign w:val="center"/>
          </w:tcPr>
          <w:p w:rsidR="00F76ED4" w:rsidRPr="00BB5519" w:rsidRDefault="00F76ED4" w:rsidP="0083608D">
            <w:pPr>
              <w:pStyle w:val="AppendixTableText"/>
              <w:keepNext/>
              <w:keepLines/>
            </w:pPr>
            <w:r w:rsidRPr="00BB5519">
              <w:rPr>
                <w:rFonts w:ascii="Tahoma" w:hAnsi="Tahoma" w:cs="Tahoma"/>
              </w:rPr>
              <w:t>800 Tage*</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400 Tage*</w:t>
            </w:r>
          </w:p>
          <w:p w:rsidR="00F76ED4" w:rsidRPr="00BB5519" w:rsidRDefault="00F76ED4" w:rsidP="0083608D">
            <w:pPr>
              <w:pStyle w:val="AppendixTableText"/>
              <w:keepNext/>
              <w:keepLines/>
              <w:rPr>
                <w:rFonts w:ascii="Tahoma" w:hAnsi="Tahoma" w:cs="Tahoma"/>
              </w:rPr>
            </w:pPr>
          </w:p>
        </w:tc>
      </w:tr>
      <w:tr w:rsidR="00F76ED4" w:rsidRPr="00BB5519" w:rsidTr="0083608D">
        <w:trPr>
          <w:cantSplit/>
          <w:trHeight w:val="236"/>
        </w:trPr>
        <w:tc>
          <w:tcPr>
            <w:tcW w:w="2903" w:type="dxa"/>
            <w:vAlign w:val="center"/>
          </w:tcPr>
          <w:p w:rsidR="00F76ED4" w:rsidRPr="00BB5519" w:rsidRDefault="00F76ED4" w:rsidP="0083608D">
            <w:pPr>
              <w:pStyle w:val="AppendixTableHeadings"/>
              <w:keepNext/>
              <w:keepLines/>
            </w:pPr>
            <w:r w:rsidRPr="00BB5519">
              <w:rPr>
                <w:rFonts w:ascii="Tahoma" w:hAnsi="Tahoma" w:cs="Tahoma"/>
                <w:b w:val="0"/>
              </w:rPr>
              <w:t>SAM</w:t>
            </w:r>
          </w:p>
          <w:p w:rsidR="00F76ED4" w:rsidRPr="00BB5519" w:rsidRDefault="00F76ED4" w:rsidP="00E85D10">
            <w:pPr>
              <w:pStyle w:val="AppendixTableHeadings"/>
              <w:keepNext/>
              <w:keepLines/>
              <w:rPr>
                <w:rFonts w:ascii="Tahoma" w:hAnsi="Tahoma" w:cs="Tahoma"/>
                <w:b w:val="0"/>
              </w:rPr>
            </w:pPr>
            <w:r w:rsidRPr="00BB5519">
              <w:rPr>
                <w:rFonts w:ascii="Tahoma" w:hAnsi="Tahoma" w:cs="Tahoma"/>
                <w:b w:val="0"/>
              </w:rPr>
              <w:t>600</w:t>
            </w:r>
            <w:r w:rsidR="00E85D10">
              <w:rPr>
                <w:rFonts w:ascii="Tahoma" w:hAnsi="Tahoma" w:cs="Tahoma"/>
                <w:b w:val="0"/>
              </w:rPr>
              <w:t>.</w:t>
            </w:r>
            <w:r w:rsidRPr="00BB5519">
              <w:rPr>
                <w:rFonts w:ascii="Tahoma" w:hAnsi="Tahoma" w:cs="Tahoma"/>
                <w:b w:val="0"/>
              </w:rPr>
              <w:t>000 +</w:t>
            </w:r>
          </w:p>
        </w:tc>
        <w:tc>
          <w:tcPr>
            <w:tcW w:w="3150" w:type="dxa"/>
            <w:vAlign w:val="center"/>
          </w:tcPr>
          <w:p w:rsidR="00F76ED4" w:rsidRPr="00BB5519" w:rsidRDefault="00F76ED4" w:rsidP="0083608D">
            <w:pPr>
              <w:pStyle w:val="AppendixTableText"/>
              <w:keepNext/>
              <w:keepLines/>
            </w:pPr>
            <w:r w:rsidRPr="00BB5519">
              <w:rPr>
                <w:rFonts w:ascii="Tahoma" w:hAnsi="Tahoma" w:cs="Tahoma"/>
              </w:rPr>
              <w:t xml:space="preserve">1.400 Tage* </w:t>
            </w:r>
          </w:p>
          <w:p w:rsidR="00F76ED4" w:rsidRPr="00BB5519" w:rsidRDefault="00F76ED4" w:rsidP="0083608D">
            <w:pPr>
              <w:pStyle w:val="AppendixTableText"/>
              <w:keepNext/>
              <w:keepLines/>
              <w:rPr>
                <w:rFonts w:ascii="Tahoma" w:hAnsi="Tahoma" w:cs="Tahoma"/>
              </w:rPr>
            </w:pPr>
          </w:p>
        </w:tc>
        <w:tc>
          <w:tcPr>
            <w:tcW w:w="3240" w:type="dxa"/>
            <w:vAlign w:val="center"/>
          </w:tcPr>
          <w:p w:rsidR="00F76ED4" w:rsidRPr="00BB5519" w:rsidRDefault="00F76ED4" w:rsidP="0083608D">
            <w:pPr>
              <w:pStyle w:val="AppendixTableText"/>
              <w:keepNext/>
              <w:keepLines/>
            </w:pPr>
            <w:r w:rsidRPr="00BB5519">
              <w:rPr>
                <w:rFonts w:ascii="Tahoma" w:hAnsi="Tahoma" w:cs="Tahoma"/>
              </w:rPr>
              <w:t>700 Tage*</w:t>
            </w:r>
          </w:p>
          <w:p w:rsidR="00F76ED4" w:rsidRPr="00BB5519" w:rsidRDefault="00F76ED4" w:rsidP="0083608D">
            <w:pPr>
              <w:pStyle w:val="AppendixTableText"/>
              <w:keepNext/>
              <w:keepLines/>
              <w:rPr>
                <w:rFonts w:ascii="Tahoma" w:hAnsi="Tahoma" w:cs="Tahoma"/>
              </w:rPr>
            </w:pPr>
          </w:p>
        </w:tc>
      </w:tr>
    </w:tbl>
    <w:p w:rsidR="00F528E5" w:rsidRPr="00BB5519" w:rsidRDefault="00F528E5" w:rsidP="003C56F1">
      <w:pPr>
        <w:pStyle w:val="AppendixBodyText"/>
        <w:spacing w:after="0"/>
      </w:pPr>
    </w:p>
    <w:p w:rsidR="00E762F8" w:rsidRPr="00BB5519" w:rsidRDefault="00023FE7" w:rsidP="009459D5">
      <w:pPr>
        <w:pStyle w:val="AppendixFlushBulletedList"/>
        <w:tabs>
          <w:tab w:val="clear" w:pos="360"/>
          <w:tab w:val="num" w:pos="0"/>
        </w:tabs>
        <w:spacing w:before="40"/>
        <w:ind w:left="0" w:firstLine="0"/>
        <w:rPr>
          <w:lang w:val="de-DE"/>
        </w:rPr>
      </w:pPr>
      <w:r w:rsidRPr="00BB5519">
        <w:rPr>
          <w:rFonts w:ascii="Tahoma" w:hAnsi="Tahoma" w:cs="Tahoma"/>
          <w:sz w:val="18"/>
          <w:szCs w:val="18"/>
          <w:lang w:val="de-DE"/>
        </w:rPr>
        <w:t>Die für die Trainingsgutschein-Berechtigung erforderliche Mindestanzahl von Lizenzen, für die Software Assurance erworben wird, hängt vom Programm ab.</w:t>
      </w:r>
    </w:p>
    <w:p w:rsidR="00C65D66" w:rsidRPr="00BB5519" w:rsidRDefault="00C65D66" w:rsidP="00C65D66">
      <w:pPr>
        <w:tabs>
          <w:tab w:val="left" w:pos="10440"/>
        </w:tabs>
        <w:spacing w:before="120"/>
        <w:ind w:right="306"/>
        <w:rPr>
          <w:lang w:val="de-DE"/>
        </w:rPr>
      </w:pPr>
      <w:r w:rsidRPr="00BB5519">
        <w:rPr>
          <w:rFonts w:eastAsia="Calibri" w:cs="Tahoma"/>
          <w:b/>
          <w:i/>
          <w:color w:val="000000"/>
          <w:sz w:val="16"/>
          <w:szCs w:val="16"/>
          <w:lang w:val="de-DE"/>
        </w:rPr>
        <w:t>Anmerkung:</w:t>
      </w:r>
      <w:r w:rsidRPr="00BB5519">
        <w:rPr>
          <w:rFonts w:eastAsia="Calibri" w:cs="Tahoma"/>
          <w:i/>
          <w:color w:val="000000"/>
          <w:sz w:val="16"/>
          <w:szCs w:val="16"/>
          <w:lang w:val="de-DE"/>
        </w:rPr>
        <w:t xml:space="preserve"> Die verfügbaren Schulungstage basieren auf einem Beitritt oder Vertrag für volle 3 Jahre (weitere Informationen siehe unten).</w:t>
      </w:r>
      <w:r w:rsidR="009E4976" w:rsidRPr="00BB5519">
        <w:rPr>
          <w:rFonts w:eastAsia="Calibri" w:cs="Tahoma"/>
          <w:i/>
          <w:color w:val="000000"/>
          <w:sz w:val="16"/>
          <w:szCs w:val="16"/>
          <w:lang w:val="de-DE"/>
        </w:rPr>
        <w:t xml:space="preserve"> </w:t>
      </w:r>
    </w:p>
    <w:p w:rsidR="00C65D66" w:rsidRPr="00BB5519" w:rsidRDefault="00C65D66" w:rsidP="00C65D66">
      <w:pPr>
        <w:spacing w:after="60"/>
        <w:rPr>
          <w:lang w:val="de-DE"/>
        </w:rPr>
      </w:pPr>
      <w:r w:rsidRPr="00BB5519">
        <w:rPr>
          <w:rFonts w:eastAsia="Calibri" w:cs="Tahoma"/>
          <w:i/>
          <w:color w:val="000000"/>
          <w:sz w:val="16"/>
          <w:szCs w:val="16"/>
          <w:lang w:val="de-DE"/>
        </w:rPr>
        <w:t>Weitere Informationen finden Sie in der Tabelle mit der Office System-Anwendung</w:t>
      </w:r>
    </w:p>
    <w:p w:rsidR="00EC05F0" w:rsidRPr="00BB5519" w:rsidRDefault="00C65D66" w:rsidP="00F76ED4">
      <w:pPr>
        <w:tabs>
          <w:tab w:val="left" w:pos="10440"/>
        </w:tabs>
        <w:ind w:right="302"/>
        <w:rPr>
          <w:lang w:val="de-DE"/>
        </w:rPr>
      </w:pPr>
      <w:r w:rsidRPr="00BB5519">
        <w:rPr>
          <w:rFonts w:eastAsia="Calibri" w:cs="Tahoma"/>
          <w:i/>
          <w:color w:val="000000"/>
          <w:sz w:val="16"/>
          <w:szCs w:val="16"/>
          <w:lang w:val="de-DE"/>
        </w:rPr>
        <w:t>*Anzahl von Tagen pro berechtigten Beitritt oder Vertrag</w:t>
      </w:r>
    </w:p>
    <w:p w:rsidR="009D26EE" w:rsidRPr="009459D5" w:rsidRDefault="009D26EE" w:rsidP="003C56F1">
      <w:pPr>
        <w:pStyle w:val="AppendixBodyText"/>
        <w:spacing w:after="0"/>
        <w:rPr>
          <w:rFonts w:ascii="Tahoma" w:hAnsi="Tahoma" w:cs="Tahoma"/>
          <w:sz w:val="18"/>
          <w:szCs w:val="18"/>
          <w:lang w:val="de-DE"/>
        </w:rPr>
      </w:pP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Nicht alle Kurse sind in allen Sprachen verfügbar.</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Es gelten die vom Microsoft Learning Partner festgelegten lokalen Richtlinien.</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Verwalter von Vergünstigungen haben bis zu dem vom Microsoft Learning Partner festgelegten Datum für die Kursstornierung die Möglichkeit, einen Gutschein im zugewiesenen Status zu widerrufen.</w:t>
      </w:r>
    </w:p>
    <w:p w:rsidR="009D26EE" w:rsidRPr="00BB5519" w:rsidRDefault="009D26EE" w:rsidP="009459D5">
      <w:pPr>
        <w:pStyle w:val="AppendixBodyText"/>
        <w:numPr>
          <w:ilvl w:val="0"/>
          <w:numId w:val="33"/>
        </w:numPr>
        <w:spacing w:afterLines="60" w:after="144"/>
        <w:rPr>
          <w:lang w:val="de-DE"/>
        </w:rPr>
      </w:pPr>
      <w:r w:rsidRPr="00BB5519">
        <w:rPr>
          <w:rFonts w:ascii="Tahoma" w:hAnsi="Tahoma" w:cs="Tahoma"/>
          <w:bCs/>
          <w:sz w:val="18"/>
          <w:szCs w:val="18"/>
          <w:lang w:val="de-DE"/>
        </w:rPr>
        <w:t>Kurstage, die vom Gutschein nicht abgedeckt werden, müssen von der Person bezahlt werden, die</w:t>
      </w:r>
      <w:r w:rsidR="009459D5">
        <w:rPr>
          <w:rFonts w:ascii="Tahoma" w:hAnsi="Tahoma" w:cs="Tahoma"/>
          <w:bCs/>
          <w:sz w:val="18"/>
          <w:szCs w:val="18"/>
          <w:lang w:val="de-DE"/>
        </w:rPr>
        <w:t> </w:t>
      </w:r>
      <w:r w:rsidRPr="00BB5519">
        <w:rPr>
          <w:rFonts w:ascii="Tahoma" w:hAnsi="Tahoma" w:cs="Tahoma"/>
          <w:bCs/>
          <w:sz w:val="18"/>
          <w:szCs w:val="18"/>
          <w:lang w:val="de-DE"/>
        </w:rPr>
        <w:t>die Schulung erhält.</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Gutscheintage, die über die für einen bestimmten Kurs angewendete Anzahl von Tagen hinausgehen, fließen in den Pool der verfügbaren Tage zurück, die vom Verwalter von Vergünstigungen neu zugewiesen werden können.</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Für Kurse, die in einem beschleunigten Format bereitgestellt werden, ist die Anzahl von Gutscheintagen erforderlich, die der Anzahl von Kurstagen für die normale Kursbereitstellung entspricht.</w:t>
      </w:r>
    </w:p>
    <w:p w:rsidR="009D26EE" w:rsidRPr="00BB5519" w:rsidRDefault="009D26EE" w:rsidP="009459D5">
      <w:pPr>
        <w:pStyle w:val="AppendixBodyText"/>
        <w:keepNext/>
        <w:keepLines/>
        <w:numPr>
          <w:ilvl w:val="0"/>
          <w:numId w:val="33"/>
        </w:numPr>
        <w:spacing w:afterLines="60" w:after="144"/>
        <w:rPr>
          <w:lang w:val="de-DE"/>
        </w:rPr>
      </w:pPr>
      <w:r w:rsidRPr="00BB5519">
        <w:rPr>
          <w:rFonts w:ascii="Tahoma" w:hAnsi="Tahoma" w:cs="Tahoma"/>
          <w:bCs/>
          <w:sz w:val="18"/>
          <w:szCs w:val="18"/>
          <w:lang w:val="de-DE"/>
        </w:rPr>
        <w:lastRenderedPageBreak/>
        <w:t>Der Gutschein ist nur für Tage mit von Kursleitern durchgeführten Schulungen bei qualifizierten Microsoft Microsoft Learning Partnern für genehmigte Kurse einlösbar.</w:t>
      </w:r>
      <w:r w:rsidR="009E4976" w:rsidRPr="00BB5519">
        <w:rPr>
          <w:rFonts w:ascii="Tahoma" w:hAnsi="Tahoma" w:cs="Tahoma"/>
          <w:bCs/>
          <w:sz w:val="18"/>
          <w:szCs w:val="18"/>
          <w:lang w:val="de-DE"/>
        </w:rPr>
        <w:t xml:space="preserve"> </w:t>
      </w:r>
      <w:r w:rsidRPr="00BB5519">
        <w:rPr>
          <w:rFonts w:ascii="Tahoma" w:hAnsi="Tahoma" w:cs="Tahoma"/>
          <w:bCs/>
          <w:sz w:val="18"/>
          <w:szCs w:val="18"/>
          <w:lang w:val="de-DE"/>
        </w:rPr>
        <w:t>Angepasste Kurse (abgesehen von genehmigten Kursen mit beschleunigter Bereitstellung) werden durch diese Gutscheine nicht abgedeckt.</w:t>
      </w:r>
      <w:r w:rsidR="009E4976" w:rsidRPr="00BB5519">
        <w:rPr>
          <w:rFonts w:ascii="Tahoma" w:hAnsi="Tahoma" w:cs="Tahoma"/>
          <w:bCs/>
          <w:sz w:val="18"/>
          <w:szCs w:val="18"/>
          <w:lang w:val="de-DE"/>
        </w:rPr>
        <w:t xml:space="preserve"> </w:t>
      </w:r>
      <w:r w:rsidRPr="00BB5519">
        <w:rPr>
          <w:rFonts w:ascii="Tahoma" w:hAnsi="Tahoma" w:cs="Tahoma"/>
          <w:bCs/>
          <w:sz w:val="18"/>
          <w:szCs w:val="18"/>
          <w:lang w:val="de-DE"/>
        </w:rPr>
        <w:t xml:space="preserve">Informationen zu genehmigten Kursen finden Sie unter </w:t>
      </w:r>
      <w:r w:rsidRPr="00356C55">
        <w:rPr>
          <w:rFonts w:ascii="Tahoma" w:hAnsi="Tahoma" w:cs="Tahoma"/>
          <w:bCs/>
          <w:sz w:val="18"/>
          <w:szCs w:val="18"/>
          <w:lang w:val="de-DE"/>
        </w:rPr>
        <w:t>http://www.microsoft.com/learning/sa/training.mspx</w:t>
      </w:r>
      <w:r w:rsidRPr="00BB5519">
        <w:rPr>
          <w:rFonts w:ascii="Tahoma" w:hAnsi="Tahoma" w:cs="Tahoma"/>
          <w:bCs/>
          <w:sz w:val="18"/>
          <w:szCs w:val="18"/>
          <w:lang w:val="de-DE"/>
        </w:rPr>
        <w:t>.</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Gutscheine können nicht für Gebühren im Zusammenhang mit einem reservierten Kurs verwendet werden, zu dem ein Kunde nicht erschienen ist.</w:t>
      </w:r>
      <w:r w:rsidR="009E4976" w:rsidRPr="00BB5519">
        <w:rPr>
          <w:rFonts w:ascii="Tahoma" w:hAnsi="Tahoma" w:cs="Tahoma"/>
          <w:bCs/>
          <w:sz w:val="18"/>
          <w:szCs w:val="18"/>
          <w:lang w:val="de-DE"/>
        </w:rPr>
        <w:t xml:space="preserve"> </w:t>
      </w:r>
      <w:r w:rsidRPr="00BB5519">
        <w:rPr>
          <w:rFonts w:ascii="Tahoma" w:hAnsi="Tahoma" w:cs="Tahoma"/>
          <w:bCs/>
          <w:sz w:val="18"/>
          <w:szCs w:val="18"/>
          <w:lang w:val="de-DE"/>
        </w:rPr>
        <w:t xml:space="preserve">Für alle Gebühren im Zusammenhang mit „Nichterscheinen“ ist der Kunde verantwortlich. </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 xml:space="preserve">Gutscheine können nur von der Person eingelöst werden, die vom Kunden zur Nutzung des Gutscheins genehmigt wurde. </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Gutscheine können nicht gegen Bargeld, Zahlungen oder andere entgeltliche Gegenleistungen eingetauscht werden.</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Gutscheine müssen während der Software Assurance-Laufzeit zugewiesen werden.</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rsidR="00982A40" w:rsidRPr="00BB5519" w:rsidRDefault="00982A40" w:rsidP="005B6712">
      <w:pPr>
        <w:numPr>
          <w:ilvl w:val="0"/>
          <w:numId w:val="33"/>
        </w:numPr>
        <w:spacing w:afterLines="60" w:after="144"/>
      </w:pPr>
      <w:r w:rsidRPr="00BB5519">
        <w:rPr>
          <w:rFonts w:cs="Tahoma"/>
          <w:bCs/>
          <w:szCs w:val="18"/>
          <w:lang w:val="de-DE"/>
        </w:rPr>
        <w:t>Mit Ausnahme von Demonstrationssitzungen entspricht ein Trainingsgutschein-Tag einem Schulungssitzungstag.</w:t>
      </w:r>
      <w:r w:rsidR="009E4976" w:rsidRPr="00BB5519">
        <w:rPr>
          <w:rFonts w:cs="Tahoma"/>
          <w:bCs/>
          <w:szCs w:val="18"/>
          <w:lang w:val="de-DE"/>
        </w:rPr>
        <w:t xml:space="preserve"> </w:t>
      </w:r>
      <w:r w:rsidRPr="00BB5519">
        <w:rPr>
          <w:rFonts w:cs="Tahoma"/>
          <w:bCs/>
          <w:szCs w:val="18"/>
        </w:rPr>
        <w:t>Bei Demonstrationssitzungen entspricht ein Trainingsgutschein-Tag einer Demonstrationssitzung.</w:t>
      </w:r>
    </w:p>
    <w:p w:rsidR="00982A40" w:rsidRPr="00BB5519" w:rsidRDefault="00982A40" w:rsidP="009459D5">
      <w:pPr>
        <w:numPr>
          <w:ilvl w:val="0"/>
          <w:numId w:val="33"/>
        </w:numPr>
        <w:spacing w:afterLines="60" w:after="144"/>
        <w:rPr>
          <w:lang w:val="de-DE"/>
        </w:rPr>
      </w:pPr>
      <w:r w:rsidRPr="00BB5519">
        <w:rPr>
          <w:rFonts w:cs="Tahoma"/>
          <w:bCs/>
          <w:szCs w:val="18"/>
          <w:lang w:val="de-DE"/>
        </w:rPr>
        <w:t>Kunden müssen Trainingsgutscheine für Pakete aus mindestens vier Demonstrationssitzungen</w:t>
      </w:r>
      <w:r w:rsidR="009459D5">
        <w:rPr>
          <w:rFonts w:cs="Tahoma"/>
          <w:bCs/>
          <w:szCs w:val="18"/>
          <w:lang w:val="de-DE"/>
        </w:rPr>
        <w:t> </w:t>
      </w:r>
      <w:r w:rsidRPr="00BB5519">
        <w:rPr>
          <w:rFonts w:cs="Tahoma"/>
          <w:bCs/>
          <w:szCs w:val="18"/>
          <w:lang w:val="de-DE"/>
        </w:rPr>
        <w:t>einlösen.</w:t>
      </w:r>
    </w:p>
    <w:p w:rsidR="00982A40" w:rsidRPr="00BB5519" w:rsidRDefault="00982A40" w:rsidP="005B6712">
      <w:pPr>
        <w:numPr>
          <w:ilvl w:val="0"/>
          <w:numId w:val="33"/>
        </w:numPr>
        <w:spacing w:afterLines="60" w:after="144"/>
        <w:rPr>
          <w:lang w:val="de-DE"/>
        </w:rPr>
      </w:pPr>
      <w:r w:rsidRPr="00BB5519">
        <w:rPr>
          <w:rFonts w:cs="Tahoma"/>
          <w:bCs/>
          <w:szCs w:val="18"/>
          <w:lang w:val="de-DE"/>
        </w:rPr>
        <w:t>Für Demonstrationssitzungen eingelöste Trainingsgutscheine sind im Gegensatz zu für andere Schulungssitzungen eingelöste Trainingsgutscheine nicht auf eine Person beschränkt.</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 xml:space="preserve">Gutscheine können jeweils nur bei einem qualifizierten Microsoft Learning Partner zum Reservieren von Schulungen verwendet werden. </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Der Microsoft Learning Partner behält sich das Recht vor, einen Kurs in Übereinstimmung mit der örtlichen Stornierungsrichtlinie zu stornieren.</w:t>
      </w:r>
    </w:p>
    <w:p w:rsidR="009D26EE" w:rsidRPr="00BB5519" w:rsidRDefault="009D26EE" w:rsidP="005B6712">
      <w:pPr>
        <w:pStyle w:val="AppendixBodyText"/>
        <w:numPr>
          <w:ilvl w:val="0"/>
          <w:numId w:val="33"/>
        </w:numPr>
        <w:spacing w:afterLines="60" w:after="144"/>
      </w:pPr>
      <w:r w:rsidRPr="00BB5519">
        <w:rPr>
          <w:rFonts w:ascii="Tahoma" w:hAnsi="Tahoma" w:cs="Tahoma"/>
          <w:bCs/>
          <w:sz w:val="18"/>
          <w:szCs w:val="18"/>
          <w:lang w:val="de-DE"/>
        </w:rPr>
        <w:t xml:space="preserve">Gutscheine sind nur bei teilnehmenden Microsoft Learning Partnern gültig. Sie können bei jedem qualifizierten Microsoft Learning Partner weltweit verwendet werden. </w:t>
      </w:r>
      <w:r w:rsidRPr="00BB5519">
        <w:rPr>
          <w:rFonts w:ascii="Tahoma" w:hAnsi="Tahoma" w:cs="Tahoma"/>
          <w:bCs/>
          <w:sz w:val="18"/>
          <w:szCs w:val="18"/>
        </w:rPr>
        <w:t>Die Teilnahme kann unterschiedlich sein.</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Kunden müssen dem Microsoft Learning Partner vor Ende des Kurses die Gutscheininformationen zur Verfügung stellen, die sie für den Kurs anwenden möchten, um den Gutschein als Zahlung für den Kurs zu verwenden.</w:t>
      </w:r>
      <w:r w:rsidR="009E4976" w:rsidRPr="00BB5519">
        <w:rPr>
          <w:rFonts w:ascii="Tahoma" w:hAnsi="Tahoma" w:cs="Tahoma"/>
          <w:bCs/>
          <w:sz w:val="18"/>
          <w:szCs w:val="18"/>
          <w:lang w:val="de-DE"/>
        </w:rPr>
        <w:t xml:space="preserve"> </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Microsoft ist nicht für verlorene, gestohlene, verlegte oder missbrauchte Gutscheine verantwortlich.</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rsidR="009D26EE" w:rsidRPr="00BB5519" w:rsidRDefault="009D26EE" w:rsidP="008113AB">
      <w:pPr>
        <w:pStyle w:val="AppendixBodyText"/>
        <w:numPr>
          <w:ilvl w:val="0"/>
          <w:numId w:val="33"/>
        </w:numPr>
        <w:spacing w:afterLines="60" w:after="144"/>
        <w:rPr>
          <w:lang w:val="de-DE"/>
        </w:rPr>
      </w:pPr>
      <w:r w:rsidRPr="00BB5519">
        <w:rPr>
          <w:rFonts w:ascii="Tahoma" w:hAnsi="Tahoma" w:cs="Tahoma"/>
          <w:bCs/>
          <w:sz w:val="18"/>
          <w:szCs w:val="18"/>
          <w:lang w:val="de-DE"/>
        </w:rPr>
        <w:t>Gutscheine können nur von dem Kunden eingelöst werden, der für die Vergünstigung qualifiziert</w:t>
      </w:r>
      <w:r w:rsidR="008113AB">
        <w:rPr>
          <w:rFonts w:ascii="Tahoma" w:hAnsi="Tahoma" w:cs="Tahoma"/>
          <w:bCs/>
          <w:sz w:val="18"/>
          <w:szCs w:val="18"/>
          <w:lang w:val="de-DE"/>
        </w:rPr>
        <w:t> </w:t>
      </w:r>
      <w:r w:rsidRPr="00BB5519">
        <w:rPr>
          <w:rFonts w:ascii="Tahoma" w:hAnsi="Tahoma" w:cs="Tahoma"/>
          <w:bCs/>
          <w:sz w:val="18"/>
          <w:szCs w:val="18"/>
          <w:lang w:val="de-DE"/>
        </w:rPr>
        <w:t>ist.</w:t>
      </w:r>
    </w:p>
    <w:p w:rsidR="009D26EE" w:rsidRPr="00BB5519" w:rsidRDefault="009D26EE" w:rsidP="005B6712">
      <w:pPr>
        <w:pStyle w:val="AppendixBodyText"/>
        <w:numPr>
          <w:ilvl w:val="0"/>
          <w:numId w:val="33"/>
        </w:numPr>
        <w:spacing w:afterLines="60" w:after="144"/>
        <w:rPr>
          <w:lang w:val="de-DE"/>
        </w:rPr>
      </w:pPr>
      <w:r w:rsidRPr="00BB5519">
        <w:rPr>
          <w:rFonts w:ascii="Tahoma" w:hAnsi="Tahoma" w:cs="Tahoma"/>
          <w:bCs/>
          <w:sz w:val="18"/>
          <w:szCs w:val="18"/>
          <w:lang w:val="de-DE"/>
        </w:rP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rsidR="00973A93" w:rsidRPr="00BB5519" w:rsidRDefault="009D26EE" w:rsidP="005A141F">
      <w:pPr>
        <w:pStyle w:val="AppendixBodyText"/>
        <w:numPr>
          <w:ilvl w:val="0"/>
          <w:numId w:val="33"/>
        </w:numPr>
        <w:spacing w:after="0"/>
        <w:rPr>
          <w:lang w:val="de-DE"/>
        </w:rPr>
      </w:pPr>
      <w:r w:rsidRPr="00BB5519">
        <w:rPr>
          <w:rFonts w:ascii="Tahoma" w:hAnsi="Tahoma" w:cs="Tahoma"/>
          <w:bCs/>
          <w:sz w:val="18"/>
          <w:szCs w:val="18"/>
          <w:lang w:val="de-DE"/>
        </w:rPr>
        <w:t>In der Tabelle oben sind die verfügbaren Schulungstage basierend auf einem Beitritt oder Vertrag für volle 3 Jahre aufgeführt.</w:t>
      </w:r>
      <w:r w:rsidR="009E4976" w:rsidRPr="00BB5519">
        <w:rPr>
          <w:rFonts w:ascii="Tahoma" w:hAnsi="Tahoma" w:cs="Tahoma"/>
          <w:bCs/>
          <w:sz w:val="18"/>
          <w:szCs w:val="18"/>
          <w:lang w:val="de-DE"/>
        </w:rPr>
        <w:t xml:space="preserve"> </w:t>
      </w:r>
      <w:r w:rsidRPr="00BB5519">
        <w:rPr>
          <w:rFonts w:ascii="Tahoma" w:hAnsi="Tahoma" w:cs="Tahoma"/>
          <w:bCs/>
          <w:sz w:val="18"/>
          <w:szCs w:val="18"/>
          <w:lang w:val="de-DE"/>
        </w:rPr>
        <w:t>Kunden, die Software Assurance für ein Jahr erwerben, erhalten ein Drittel der angegebenen Anzahl von Schulungstagen.</w:t>
      </w:r>
      <w:r w:rsidR="009E4976" w:rsidRPr="00BB5519">
        <w:rPr>
          <w:rFonts w:ascii="Tahoma" w:hAnsi="Tahoma" w:cs="Tahoma"/>
          <w:bCs/>
          <w:sz w:val="18"/>
          <w:szCs w:val="18"/>
          <w:lang w:val="de-DE"/>
        </w:rPr>
        <w:t xml:space="preserve"> </w:t>
      </w:r>
      <w:r w:rsidRPr="00BB5519">
        <w:rPr>
          <w:rFonts w:ascii="Tahoma" w:hAnsi="Tahoma" w:cs="Tahoma"/>
          <w:bCs/>
          <w:sz w:val="18"/>
          <w:szCs w:val="18"/>
          <w:lang w:val="de-DE"/>
        </w:rPr>
        <w:t>Kunden, die Software Assurance für zwei Jahre erwerben, erhalten zwei Drittel der angegebenen Anzahl von Schulungstagen.</w:t>
      </w:r>
      <w:bookmarkStart w:id="797" w:name="_Toc336338234"/>
    </w:p>
    <w:p w:rsidR="00023FE7" w:rsidRPr="00EC2A0D" w:rsidRDefault="00023FE7">
      <w:pPr>
        <w:pStyle w:val="Heading3"/>
        <w:rPr>
          <w:rFonts w:ascii="Tahoma" w:hAnsi="Tahoma" w:cs="Tahoma"/>
          <w:sz w:val="24"/>
          <w:lang w:val="de-DE"/>
        </w:rPr>
      </w:pPr>
      <w:bookmarkStart w:id="798" w:name="_Toc354054930"/>
      <w:r w:rsidRPr="00EC2A0D">
        <w:rPr>
          <w:rFonts w:ascii="Tahoma" w:hAnsi="Tahoma" w:cs="Tahoma"/>
          <w:sz w:val="24"/>
          <w:lang w:val="de-DE"/>
        </w:rPr>
        <w:lastRenderedPageBreak/>
        <w:t>E-Learning</w:t>
      </w:r>
      <w:bookmarkEnd w:id="797"/>
      <w:bookmarkEnd w:id="798"/>
    </w:p>
    <w:p w:rsidR="00023FE7" w:rsidRPr="00BB5519" w:rsidRDefault="00023FE7" w:rsidP="002D25C8">
      <w:pPr>
        <w:rPr>
          <w:lang w:val="de-DE"/>
        </w:rPr>
      </w:pPr>
    </w:p>
    <w:p w:rsidR="003C56F1" w:rsidRPr="00BB5519" w:rsidRDefault="00324479" w:rsidP="008A7860">
      <w:pPr>
        <w:tabs>
          <w:tab w:val="num" w:pos="360"/>
        </w:tabs>
        <w:spacing w:after="60"/>
        <w:rPr>
          <w:lang w:val="de-DE"/>
        </w:rPr>
      </w:pPr>
      <w:r w:rsidRPr="00BB5519">
        <w:rPr>
          <w:rFonts w:cs="Tahoma"/>
          <w:b/>
          <w:szCs w:val="18"/>
          <w:lang w:val="de-DE"/>
        </w:rPr>
        <w:t>Berechtigte Software Assurance-Kunden</w:t>
      </w:r>
    </w:p>
    <w:p w:rsidR="00324479" w:rsidRPr="00BB5519" w:rsidRDefault="00324479" w:rsidP="002D25C8">
      <w:pPr>
        <w:tabs>
          <w:tab w:val="num" w:pos="360"/>
        </w:tabs>
        <w:rPr>
          <w:lang w:val="de-DE"/>
        </w:rPr>
      </w:pPr>
      <w:r w:rsidRPr="00BB5519">
        <w:rPr>
          <w:rFonts w:cs="Tahoma"/>
          <w:szCs w:val="18"/>
          <w:lang w:val="de-DE"/>
        </w:rPr>
        <w:t xml:space="preserve">Kunden mit Software Assurance für qualifizierende Produkte aus dem Anwendungs-, System- oder Server-Pool sind berechtigt, während der Software Assurance-Laufzeit die jeweilige E-Learning-Vergünstigung für Anwendungen, Systeme und Server zu nutzen. </w:t>
      </w:r>
    </w:p>
    <w:p w:rsidR="00324479" w:rsidRPr="00BB5519" w:rsidRDefault="00324479" w:rsidP="002D25C8">
      <w:pPr>
        <w:tabs>
          <w:tab w:val="num" w:pos="360"/>
        </w:tabs>
        <w:rPr>
          <w:lang w:val="de-DE"/>
        </w:rPr>
      </w:pPr>
    </w:p>
    <w:p w:rsidR="008A7860" w:rsidRPr="00D15040" w:rsidRDefault="00324479" w:rsidP="008A7860">
      <w:pPr>
        <w:tabs>
          <w:tab w:val="num" w:pos="360"/>
        </w:tabs>
        <w:spacing w:after="60"/>
        <w:rPr>
          <w:rFonts w:cs="Tahoma"/>
          <w:b/>
          <w:szCs w:val="18"/>
          <w:lang w:val="de-DE"/>
        </w:rPr>
      </w:pPr>
      <w:r w:rsidRPr="00D15040">
        <w:rPr>
          <w:rFonts w:cs="Tahoma"/>
          <w:b/>
          <w:szCs w:val="18"/>
          <w:lang w:val="de-DE"/>
        </w:rPr>
        <w:t>Für Onlinedienste-Vergünstigungen berechtigte Kunden</w:t>
      </w:r>
    </w:p>
    <w:p w:rsidR="00324479" w:rsidRPr="00BB5519" w:rsidRDefault="00324479" w:rsidP="002D25C8">
      <w:pPr>
        <w:tabs>
          <w:tab w:val="num" w:pos="360"/>
        </w:tabs>
        <w:rPr>
          <w:lang w:val="de-DE"/>
        </w:rPr>
      </w:pPr>
      <w:r w:rsidRPr="00BB5519">
        <w:rPr>
          <w:rFonts w:cs="Tahoma"/>
          <w:szCs w:val="18"/>
          <w:lang w:val="de-DE"/>
        </w:rPr>
        <w:t>Kunden mit Windows Intune (Pro Gerät) sind berechtigt, während der Laufzeit ihres Beitritts die E-Learning-Vergünstigung für Systeme zu verwenden.</w:t>
      </w:r>
      <w:r w:rsidR="009E4976" w:rsidRPr="00BB5519">
        <w:rPr>
          <w:rFonts w:cs="Tahoma"/>
          <w:szCs w:val="18"/>
          <w:lang w:val="de-DE"/>
        </w:rPr>
        <w:t xml:space="preserve"> </w:t>
      </w:r>
      <w:r w:rsidRPr="00BB5519">
        <w:rPr>
          <w:rFonts w:cs="Tahoma"/>
          <w:szCs w:val="18"/>
          <w:lang w:val="de-DE"/>
        </w:rPr>
        <w:t xml:space="preserve">Dementsprechend sind Office 365-Kunden berechtigt, während der Laufzeit ihres Beitritts die E-Learning-Vergünstigung für Anwendungen zu verwenden. </w:t>
      </w:r>
    </w:p>
    <w:p w:rsidR="00324479" w:rsidRPr="00BB5519" w:rsidRDefault="00324479" w:rsidP="002D25C8">
      <w:pPr>
        <w:tabs>
          <w:tab w:val="num" w:pos="360"/>
        </w:tabs>
        <w:rPr>
          <w:lang w:val="de-DE"/>
        </w:rPr>
      </w:pPr>
    </w:p>
    <w:p w:rsidR="00324479" w:rsidRPr="00BB5519" w:rsidRDefault="00324479" w:rsidP="002D25C8">
      <w:pPr>
        <w:rPr>
          <w:lang w:val="de-DE"/>
        </w:rPr>
      </w:pPr>
      <w:r w:rsidRPr="00BB5519">
        <w:rPr>
          <w:rFonts w:cs="Tahoma"/>
          <w:szCs w:val="18"/>
          <w:lang w:val="de-DE"/>
        </w:rPr>
        <w:t>Berechtigte Kunden erhalten pro qualifizierendem Beitritt/Vertrag einen Zugriffscode (für Anwendungen, Systeme, Server, Windows Intune (Pro Gerät) und Office 365).</w:t>
      </w:r>
      <w:r w:rsidR="009E4976" w:rsidRPr="00BB5519">
        <w:rPr>
          <w:rFonts w:cs="Tahoma"/>
          <w:szCs w:val="18"/>
          <w:lang w:val="de-DE"/>
        </w:rPr>
        <w:t xml:space="preserve"> </w:t>
      </w:r>
      <w:r w:rsidRPr="00BB5519">
        <w:rPr>
          <w:rFonts w:cs="Tahoma"/>
          <w:szCs w:val="18"/>
          <w:lang w:val="de-DE"/>
        </w:rPr>
        <w:t>Kunden können außerdem SCORM-kompatible, nur aus Inhalt bestehende E-Learning-Dateien (für Anwendungen und Systeme) von VLSC herunterladen, um sie in ihr Learning Management System (LMS) zu importieren.</w:t>
      </w:r>
      <w:r w:rsidR="009E4976" w:rsidRPr="00BB5519">
        <w:rPr>
          <w:rFonts w:cs="Tahoma"/>
          <w:szCs w:val="18"/>
          <w:lang w:val="de-DE"/>
        </w:rPr>
        <w:t xml:space="preserve"> </w:t>
      </w:r>
      <w:r w:rsidRPr="00BB5519">
        <w:rPr>
          <w:rFonts w:cs="Tahoma"/>
          <w:szCs w:val="18"/>
          <w:lang w:val="de-DE"/>
        </w:rPr>
        <w:t>Zum Herunterladen der Dateien von VLSC ist kein Zugriffscode erforderlich. Konzernvertrags- und Select-Kunden sind berechtigt, SCORM-kompatible Inhalte (für Anwendungen und Systeme) per Download oder DVD zu erwerben, während Open- und Open Value-Kunden SCORM-kompatible Inhalte (für Anwendungen und Systeme) nur per DVD erwerben dürfen.</w:t>
      </w:r>
    </w:p>
    <w:p w:rsidR="00324479" w:rsidRPr="00BB5519" w:rsidRDefault="00324479" w:rsidP="002D25C8">
      <w:pPr>
        <w:rPr>
          <w:lang w:val="de-DE"/>
        </w:rPr>
      </w:pPr>
    </w:p>
    <w:p w:rsidR="00324479" w:rsidRPr="00BB5519" w:rsidRDefault="00324479" w:rsidP="002D25C8">
      <w:pPr>
        <w:rPr>
          <w:lang w:val="de-DE"/>
        </w:rPr>
      </w:pPr>
      <w:r w:rsidRPr="00BB5519">
        <w:rPr>
          <w:rFonts w:cs="Tahoma"/>
          <w:szCs w:val="18"/>
          <w:lang w:val="de-DE"/>
        </w:rPr>
        <w:t>Die maximale Anzahl von Nutzern, für die der Kunde E-Learning-Schulungen verwenden darf, entspricht der Anzahl von lizenzierten Kopien qualifizierender Produkte, für die der Kunde Software Assurance oder Abonnements für Windows Intune (Pro Gerät) oder Office 365-Suites erworben hat. Kunden müssen für jede qualifizierende Lizenz einen Nutzer benennen.</w:t>
      </w:r>
      <w:r w:rsidR="009E4976" w:rsidRPr="00BB5519">
        <w:rPr>
          <w:rFonts w:cs="Tahoma"/>
          <w:szCs w:val="18"/>
          <w:lang w:val="de-DE"/>
        </w:rPr>
        <w:t xml:space="preserve"> </w:t>
      </w:r>
      <w:r w:rsidRPr="00BB5519">
        <w:rPr>
          <w:rFonts w:cs="Tahoma"/>
          <w:szCs w:val="18"/>
          <w:lang w:val="de-DE"/>
        </w:rPr>
        <w:t>Der Zugriff kann nicht von einem Nutzer auf einen anderen übertragen werden.</w:t>
      </w:r>
      <w:r w:rsidR="009E4976" w:rsidRPr="00BB5519">
        <w:rPr>
          <w:rFonts w:cs="Tahoma"/>
          <w:szCs w:val="18"/>
          <w:lang w:val="de-DE"/>
        </w:rPr>
        <w:t xml:space="preserve"> </w:t>
      </w:r>
      <w:r w:rsidRPr="00BB5519">
        <w:rPr>
          <w:rFonts w:cs="Tahoma"/>
          <w:szCs w:val="18"/>
          <w:lang w:val="de-DE"/>
        </w:rPr>
        <w:t>Beim Start eines einzelnen Kurses hat jeder qualifizierte Nutzer bis zu 12 Monate Zeit, um den Kurs abzuschließen, bevor der Zugriff abläuft, sofern dieser Kurs vor Ablauf von Software Assurance oder der Abonnementlizenz gestartet wird.</w:t>
      </w:r>
    </w:p>
    <w:p w:rsidR="00324479" w:rsidRPr="00BB5519" w:rsidRDefault="00324479" w:rsidP="002D25C8">
      <w:pPr>
        <w:tabs>
          <w:tab w:val="num" w:pos="360"/>
        </w:tabs>
        <w:rPr>
          <w:lang w:val="de-DE"/>
        </w:rPr>
      </w:pPr>
    </w:p>
    <w:p w:rsidR="00324479" w:rsidRPr="00BB5519" w:rsidRDefault="00324479" w:rsidP="002D25C8">
      <w:pPr>
        <w:tabs>
          <w:tab w:val="num" w:pos="0"/>
        </w:tabs>
        <w:rPr>
          <w:lang w:val="de-DE"/>
        </w:rPr>
      </w:pPr>
      <w:r w:rsidRPr="00BB5519">
        <w:rPr>
          <w:rFonts w:cs="Tahoma"/>
          <w:szCs w:val="18"/>
          <w:lang w:val="de-DE"/>
        </w:rPr>
        <w:t xml:space="preserve">Berechtigte Kunden können E-Learning-Kits bei einem regionalen Fulfillment-Center erwerben, wenn die Online-Option nicht ausreicht. </w:t>
      </w:r>
    </w:p>
    <w:p w:rsidR="00324479" w:rsidRPr="00BB5519" w:rsidRDefault="00324479" w:rsidP="002D25C8">
      <w:pPr>
        <w:tabs>
          <w:tab w:val="num" w:pos="0"/>
        </w:tabs>
        <w:rPr>
          <w:lang w:val="de-DE"/>
        </w:rPr>
      </w:pPr>
      <w:r w:rsidRPr="00BB5519">
        <w:rPr>
          <w:rFonts w:cs="Tahoma"/>
          <w:szCs w:val="18"/>
          <w:lang w:val="de-DE"/>
        </w:rPr>
        <w:t>Die Bereitstellung und Nutzung der E-Learning-Kurse durch Kunden unterliegt den Bestimmungen ihres Lizenzvertrages.</w:t>
      </w:r>
      <w:r w:rsidR="009E4976" w:rsidRPr="00BB5519">
        <w:rPr>
          <w:rFonts w:cs="Tahoma"/>
          <w:szCs w:val="18"/>
          <w:lang w:val="de-DE"/>
        </w:rPr>
        <w:t xml:space="preserve"> </w:t>
      </w:r>
    </w:p>
    <w:p w:rsidR="00324479" w:rsidRPr="00BB5519" w:rsidRDefault="00324479" w:rsidP="002D25C8">
      <w:pPr>
        <w:tabs>
          <w:tab w:val="num" w:pos="0"/>
        </w:tabs>
        <w:rPr>
          <w:lang w:val="de-DE"/>
        </w:rPr>
      </w:pPr>
    </w:p>
    <w:p w:rsidR="008A7860" w:rsidRPr="00D15040" w:rsidRDefault="008A7860" w:rsidP="008A7860">
      <w:pPr>
        <w:spacing w:after="60"/>
        <w:rPr>
          <w:rFonts w:cs="Tahoma"/>
          <w:b/>
          <w:szCs w:val="18"/>
          <w:lang w:val="de-DE"/>
        </w:rPr>
      </w:pPr>
      <w:r w:rsidRPr="00D15040">
        <w:rPr>
          <w:rFonts w:cs="Tahoma"/>
          <w:b/>
          <w:szCs w:val="18"/>
          <w:lang w:val="de-DE"/>
        </w:rPr>
        <w:t>E-Learning-Anwendungen</w:t>
      </w:r>
    </w:p>
    <w:p w:rsidR="00324479" w:rsidRPr="00BB5519" w:rsidRDefault="00324479" w:rsidP="002D25C8">
      <w:pPr>
        <w:rPr>
          <w:lang w:val="de-DE"/>
        </w:rPr>
      </w:pPr>
      <w:r w:rsidRPr="00BB5519">
        <w:rPr>
          <w:rFonts w:cs="Tahoma"/>
          <w:szCs w:val="18"/>
          <w:lang w:val="de-DE"/>
        </w:rPr>
        <w:t xml:space="preserve">Kunden </w:t>
      </w:r>
      <w:r w:rsidRPr="00BB5519">
        <w:rPr>
          <w:rFonts w:cs="Tahoma"/>
          <w:color w:val="000000"/>
          <w:szCs w:val="18"/>
          <w:lang w:val="de-DE"/>
        </w:rPr>
        <w:t>mit Office 365 ProPlus,</w:t>
      </w:r>
      <w:r w:rsidRPr="00BB5519">
        <w:rPr>
          <w:rFonts w:cs="Tahoma"/>
          <w:szCs w:val="18"/>
          <w:lang w:val="de-DE"/>
        </w:rPr>
        <w:t xml:space="preserve"> Office 365-Suites und Software Assurance für qualifizierende Anwendungsprodukte sind berechtigt, gehostete E-Learning-Kurse und SCORM-kompatible Inhalte zu verwenden.</w:t>
      </w:r>
      <w:r w:rsidR="009E4976" w:rsidRPr="00BB5519">
        <w:rPr>
          <w:rFonts w:cs="Tahoma"/>
          <w:szCs w:val="18"/>
          <w:lang w:val="de-DE"/>
        </w:rPr>
        <w:t xml:space="preserve"> </w:t>
      </w:r>
    </w:p>
    <w:p w:rsidR="00324479" w:rsidRPr="00BB5519" w:rsidRDefault="00324479" w:rsidP="002D25C8">
      <w:pPr>
        <w:rPr>
          <w:lang w:val="de-DE"/>
        </w:rPr>
      </w:pPr>
    </w:p>
    <w:p w:rsidR="008A7860" w:rsidRPr="00D15040" w:rsidRDefault="008A7860" w:rsidP="008A7860">
      <w:pPr>
        <w:spacing w:after="60"/>
        <w:rPr>
          <w:rFonts w:cs="Tahoma"/>
          <w:b/>
          <w:szCs w:val="18"/>
          <w:lang w:val="de-DE"/>
        </w:rPr>
      </w:pPr>
      <w:r w:rsidRPr="00D15040">
        <w:rPr>
          <w:rFonts w:cs="Tahoma"/>
          <w:b/>
          <w:szCs w:val="18"/>
          <w:lang w:val="de-DE"/>
        </w:rPr>
        <w:t>E-Learning-Systeme</w:t>
      </w:r>
    </w:p>
    <w:p w:rsidR="00324479" w:rsidRPr="00BB5519" w:rsidRDefault="00324479" w:rsidP="002D25C8">
      <w:pPr>
        <w:rPr>
          <w:lang w:val="de-DE"/>
        </w:rPr>
      </w:pPr>
      <w:r w:rsidRPr="00BB5519">
        <w:rPr>
          <w:rFonts w:cs="Tahoma"/>
          <w:szCs w:val="18"/>
          <w:lang w:val="de-DE"/>
        </w:rPr>
        <w:t>Kunden mit Windows Intune (Pro Gerät) und Software Assurance für qualifizierende Systemprodukte sind berechtigt, die gehosteten E-Learning-Client-Kurse und SCORM-kompatible Inhalte zu verwenden.</w:t>
      </w:r>
      <w:r w:rsidR="009E4976" w:rsidRPr="00BB5519">
        <w:rPr>
          <w:rFonts w:cs="Tahoma"/>
          <w:szCs w:val="18"/>
          <w:lang w:val="de-DE"/>
        </w:rPr>
        <w:t xml:space="preserve"> </w:t>
      </w:r>
    </w:p>
    <w:p w:rsidR="00324479" w:rsidRPr="00BB5519" w:rsidRDefault="00324479" w:rsidP="002D25C8">
      <w:pPr>
        <w:rPr>
          <w:lang w:val="de-DE"/>
        </w:rPr>
      </w:pPr>
    </w:p>
    <w:p w:rsidR="008A7860" w:rsidRPr="00D15040" w:rsidRDefault="008A7860" w:rsidP="006A6C59">
      <w:pPr>
        <w:rPr>
          <w:rFonts w:cs="Tahoma"/>
          <w:b/>
          <w:szCs w:val="18"/>
          <w:lang w:val="de-DE"/>
        </w:rPr>
      </w:pPr>
      <w:r w:rsidRPr="00D15040">
        <w:rPr>
          <w:rFonts w:cs="Tahoma"/>
          <w:b/>
          <w:szCs w:val="18"/>
          <w:lang w:val="de-DE"/>
        </w:rPr>
        <w:t>E-Learning-Server</w:t>
      </w:r>
    </w:p>
    <w:p w:rsidR="00324479" w:rsidRPr="00BB5519" w:rsidRDefault="00324479" w:rsidP="002D25C8">
      <w:pPr>
        <w:rPr>
          <w:lang w:val="de-DE"/>
        </w:rPr>
      </w:pPr>
      <w:r w:rsidRPr="00BB5519">
        <w:rPr>
          <w:rFonts w:cs="Tahoma"/>
          <w:szCs w:val="18"/>
          <w:lang w:val="de-DE"/>
        </w:rPr>
        <w:t>Kunden mit Software Assurance für qualifizierende Serverprodukte sind berechtigt, die gehosteten E-Learning-Server-Kurse zu verwenden.</w:t>
      </w:r>
      <w:r w:rsidR="009E4976" w:rsidRPr="00BB5519">
        <w:rPr>
          <w:rFonts w:cs="Tahoma"/>
          <w:szCs w:val="18"/>
          <w:lang w:val="de-DE"/>
        </w:rPr>
        <w:t xml:space="preserve"> </w:t>
      </w:r>
    </w:p>
    <w:p w:rsidR="006A6C59" w:rsidRDefault="006A6C59">
      <w:pPr>
        <w:rPr>
          <w:lang w:val="de-DE"/>
        </w:rPr>
      </w:pPr>
      <w:bookmarkStart w:id="799" w:name="_Toc336338235"/>
      <w:r>
        <w:rPr>
          <w:lang w:val="de-DE"/>
        </w:rPr>
        <w:br w:type="page"/>
      </w:r>
    </w:p>
    <w:p w:rsidR="00023FE7" w:rsidRPr="00EC2A0D" w:rsidRDefault="00023FE7" w:rsidP="002D25C8">
      <w:pPr>
        <w:pStyle w:val="Heading3"/>
        <w:rPr>
          <w:rFonts w:ascii="Tahoma" w:hAnsi="Tahoma" w:cs="Tahoma"/>
          <w:sz w:val="24"/>
          <w:lang w:val="de-DE"/>
        </w:rPr>
      </w:pPr>
      <w:bookmarkStart w:id="800" w:name="_Toc354054931"/>
      <w:r w:rsidRPr="00EC2A0D">
        <w:rPr>
          <w:rFonts w:ascii="Tahoma" w:hAnsi="Tahoma" w:cs="Tahoma"/>
          <w:sz w:val="24"/>
          <w:lang w:val="de-DE"/>
        </w:rPr>
        <w:lastRenderedPageBreak/>
        <w:t>Home Use Program</w:t>
      </w:r>
      <w:bookmarkEnd w:id="799"/>
      <w:bookmarkEnd w:id="800"/>
    </w:p>
    <w:p w:rsidR="009459D5" w:rsidRPr="00D15040" w:rsidRDefault="009459D5" w:rsidP="009459D5">
      <w:pPr>
        <w:rPr>
          <w:rFonts w:cs="Tahoma"/>
          <w:lang w:val="de-DE"/>
        </w:rPr>
      </w:pPr>
    </w:p>
    <w:p w:rsidR="00023FE7" w:rsidRPr="00BB5519" w:rsidRDefault="00023FE7" w:rsidP="009459D5">
      <w:pPr>
        <w:pStyle w:val="AppendixBodyText"/>
        <w:spacing w:after="0"/>
        <w:rPr>
          <w:lang w:val="de-DE"/>
        </w:rPr>
      </w:pPr>
      <w:r w:rsidRPr="00BB5519">
        <w:rPr>
          <w:rFonts w:ascii="Tahoma" w:hAnsi="Tahoma" w:cs="Tahoma"/>
          <w:sz w:val="18"/>
          <w:szCs w:val="18"/>
          <w:lang w:val="de-DE"/>
        </w:rPr>
        <w:t xml:space="preserve">Kunden mit aktiver Software Assurance für qualifizierende Desktop-Anwendungsprodukte sind berechtigt, </w:t>
      </w:r>
      <w:r w:rsidRPr="00BB5519">
        <w:rPr>
          <w:rFonts w:ascii="Tahoma" w:hAnsi="Tahoma" w:cs="Tahoma"/>
          <w:color w:val="000000"/>
          <w:sz w:val="18"/>
          <w:szCs w:val="18"/>
          <w:lang w:val="de-DE"/>
        </w:rPr>
        <w:t>am Home Use Program teilzunehmen**.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Im Rahmen des Home Use Program können Mitarbeiter des Kunden, die Nutzer der lizenzierten qualifizierenden Anwendungen sind, eine einzelne Lizenz für die entsprechende Home Use Program-Software zur Installation auf einem Heimcomputer erwerben. Die Lizenzbestimmungen für diese Software gestatten es dem Hauptnutzer des Heimcomputers, eine weitere Kopie auf einem tragbaren Gerät zu installieren und zu verwenden.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Vorausgesetzt, ihre Mitarbeiter erwerben zunächst die entsprechenden Lizenzschlüssel für das Home Use</w:t>
      </w:r>
      <w:r w:rsidR="009459D5">
        <w:rPr>
          <w:rFonts w:ascii="Tahoma" w:hAnsi="Tahoma" w:cs="Tahoma"/>
          <w:color w:val="000000"/>
          <w:sz w:val="18"/>
          <w:szCs w:val="18"/>
          <w:lang w:val="de-DE"/>
        </w:rPr>
        <w:t> </w:t>
      </w:r>
      <w:r w:rsidRPr="00BB5519">
        <w:rPr>
          <w:rFonts w:ascii="Tahoma" w:hAnsi="Tahoma" w:cs="Tahoma"/>
          <w:color w:val="000000"/>
          <w:sz w:val="18"/>
          <w:szCs w:val="18"/>
          <w:lang w:val="de-DE"/>
        </w:rPr>
        <w:t>Program von Microsoft, sind Kunden berechtigt, ihren Mitarbeitern die Installation der entsprechenden Home Use</w:t>
      </w:r>
      <w:r w:rsidR="009459D5">
        <w:rPr>
          <w:rFonts w:ascii="Tahoma" w:hAnsi="Tahoma" w:cs="Tahoma"/>
          <w:color w:val="000000"/>
          <w:sz w:val="18"/>
          <w:szCs w:val="18"/>
          <w:lang w:val="de-DE"/>
        </w:rPr>
        <w:t> </w:t>
      </w:r>
      <w:r w:rsidRPr="00BB5519">
        <w:rPr>
          <w:rFonts w:ascii="Tahoma" w:hAnsi="Tahoma" w:cs="Tahoma"/>
          <w:color w:val="000000"/>
          <w:sz w:val="18"/>
          <w:szCs w:val="18"/>
          <w:lang w:val="de-DE"/>
        </w:rPr>
        <w:t>Program-Software, die von Kunden unter ihren Volumenlizenzverträgen erworben wurde, auf Heimcomputern der Mitarbeiter und tragbaren Geräten auf dem Betriebsgelände der Kunden zu erlauben. Wenn während des qualifizierten Nutzungszeitraums eine neue Version veröffentlicht wird, können die Hauptnutzer die neueste Version erwerben, um die aktuell installierte Version zu ersetzen.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Anhand der Tabelle oder der einzelnen Produktabschnitte unten können Sie ermitteln, durch welche Desktop-Anwendungen sich Kunden für die Teilnahme am Home Use Program qualifizieren.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Die Desktop-Anwendungen, die über das Home Use Program verfügbar sind, sind ebenfalls in der Tabelle unten aufgeführt*.</w:t>
      </w:r>
    </w:p>
    <w:p w:rsidR="00023FE7" w:rsidRPr="006A6C59" w:rsidRDefault="00023FE7" w:rsidP="002D25C8">
      <w:pPr>
        <w:pStyle w:val="AppendixBodyText"/>
        <w:spacing w:after="0"/>
        <w:rPr>
          <w:rFonts w:ascii="Tahoma" w:hAnsi="Tahoma" w:cs="Tahoma"/>
          <w:sz w:val="16"/>
          <w:szCs w:val="16"/>
          <w:lang w:val="de-DE"/>
        </w:rPr>
      </w:pPr>
    </w:p>
    <w:p w:rsidR="00023FE7" w:rsidRPr="00BB5519" w:rsidRDefault="00023FE7" w:rsidP="009459D5">
      <w:pPr>
        <w:pStyle w:val="AppendixFlushBulletedList"/>
        <w:tabs>
          <w:tab w:val="clear" w:pos="360"/>
        </w:tabs>
        <w:ind w:left="0" w:firstLine="0"/>
        <w:rPr>
          <w:lang w:val="de-DE"/>
        </w:rPr>
      </w:pPr>
      <w:r w:rsidRPr="00BB5519">
        <w:rPr>
          <w:rFonts w:ascii="Tahoma" w:hAnsi="Tahoma" w:cs="Tahoma"/>
          <w:sz w:val="18"/>
          <w:szCs w:val="18"/>
          <w:lang w:val="de-DE"/>
        </w:rPr>
        <w:t>Die Berechtigung von Kunden zur Teilnahme am Home Use Program endet mit Ablauf oder Kündigung von Software Assurance für qualifizierende Desktop-Anwendungen.</w:t>
      </w:r>
      <w:r w:rsidR="009E4976" w:rsidRPr="00BB5519">
        <w:rPr>
          <w:rFonts w:ascii="Tahoma" w:hAnsi="Tahoma" w:cs="Tahoma"/>
          <w:sz w:val="18"/>
          <w:szCs w:val="18"/>
          <w:lang w:val="de-DE"/>
        </w:rPr>
        <w:t xml:space="preserve"> </w:t>
      </w:r>
      <w:r w:rsidRPr="00BB5519">
        <w:rPr>
          <w:rFonts w:ascii="Tahoma" w:hAnsi="Tahoma" w:cs="Tahoma"/>
          <w:sz w:val="18"/>
          <w:szCs w:val="18"/>
          <w:lang w:val="de-DE"/>
        </w:rPr>
        <w:t>Microsoft ist berechtigt, die Teilnahme eines Kunden am Home</w:t>
      </w:r>
      <w:r w:rsidR="009459D5">
        <w:rPr>
          <w:rFonts w:ascii="Tahoma" w:hAnsi="Tahoma" w:cs="Tahoma"/>
          <w:sz w:val="18"/>
          <w:szCs w:val="18"/>
          <w:lang w:val="de-DE"/>
        </w:rPr>
        <w:t> </w:t>
      </w:r>
      <w:r w:rsidRPr="00BB5519">
        <w:rPr>
          <w:rFonts w:ascii="Tahoma" w:hAnsi="Tahoma" w:cs="Tahoma"/>
          <w:sz w:val="18"/>
          <w:szCs w:val="18"/>
          <w:lang w:val="de-DE"/>
        </w:rPr>
        <w:t>Use Program unverzüglich und ohne Ankündigung in Verbindung mit dem unbefugten Zugriff auf oder der Lizenzierung durch die Home Use Program-Website im Zusammenhang mit dem Programmcode dieses Kunden zu</w:t>
      </w:r>
      <w:r w:rsidR="009459D5">
        <w:rPr>
          <w:rFonts w:ascii="Tahoma" w:hAnsi="Tahoma" w:cs="Tahoma"/>
          <w:sz w:val="18"/>
          <w:szCs w:val="18"/>
          <w:lang w:val="de-DE"/>
        </w:rPr>
        <w:t> </w:t>
      </w:r>
      <w:r w:rsidRPr="00BB5519">
        <w:rPr>
          <w:rFonts w:ascii="Tahoma" w:hAnsi="Tahoma" w:cs="Tahoma"/>
          <w:sz w:val="18"/>
          <w:szCs w:val="18"/>
          <w:lang w:val="de-DE"/>
        </w:rPr>
        <w:t xml:space="preserve">kündigen. </w:t>
      </w:r>
    </w:p>
    <w:p w:rsidR="006A6C59" w:rsidRPr="006A6C59" w:rsidRDefault="006A6C59" w:rsidP="006A6C59">
      <w:pPr>
        <w:pStyle w:val="AppendixBodyText"/>
        <w:spacing w:after="0"/>
        <w:rPr>
          <w:rFonts w:ascii="Tahoma" w:hAnsi="Tahoma" w:cs="Tahoma"/>
          <w:sz w:val="16"/>
          <w:szCs w:val="16"/>
          <w:lang w:val="de-DE"/>
        </w:rPr>
      </w:pPr>
    </w:p>
    <w:p w:rsidR="00023FE7" w:rsidRPr="00BB5519" w:rsidRDefault="00023FE7" w:rsidP="009459D5">
      <w:pPr>
        <w:pStyle w:val="AppendixFlushBulletedList"/>
        <w:tabs>
          <w:tab w:val="clear" w:pos="360"/>
        </w:tabs>
        <w:ind w:left="0" w:firstLine="0"/>
        <w:rPr>
          <w:lang w:val="de-DE"/>
        </w:rPr>
      </w:pPr>
      <w:r w:rsidRPr="00BB5519">
        <w:rPr>
          <w:rFonts w:ascii="Tahoma" w:hAnsi="Tahoma" w:cs="Tahoma"/>
          <w:sz w:val="18"/>
          <w:szCs w:val="18"/>
          <w:lang w:val="de-DE"/>
        </w:rPr>
        <w:t>Die Anzahl der Home Use Program-Lizenzen, die für eine bestimmte Desktop-Anwendung erworben werden können,</w:t>
      </w:r>
      <w:r w:rsidR="009459D5">
        <w:rPr>
          <w:rFonts w:ascii="Tahoma" w:hAnsi="Tahoma" w:cs="Tahoma"/>
          <w:sz w:val="18"/>
          <w:szCs w:val="18"/>
          <w:lang w:val="de-DE"/>
        </w:rPr>
        <w:t> </w:t>
      </w:r>
      <w:r w:rsidRPr="00BB5519">
        <w:rPr>
          <w:rFonts w:ascii="Tahoma" w:hAnsi="Tahoma" w:cs="Tahoma"/>
          <w:sz w:val="18"/>
          <w:szCs w:val="18"/>
          <w:lang w:val="de-DE"/>
        </w:rPr>
        <w:t>ist auf die Anzahl von Lizenzen für die entsprechenden qualifizierenden Desktop-Anwendungen beschränkt, für die der Kunde Software Assurance erwirbt.</w:t>
      </w:r>
      <w:r w:rsidR="009E4976" w:rsidRPr="00BB5519">
        <w:rPr>
          <w:rFonts w:ascii="Tahoma" w:hAnsi="Tahoma" w:cs="Tahoma"/>
          <w:sz w:val="18"/>
          <w:szCs w:val="18"/>
          <w:lang w:val="de-DE"/>
        </w:rPr>
        <w:t xml:space="preserve"> </w:t>
      </w:r>
      <w:r w:rsidRPr="00BB5519">
        <w:rPr>
          <w:rFonts w:ascii="Tahoma" w:hAnsi="Tahoma" w:cs="Tahoma"/>
          <w:sz w:val="18"/>
          <w:szCs w:val="18"/>
          <w:lang w:val="de-DE"/>
        </w:rPr>
        <w:t>Im Rahmen des Home Use Program sind die Nutzungsrechte eines Mitarbeiters an die anhaltende Beschäftigung bei dem Kunden geknüpft und enden mit der Beendigung des Beschäftigungsverhältnisses, der Kündigung oder dem Ablauf von Software Assurance für die Kopie der entsprechenden Desktop-Anwendung, die der Mitarbeiter bei der Arbeit verwendet, wenn der Mitarbeiter kein Nutzer</w:t>
      </w:r>
      <w:r w:rsidR="009459D5">
        <w:rPr>
          <w:rFonts w:ascii="Tahoma" w:hAnsi="Tahoma" w:cs="Tahoma"/>
          <w:sz w:val="18"/>
          <w:szCs w:val="18"/>
          <w:lang w:val="de-DE"/>
        </w:rPr>
        <w:t> </w:t>
      </w:r>
      <w:r w:rsidRPr="00BB5519">
        <w:rPr>
          <w:rFonts w:ascii="Tahoma" w:hAnsi="Tahoma" w:cs="Tahoma"/>
          <w:sz w:val="18"/>
          <w:szCs w:val="18"/>
          <w:lang w:val="de-DE"/>
        </w:rPr>
        <w:t>der lizenzierten Kopie der Software ist oder wenn der Mitarbeiter eine vorherige oder spätere Version dieser</w:t>
      </w:r>
      <w:r w:rsidR="009459D5">
        <w:rPr>
          <w:rFonts w:ascii="Tahoma" w:hAnsi="Tahoma" w:cs="Tahoma"/>
          <w:sz w:val="18"/>
          <w:szCs w:val="18"/>
          <w:lang w:val="de-DE"/>
        </w:rPr>
        <w:t> </w:t>
      </w:r>
      <w:r w:rsidRPr="00BB5519">
        <w:rPr>
          <w:rFonts w:ascii="Tahoma" w:hAnsi="Tahoma" w:cs="Tahoma"/>
          <w:sz w:val="18"/>
          <w:szCs w:val="18"/>
          <w:lang w:val="de-DE"/>
        </w:rPr>
        <w:t>Desktop-Anwendung gemäß einer Home Use Program-Lizenz installiert oder verwendet.</w:t>
      </w:r>
    </w:p>
    <w:p w:rsidR="006A6C59" w:rsidRPr="006A6C59" w:rsidRDefault="006A6C59" w:rsidP="006A6C59">
      <w:pPr>
        <w:pStyle w:val="AppendixBodyText"/>
        <w:spacing w:after="0"/>
        <w:rPr>
          <w:rFonts w:ascii="Tahoma" w:hAnsi="Tahoma" w:cs="Tahoma"/>
          <w:sz w:val="16"/>
          <w:szCs w:val="16"/>
          <w:lang w:val="de-DE"/>
        </w:rPr>
      </w:pPr>
    </w:p>
    <w:p w:rsidR="00023FE7" w:rsidRPr="00BB5519" w:rsidRDefault="00023FE7" w:rsidP="002D25C8">
      <w:pPr>
        <w:pStyle w:val="AppendixFlushBulletedList"/>
        <w:tabs>
          <w:tab w:val="clear" w:pos="360"/>
        </w:tabs>
        <w:ind w:left="0" w:firstLine="0"/>
        <w:rPr>
          <w:lang w:val="de-DE"/>
        </w:rPr>
      </w:pPr>
      <w:r w:rsidRPr="00BB5519">
        <w:rPr>
          <w:rFonts w:ascii="Tahoma" w:hAnsi="Tahoma" w:cs="Tahoma"/>
          <w:sz w:val="18"/>
          <w:szCs w:val="18"/>
          <w:lang w:val="de-DE"/>
        </w:rPr>
        <w:t>Kunden sind für die Einhaltung der Endbenutzer-Lizenzbestimmungen des Home Use Program durch ihren einzelnen Mitarbeiter nicht verantwortlich.</w:t>
      </w:r>
      <w:r w:rsidR="009E4976" w:rsidRPr="00BB5519">
        <w:rPr>
          <w:rFonts w:ascii="Tahoma" w:hAnsi="Tahoma" w:cs="Tahoma"/>
          <w:sz w:val="18"/>
          <w:szCs w:val="18"/>
          <w:lang w:val="de-DE"/>
        </w:rPr>
        <w:t xml:space="preserve"> </w:t>
      </w:r>
      <w:r w:rsidRPr="00BB5519">
        <w:rPr>
          <w:rFonts w:ascii="Tahoma" w:hAnsi="Tahoma" w:cs="Tahoma"/>
          <w:sz w:val="18"/>
          <w:szCs w:val="18"/>
          <w:lang w:val="de-DE"/>
        </w:rPr>
        <w:t>Jene Bestimmungen werden zwischen Microsoft und dem Mitarbeiter des Kunden vereinbart und weichen tatsächlich von den unter den Volumenlizenzen des Kunden gewährten Rechten ab (z. B. darf der Mitarbeiter nur eine Kopie der HUP-Software installieren). Wir verlangen, dass Kunden den Home Use Program-Zugriff auf Mitarbeiter beschränken und Mitarbeiter darüber informieren, wenn sie die Verwendung der Home Use Program-Software in Verbindung mit abgelaufener Software Assurance oder der Beendigung des Beschäftigungsverhältnisses einstellen sollten.</w:t>
      </w:r>
    </w:p>
    <w:p w:rsidR="006A6C59" w:rsidRPr="006A6C59" w:rsidRDefault="006A6C59" w:rsidP="006A6C59">
      <w:pPr>
        <w:pStyle w:val="AppendixBodyText"/>
        <w:spacing w:after="0"/>
        <w:rPr>
          <w:rFonts w:ascii="Tahoma" w:hAnsi="Tahoma" w:cs="Tahoma"/>
          <w:sz w:val="16"/>
          <w:szCs w:val="16"/>
          <w:lang w:val="de-DE"/>
        </w:rPr>
      </w:pPr>
    </w:p>
    <w:p w:rsidR="00023FE7" w:rsidRPr="00BB5519" w:rsidRDefault="00023FE7" w:rsidP="009459D5">
      <w:pPr>
        <w:rPr>
          <w:lang w:val="de-DE"/>
        </w:rPr>
      </w:pPr>
      <w:r w:rsidRPr="00BB5519">
        <w:rPr>
          <w:rFonts w:cs="Tahoma"/>
          <w:color w:val="000000"/>
          <w:szCs w:val="18"/>
          <w:lang w:val="de-DE"/>
        </w:rPr>
        <w:t>Die Teilnahme an diesem Programm kann für den Kunden und seine Mitarbeiter steuerliche Auswirkungen haben.</w:t>
      </w:r>
      <w:r w:rsidR="009E4976" w:rsidRPr="00BB5519">
        <w:rPr>
          <w:rFonts w:cs="Tahoma"/>
          <w:color w:val="000000"/>
          <w:szCs w:val="18"/>
          <w:lang w:val="de-DE"/>
        </w:rPr>
        <w:t xml:space="preserve"> </w:t>
      </w:r>
      <w:r w:rsidRPr="00BB5519">
        <w:rPr>
          <w:rFonts w:cs="Tahoma"/>
          <w:color w:val="000000"/>
          <w:szCs w:val="18"/>
          <w:lang w:val="de-DE"/>
        </w:rPr>
        <w:t>Vor</w:t>
      </w:r>
      <w:r w:rsidR="009459D5">
        <w:rPr>
          <w:rFonts w:cs="Tahoma"/>
          <w:color w:val="000000"/>
          <w:szCs w:val="18"/>
          <w:lang w:val="de-DE"/>
        </w:rPr>
        <w:t> </w:t>
      </w:r>
      <w:r w:rsidRPr="00BB5519">
        <w:rPr>
          <w:rFonts w:cs="Tahoma"/>
          <w:color w:val="000000"/>
          <w:szCs w:val="18"/>
          <w:lang w:val="de-DE"/>
        </w:rPr>
        <w:t xml:space="preserve">Nutzung dieser Vergünstigung kann es für einen Kunden sinnvoll sein, einen Steuerberater zurate zu ziehen. Microsoft übernimmt keine Verantwortung für die Einhaltung von Verpflichtungen in Bezug auf Sachbezüge, Steuern oder Berichterstattung, die der Kunde oder seine Mitarbeiter gegebenenfalls haben. </w:t>
      </w:r>
      <w:r w:rsidRPr="00BB5519">
        <w:rPr>
          <w:lang w:val="de-DE"/>
        </w:rPr>
        <w:t>Zusätzliche Bestimmungen, die für Mitarbeiter in Neuseeland gelten, sind nachstehend aufgeführt:</w:t>
      </w:r>
    </w:p>
    <w:p w:rsidR="006A6C59" w:rsidRPr="006A6C59" w:rsidRDefault="006A6C59" w:rsidP="006A6C59">
      <w:pPr>
        <w:pStyle w:val="AppendixBodyText"/>
        <w:spacing w:after="0"/>
        <w:rPr>
          <w:rFonts w:ascii="Tahoma" w:hAnsi="Tahoma" w:cs="Tahoma"/>
          <w:sz w:val="16"/>
          <w:szCs w:val="16"/>
          <w:lang w:val="de-DE"/>
        </w:rPr>
      </w:pPr>
    </w:p>
    <w:p w:rsidR="00023FE7" w:rsidRPr="00BB5519" w:rsidRDefault="00023FE7" w:rsidP="006A6C59">
      <w:pPr>
        <w:numPr>
          <w:ilvl w:val="0"/>
          <w:numId w:val="12"/>
        </w:numPr>
        <w:tabs>
          <w:tab w:val="left" w:pos="1440"/>
        </w:tabs>
        <w:spacing w:after="40"/>
        <w:ind w:left="1440"/>
        <w:rPr>
          <w:lang w:val="de-DE"/>
        </w:rPr>
      </w:pPr>
      <w:r w:rsidRPr="00BB5519">
        <w:rPr>
          <w:lang w:val="de-DE"/>
        </w:rP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rsidR="00023FE7" w:rsidRPr="00BB5519" w:rsidRDefault="00023FE7" w:rsidP="009459D5">
      <w:pPr>
        <w:keepNext/>
        <w:keepLines/>
        <w:numPr>
          <w:ilvl w:val="0"/>
          <w:numId w:val="12"/>
        </w:numPr>
        <w:tabs>
          <w:tab w:val="left" w:pos="1440"/>
        </w:tabs>
        <w:ind w:left="1440"/>
        <w:rPr>
          <w:lang w:val="de-DE"/>
        </w:rPr>
      </w:pPr>
      <w:r w:rsidRPr="00BB5519">
        <w:rPr>
          <w:lang w:val="de-DE"/>
        </w:rP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rsidR="00023FE7" w:rsidRPr="00BB5519" w:rsidRDefault="00023FE7" w:rsidP="00F93617">
      <w:pPr>
        <w:rPr>
          <w:lang w:val="de-DE"/>
        </w:rPr>
      </w:pPr>
    </w:p>
    <w:p w:rsidR="00023FE7" w:rsidRPr="00BB5519" w:rsidRDefault="00023FE7" w:rsidP="002D25C8">
      <w:pPr>
        <w:rPr>
          <w:lang w:val="de-DE"/>
        </w:rPr>
      </w:pPr>
      <w:r w:rsidRPr="00BB5519">
        <w:rPr>
          <w:rFonts w:cs="Tahoma"/>
          <w:szCs w:val="18"/>
          <w:lang w:val="de-DE"/>
        </w:rPr>
        <w:t>Die Liste qualifizierender Desktop-Anwendungen kann jederzeit ohne Ankündigung geändert werden und hängt von Region oder Angebot ab. Die Verfügbarkeit von Home Use Program-Software kann jederzeit ohne Ankündigung geändert werden und hängt von Region, Angebot, Anwendung, Version und Sprache ab.</w:t>
      </w:r>
    </w:p>
    <w:p w:rsidR="00023FE7" w:rsidRPr="00BB5519" w:rsidRDefault="00023FE7" w:rsidP="002D25C8">
      <w:pPr>
        <w:rPr>
          <w:lang w:val="de-DE"/>
        </w:rPr>
      </w:pPr>
    </w:p>
    <w:p w:rsidR="00023FE7" w:rsidRPr="00BB5519" w:rsidRDefault="00502827" w:rsidP="00EC05F0">
      <w:pPr>
        <w:keepNext/>
        <w:keepLines/>
      </w:pPr>
      <w:r w:rsidRPr="00BB5519">
        <w:rPr>
          <w:rFonts w:cs="Tahoma"/>
          <w:szCs w:val="18"/>
        </w:rPr>
        <w:lastRenderedPageBreak/>
        <w:t>Microsoft Office Professional Plus HUP enthält die folgenden Microsoft Office-Programme:</w:t>
      </w:r>
    </w:p>
    <w:p w:rsidR="00023FE7" w:rsidRPr="00BB5519" w:rsidRDefault="00023FE7" w:rsidP="00EC05F0">
      <w:pPr>
        <w:keepNext/>
        <w:keepLines/>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5067"/>
      </w:tblGrid>
      <w:tr w:rsidR="00023FE7" w:rsidRPr="00BB5519" w:rsidTr="009459D5">
        <w:trPr>
          <w:trHeight w:val="60"/>
        </w:trPr>
        <w:tc>
          <w:tcPr>
            <w:tcW w:w="5067" w:type="dxa"/>
            <w:shd w:val="clear" w:color="auto" w:fill="FABF8F"/>
            <w:tcMar>
              <w:top w:w="0" w:type="dxa"/>
              <w:left w:w="108" w:type="dxa"/>
              <w:bottom w:w="0" w:type="dxa"/>
              <w:right w:w="108" w:type="dxa"/>
            </w:tcMar>
            <w:vAlign w:val="center"/>
          </w:tcPr>
          <w:p w:rsidR="00CA6072" w:rsidRPr="00BB5519" w:rsidRDefault="00CA6072" w:rsidP="00EC05F0">
            <w:pPr>
              <w:pStyle w:val="appendixtableheadings0"/>
              <w:keepNext/>
              <w:keepLines/>
            </w:pPr>
            <w:r w:rsidRPr="00BB5519">
              <w:rPr>
                <w:rFonts w:ascii="Tahoma" w:hAnsi="Tahoma" w:cs="Tahoma"/>
                <w:color w:val="000000"/>
                <w:sz w:val="20"/>
                <w:szCs w:val="20"/>
              </w:rPr>
              <w:t xml:space="preserve">Office Professional Plus-Komponenten für HUP </w:t>
            </w:r>
          </w:p>
          <w:p w:rsidR="00023FE7" w:rsidRPr="00BB5519" w:rsidRDefault="00023FE7" w:rsidP="00EC05F0">
            <w:pPr>
              <w:pStyle w:val="appendixtableheadings0"/>
              <w:keepNext/>
              <w:keepLines/>
              <w:rPr>
                <w:rFonts w:ascii="Tahoma" w:hAnsi="Tahoma" w:cs="Tahoma"/>
                <w:color w:val="000000"/>
                <w:sz w:val="20"/>
                <w:szCs w:val="20"/>
              </w:rPr>
            </w:pPr>
          </w:p>
        </w:tc>
      </w:tr>
      <w:tr w:rsidR="00023FE7" w:rsidRPr="00BB5519" w:rsidTr="009459D5">
        <w:trPr>
          <w:trHeight w:val="438"/>
        </w:trPr>
        <w:tc>
          <w:tcPr>
            <w:tcW w:w="5067" w:type="dxa"/>
            <w:tcMar>
              <w:top w:w="0" w:type="dxa"/>
              <w:left w:w="108" w:type="dxa"/>
              <w:bottom w:w="0" w:type="dxa"/>
              <w:right w:w="108" w:type="dxa"/>
            </w:tcMar>
            <w:vAlign w:val="center"/>
          </w:tcPr>
          <w:p w:rsidR="00CA6072" w:rsidRPr="00BB5519" w:rsidRDefault="00CA6072" w:rsidP="00EC05F0">
            <w:pPr>
              <w:pStyle w:val="appendixtabletext0"/>
              <w:keepNext/>
              <w:keepLines/>
            </w:pPr>
            <w:r w:rsidRPr="00BB5519">
              <w:rPr>
                <w:rFonts w:ascii="Tahoma" w:hAnsi="Tahoma" w:cs="Tahoma"/>
                <w:color w:val="000000"/>
              </w:rPr>
              <w:t>Word 2013</w:t>
            </w:r>
          </w:p>
          <w:p w:rsidR="00CA6072" w:rsidRPr="00BB5519" w:rsidRDefault="00CA6072" w:rsidP="00EC05F0">
            <w:pPr>
              <w:pStyle w:val="appendixtabletext0"/>
              <w:keepNext/>
              <w:keepLines/>
            </w:pPr>
            <w:r w:rsidRPr="00BB5519">
              <w:rPr>
                <w:rFonts w:ascii="Tahoma" w:hAnsi="Tahoma" w:cs="Tahoma"/>
                <w:color w:val="000000"/>
              </w:rPr>
              <w:t>Excel</w:t>
            </w:r>
            <w:r w:rsidRPr="00621662">
              <w:rPr>
                <w:rFonts w:ascii="Tahoma" w:hAnsi="Tahoma" w:cs="Tahoma"/>
                <w:color w:val="000000"/>
                <w:vertAlign w:val="superscript"/>
              </w:rPr>
              <w:t>®</w:t>
            </w:r>
            <w:r w:rsidRPr="00BB5519">
              <w:rPr>
                <w:rFonts w:ascii="Tahoma" w:hAnsi="Tahoma" w:cs="Tahoma"/>
                <w:color w:val="000000"/>
              </w:rPr>
              <w:t xml:space="preserve"> 2013</w:t>
            </w:r>
          </w:p>
          <w:p w:rsidR="00CA6072" w:rsidRPr="00BB5519" w:rsidRDefault="00CA6072" w:rsidP="00EC05F0">
            <w:pPr>
              <w:pStyle w:val="appendixtabletext0"/>
              <w:keepNext/>
              <w:keepLines/>
            </w:pPr>
            <w:r w:rsidRPr="00BB5519">
              <w:rPr>
                <w:rFonts w:ascii="Tahoma" w:hAnsi="Tahoma" w:cs="Tahoma"/>
                <w:color w:val="000000"/>
              </w:rPr>
              <w:t>PowerPoint</w:t>
            </w:r>
            <w:r w:rsidRPr="00621662">
              <w:rPr>
                <w:rFonts w:ascii="Tahoma" w:hAnsi="Tahoma" w:cs="Tahoma"/>
                <w:color w:val="000000"/>
                <w:vertAlign w:val="superscript"/>
              </w:rPr>
              <w:t>®</w:t>
            </w:r>
            <w:r w:rsidRPr="00BB5519">
              <w:rPr>
                <w:rFonts w:ascii="Tahoma" w:hAnsi="Tahoma" w:cs="Tahoma"/>
                <w:color w:val="000000"/>
              </w:rPr>
              <w:t xml:space="preserve"> 2013</w:t>
            </w:r>
          </w:p>
          <w:p w:rsidR="00CA6072" w:rsidRPr="00BB5519" w:rsidRDefault="00CA6072" w:rsidP="00EC05F0">
            <w:pPr>
              <w:pStyle w:val="appendixtabletext0"/>
              <w:keepNext/>
              <w:keepLines/>
            </w:pPr>
            <w:r w:rsidRPr="00BB5519">
              <w:rPr>
                <w:rFonts w:ascii="Tahoma" w:hAnsi="Tahoma" w:cs="Tahoma"/>
                <w:color w:val="000000"/>
              </w:rPr>
              <w:t>Outlook</w:t>
            </w:r>
            <w:r w:rsidRPr="00621662">
              <w:rPr>
                <w:rFonts w:ascii="Tahoma" w:hAnsi="Tahoma" w:cs="Tahoma"/>
                <w:color w:val="000000"/>
                <w:vertAlign w:val="superscript"/>
              </w:rPr>
              <w:t>®</w:t>
            </w:r>
            <w:r w:rsidRPr="00BB5519">
              <w:rPr>
                <w:rFonts w:ascii="Tahoma" w:hAnsi="Tahoma" w:cs="Tahoma"/>
                <w:color w:val="000000"/>
              </w:rPr>
              <w:t xml:space="preserve"> 2013</w:t>
            </w:r>
          </w:p>
          <w:p w:rsidR="00CA6072" w:rsidRPr="00BB5519" w:rsidRDefault="00CA6072" w:rsidP="00EC05F0">
            <w:pPr>
              <w:pStyle w:val="appendixtabletext0"/>
              <w:keepNext/>
              <w:keepLines/>
            </w:pPr>
            <w:r w:rsidRPr="00BB5519">
              <w:rPr>
                <w:rFonts w:ascii="Tahoma" w:hAnsi="Tahoma" w:cs="Tahoma"/>
                <w:color w:val="000000"/>
              </w:rPr>
              <w:t>Publisher 2013</w:t>
            </w:r>
          </w:p>
          <w:p w:rsidR="00CA6072" w:rsidRPr="00BB5519" w:rsidRDefault="00CA6072" w:rsidP="00EC05F0">
            <w:pPr>
              <w:pStyle w:val="appendixtabletext0"/>
              <w:keepNext/>
              <w:keepLines/>
            </w:pPr>
            <w:r w:rsidRPr="00BB5519">
              <w:rPr>
                <w:rFonts w:ascii="Tahoma" w:hAnsi="Tahoma" w:cs="Tahoma"/>
                <w:color w:val="000000"/>
              </w:rPr>
              <w:t>Access</w:t>
            </w:r>
            <w:r w:rsidRPr="00621662">
              <w:rPr>
                <w:rFonts w:ascii="Tahoma" w:hAnsi="Tahoma" w:cs="Tahoma"/>
                <w:color w:val="000000"/>
                <w:vertAlign w:val="superscript"/>
              </w:rPr>
              <w:t>®</w:t>
            </w:r>
            <w:r w:rsidRPr="00BB5519">
              <w:rPr>
                <w:rFonts w:ascii="Tahoma" w:hAnsi="Tahoma" w:cs="Tahoma"/>
                <w:color w:val="000000"/>
              </w:rPr>
              <w:t xml:space="preserve"> 2013</w:t>
            </w:r>
          </w:p>
          <w:p w:rsidR="00CA6072" w:rsidRPr="00BB5519" w:rsidRDefault="00CA6072" w:rsidP="00EC05F0">
            <w:pPr>
              <w:pStyle w:val="appendixtabletext0"/>
              <w:keepNext/>
              <w:keepLines/>
            </w:pPr>
            <w:r w:rsidRPr="00BB5519">
              <w:rPr>
                <w:rFonts w:ascii="Tahoma" w:hAnsi="Tahoma" w:cs="Tahoma"/>
                <w:color w:val="000000"/>
              </w:rPr>
              <w:t>OneNote</w:t>
            </w:r>
            <w:r w:rsidRPr="00621662">
              <w:rPr>
                <w:rFonts w:ascii="Tahoma" w:hAnsi="Tahoma" w:cs="Tahoma"/>
                <w:color w:val="000000"/>
                <w:vertAlign w:val="superscript"/>
              </w:rPr>
              <w:t>®</w:t>
            </w:r>
            <w:r w:rsidRPr="00BB5519">
              <w:rPr>
                <w:rFonts w:ascii="Tahoma" w:hAnsi="Tahoma" w:cs="Tahoma"/>
                <w:color w:val="000000"/>
              </w:rPr>
              <w:t xml:space="preserve"> 2013</w:t>
            </w:r>
          </w:p>
          <w:p w:rsidR="00CA6072" w:rsidRPr="00BB5519" w:rsidRDefault="00CA6072" w:rsidP="00EC05F0">
            <w:pPr>
              <w:pStyle w:val="appendixtabletext0"/>
              <w:keepNext/>
              <w:keepLines/>
            </w:pPr>
            <w:r w:rsidRPr="00BB5519">
              <w:rPr>
                <w:rFonts w:ascii="Tahoma" w:hAnsi="Tahoma" w:cs="Tahoma"/>
                <w:color w:val="000000"/>
              </w:rPr>
              <w:t>InfoPath</w:t>
            </w:r>
            <w:r w:rsidRPr="00621662">
              <w:rPr>
                <w:rFonts w:ascii="Tahoma" w:hAnsi="Tahoma" w:cs="Tahoma"/>
                <w:color w:val="000000"/>
                <w:vertAlign w:val="superscript"/>
              </w:rPr>
              <w:t>®</w:t>
            </w:r>
            <w:r w:rsidRPr="00BB5519">
              <w:rPr>
                <w:rFonts w:ascii="Tahoma" w:hAnsi="Tahoma" w:cs="Tahoma"/>
                <w:color w:val="000000"/>
              </w:rPr>
              <w:t xml:space="preserve"> 2013</w:t>
            </w:r>
          </w:p>
          <w:p w:rsidR="00502827" w:rsidRPr="00BB5519" w:rsidRDefault="00B9674D" w:rsidP="00EC05F0">
            <w:pPr>
              <w:pStyle w:val="appendixtabletext0"/>
              <w:keepNext/>
              <w:keepLines/>
            </w:pPr>
            <w:r w:rsidRPr="00BB5519">
              <w:rPr>
                <w:rFonts w:ascii="Tahoma" w:hAnsi="Tahoma" w:cs="Tahoma"/>
                <w:color w:val="000000"/>
              </w:rPr>
              <w:t>Lync 2013</w:t>
            </w:r>
          </w:p>
          <w:p w:rsidR="002D25C8" w:rsidRPr="00BB5519" w:rsidRDefault="002D25C8" w:rsidP="00EC05F0">
            <w:pPr>
              <w:pStyle w:val="appendixtabletext0"/>
              <w:keepNext/>
              <w:keepLines/>
              <w:rPr>
                <w:rFonts w:ascii="Tahoma" w:hAnsi="Tahoma" w:cs="Tahoma"/>
                <w:color w:val="000000"/>
              </w:rPr>
            </w:pPr>
          </w:p>
        </w:tc>
      </w:tr>
    </w:tbl>
    <w:p w:rsidR="001C1727" w:rsidRPr="00BB5519" w:rsidRDefault="001C1727" w:rsidP="001C1727"/>
    <w:p w:rsidR="00023FE7" w:rsidRPr="00BB5519" w:rsidRDefault="00023FE7"/>
    <w:tbl>
      <w:tblPr>
        <w:tblW w:w="0" w:type="auto"/>
        <w:tblInd w:w="711" w:type="dxa"/>
        <w:tblCellMar>
          <w:left w:w="0" w:type="dxa"/>
          <w:right w:w="0" w:type="dxa"/>
        </w:tblCellMar>
        <w:tblLook w:val="04A0" w:firstRow="1" w:lastRow="0" w:firstColumn="1" w:lastColumn="0" w:noHBand="0" w:noVBand="1"/>
      </w:tblPr>
      <w:tblGrid>
        <w:gridCol w:w="4399"/>
        <w:gridCol w:w="3728"/>
      </w:tblGrid>
      <w:tr w:rsidR="00CA6072" w:rsidRPr="006F21F8" w:rsidTr="00B759A0">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BB5519" w:rsidRDefault="00CA6072" w:rsidP="009459D5">
            <w:pPr>
              <w:pStyle w:val="appendixtableheadings0"/>
              <w:spacing w:after="40"/>
              <w:rPr>
                <w:rFonts w:ascii="Tahoma" w:hAnsi="Tahoma" w:cs="Tahoma"/>
                <w:color w:val="000000"/>
                <w:sz w:val="20"/>
                <w:szCs w:val="20"/>
              </w:rPr>
            </w:pPr>
            <w:r w:rsidRPr="00BB5519">
              <w:rPr>
                <w:rFonts w:ascii="Tahoma" w:hAnsi="Tahoma" w:cs="Tahoma"/>
                <w:color w:val="000000"/>
                <w:sz w:val="20"/>
                <w:szCs w:val="20"/>
              </w:rPr>
              <w:t>Qualifizierende Desktop-Anwendung</w:t>
            </w:r>
          </w:p>
        </w:tc>
        <w:tc>
          <w:tcPr>
            <w:tcW w:w="372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BB5519" w:rsidRDefault="00CA6072" w:rsidP="009459D5">
            <w:pPr>
              <w:pStyle w:val="appendixtableheadings0"/>
              <w:spacing w:after="40"/>
              <w:rPr>
                <w:rFonts w:ascii="Tahoma" w:hAnsi="Tahoma" w:cs="Tahoma"/>
                <w:color w:val="000000"/>
                <w:sz w:val="20"/>
                <w:szCs w:val="20"/>
                <w:lang w:val="de-DE"/>
              </w:rPr>
            </w:pPr>
            <w:r w:rsidRPr="00BB5519">
              <w:rPr>
                <w:rFonts w:ascii="Tahoma" w:hAnsi="Tahoma" w:cs="Tahoma"/>
                <w:color w:val="000000"/>
                <w:sz w:val="20"/>
                <w:szCs w:val="20"/>
                <w:lang w:val="de-DE"/>
              </w:rPr>
              <w:t xml:space="preserve">Entsprechende Home Use </w:t>
            </w:r>
            <w:r w:rsidRPr="00BB5519">
              <w:rPr>
                <w:rFonts w:ascii="Tahoma" w:hAnsi="Tahoma" w:cs="Tahoma"/>
                <w:color w:val="000000"/>
                <w:sz w:val="20"/>
                <w:szCs w:val="20"/>
                <w:lang w:val="de-DE"/>
              </w:rPr>
              <w:br/>
              <w:t>Program-Lizenz</w:t>
            </w:r>
          </w:p>
        </w:tc>
      </w:tr>
      <w:tr w:rsidR="004D700D" w:rsidRPr="00BB5519" w:rsidTr="00B759A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BB5519" w:rsidRDefault="004D700D" w:rsidP="001B035A">
            <w:pPr>
              <w:pStyle w:val="appendixtabletext0"/>
            </w:pPr>
            <w:r w:rsidRPr="00BB5519">
              <w:rPr>
                <w:rFonts w:ascii="Tahoma" w:hAnsi="Tahoma" w:cs="Tahoma"/>
                <w:color w:val="000000"/>
              </w:rPr>
              <w:t>Office Standard 2010/2013</w:t>
            </w:r>
          </w:p>
          <w:p w:rsidR="004D700D" w:rsidRPr="00BB5519" w:rsidRDefault="004D700D" w:rsidP="001B035A">
            <w:pPr>
              <w:pStyle w:val="appendixtabletext0"/>
            </w:pPr>
            <w:r w:rsidRPr="00BB5519">
              <w:rPr>
                <w:rFonts w:ascii="Tahoma" w:hAnsi="Tahoma" w:cs="Tahoma"/>
                <w:color w:val="000000"/>
              </w:rPr>
              <w:t>Office Professional Plus 2010/2013</w:t>
            </w:r>
          </w:p>
          <w:p w:rsidR="004D700D" w:rsidRPr="00BB5519" w:rsidRDefault="004D700D" w:rsidP="00C37E9D">
            <w:pPr>
              <w:pStyle w:val="appendixtabletext0"/>
              <w:rPr>
                <w:rFonts w:ascii="Tahoma" w:hAnsi="Tahoma" w:cs="Tahoma"/>
                <w:color w:val="000000"/>
              </w:rPr>
            </w:pPr>
            <w:r w:rsidRPr="00BB5519">
              <w:rPr>
                <w:rFonts w:ascii="Tahoma" w:hAnsi="Tahoma" w:cs="Tahoma"/>
                <w:color w:val="000000"/>
              </w:rPr>
              <w:t xml:space="preserve">Office für Mac 2008/Office für Mac Standard 2011 </w:t>
            </w:r>
          </w:p>
        </w:tc>
        <w:tc>
          <w:tcPr>
            <w:tcW w:w="372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BB5519" w:rsidRDefault="004D700D" w:rsidP="00735622">
            <w:pPr>
              <w:pStyle w:val="appendixtabletext0"/>
            </w:pPr>
            <w:r w:rsidRPr="00BB5519">
              <w:rPr>
                <w:rFonts w:ascii="Tahoma" w:hAnsi="Tahoma" w:cs="Tahoma"/>
                <w:color w:val="000000"/>
              </w:rPr>
              <w:t>Office Professional Plus 2013 HUP</w:t>
            </w:r>
          </w:p>
          <w:p w:rsidR="004D700D" w:rsidRPr="00BB5519" w:rsidRDefault="004D700D" w:rsidP="00735622">
            <w:pPr>
              <w:pStyle w:val="appendixtabletext0"/>
            </w:pPr>
            <w:r w:rsidRPr="00BB5519">
              <w:rPr>
                <w:rFonts w:ascii="Tahoma" w:hAnsi="Tahoma" w:cs="Tahoma"/>
                <w:color w:val="000000"/>
              </w:rPr>
              <w:t>oder</w:t>
            </w:r>
          </w:p>
          <w:p w:rsidR="004D700D" w:rsidRPr="00BB5519" w:rsidRDefault="00E316C2" w:rsidP="00C37E9D">
            <w:pPr>
              <w:pStyle w:val="appendixtabletext0"/>
              <w:rPr>
                <w:rFonts w:ascii="Tahoma" w:hAnsi="Tahoma" w:cs="Tahoma"/>
                <w:color w:val="000000"/>
              </w:rPr>
            </w:pPr>
            <w:r w:rsidRPr="00BB5519">
              <w:rPr>
                <w:rFonts w:ascii="Tahoma" w:hAnsi="Tahoma" w:cs="Tahoma"/>
                <w:color w:val="000000"/>
              </w:rPr>
              <w:t>Office für Mac Home &amp; Business 2011 HUP</w:t>
            </w:r>
          </w:p>
        </w:tc>
      </w:tr>
      <w:tr w:rsidR="004D700D" w:rsidRPr="00BB5519" w:rsidTr="00B759A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BB5519" w:rsidRDefault="004D700D" w:rsidP="001B035A">
            <w:pPr>
              <w:pStyle w:val="appendixtabletext0"/>
            </w:pPr>
            <w:r w:rsidRPr="00BB5519">
              <w:rPr>
                <w:rFonts w:ascii="Tahoma" w:hAnsi="Tahoma" w:cs="Tahoma"/>
                <w:color w:val="000000"/>
              </w:rPr>
              <w:t>Access 2010/2013</w:t>
            </w:r>
          </w:p>
          <w:p w:rsidR="004D700D" w:rsidRPr="00BB5519" w:rsidRDefault="004D700D" w:rsidP="001B035A">
            <w:pPr>
              <w:pStyle w:val="appendixtabletext0"/>
            </w:pPr>
            <w:r w:rsidRPr="00BB5519">
              <w:rPr>
                <w:rFonts w:ascii="Tahoma" w:hAnsi="Tahoma" w:cs="Tahoma"/>
                <w:color w:val="000000"/>
              </w:rPr>
              <w:t>Excel 2010/2013</w:t>
            </w:r>
          </w:p>
          <w:p w:rsidR="004D700D" w:rsidRPr="00BB5519" w:rsidRDefault="004D700D" w:rsidP="001B035A">
            <w:pPr>
              <w:pStyle w:val="appendixtabletext0"/>
            </w:pPr>
            <w:r w:rsidRPr="00BB5519">
              <w:rPr>
                <w:rFonts w:ascii="Tahoma" w:hAnsi="Tahoma" w:cs="Tahoma"/>
                <w:color w:val="000000"/>
              </w:rPr>
              <w:t>PowerPoint 2010/2013</w:t>
            </w:r>
          </w:p>
          <w:p w:rsidR="004D700D" w:rsidRPr="00BB5519" w:rsidRDefault="004D700D" w:rsidP="001B035A">
            <w:pPr>
              <w:pStyle w:val="appendixtabletext0"/>
            </w:pPr>
            <w:r w:rsidRPr="00BB5519">
              <w:rPr>
                <w:rFonts w:ascii="Tahoma" w:hAnsi="Tahoma" w:cs="Tahoma"/>
                <w:color w:val="000000"/>
              </w:rPr>
              <w:t>InfoPath 2010/2013</w:t>
            </w:r>
          </w:p>
          <w:p w:rsidR="004D700D" w:rsidRPr="00BB5519" w:rsidRDefault="004D700D" w:rsidP="001B035A">
            <w:pPr>
              <w:pStyle w:val="appendixtabletext0"/>
            </w:pPr>
            <w:r w:rsidRPr="00BB5519">
              <w:rPr>
                <w:rFonts w:ascii="Tahoma" w:hAnsi="Tahoma" w:cs="Tahoma"/>
                <w:color w:val="000000"/>
              </w:rPr>
              <w:t>OneNote 2010/2013</w:t>
            </w:r>
          </w:p>
          <w:p w:rsidR="004D700D" w:rsidRPr="00BB5519" w:rsidRDefault="004D700D" w:rsidP="001B035A">
            <w:pPr>
              <w:pStyle w:val="appendixtabletext0"/>
            </w:pPr>
            <w:r w:rsidRPr="00BB5519">
              <w:rPr>
                <w:rFonts w:ascii="Tahoma" w:hAnsi="Tahoma" w:cs="Tahoma"/>
                <w:color w:val="000000"/>
              </w:rPr>
              <w:t>Outlook 2010/2013</w:t>
            </w:r>
          </w:p>
          <w:p w:rsidR="004D700D" w:rsidRPr="00BB5519" w:rsidRDefault="004D700D" w:rsidP="001B035A">
            <w:pPr>
              <w:pStyle w:val="appendixtabletext0"/>
            </w:pPr>
            <w:r w:rsidRPr="00BB5519">
              <w:rPr>
                <w:rFonts w:ascii="Tahoma" w:hAnsi="Tahoma" w:cs="Tahoma"/>
                <w:color w:val="000000"/>
              </w:rPr>
              <w:t>Publisher 2010/2013</w:t>
            </w:r>
          </w:p>
          <w:p w:rsidR="004D700D" w:rsidRPr="00BB5519" w:rsidRDefault="004D700D" w:rsidP="00737AED">
            <w:pPr>
              <w:pStyle w:val="appendixtabletext0"/>
            </w:pPr>
            <w:r w:rsidRPr="00BB5519">
              <w:rPr>
                <w:rFonts w:ascii="Tahoma" w:hAnsi="Tahoma" w:cs="Tahoma"/>
                <w:color w:val="000000"/>
              </w:rPr>
              <w:t>Word 2010/2013</w:t>
            </w:r>
          </w:p>
          <w:p w:rsidR="00737AED" w:rsidRPr="00BB5519" w:rsidRDefault="00737AED" w:rsidP="00737AED">
            <w:pPr>
              <w:pStyle w:val="appendixtabletext0"/>
              <w:rPr>
                <w:rFonts w:ascii="Tahoma" w:hAnsi="Tahoma" w:cs="Tahoma"/>
                <w:color w:val="000000"/>
              </w:rPr>
            </w:pPr>
          </w:p>
        </w:tc>
        <w:tc>
          <w:tcPr>
            <w:tcW w:w="372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BB5519" w:rsidRDefault="004D700D" w:rsidP="00735622">
            <w:pPr>
              <w:pStyle w:val="appendixtabletext0"/>
            </w:pPr>
            <w:r w:rsidRPr="00BB5519">
              <w:rPr>
                <w:rFonts w:ascii="Tahoma" w:hAnsi="Tahoma" w:cs="Tahoma"/>
                <w:color w:val="000000"/>
              </w:rPr>
              <w:t>Office Professional Plus 2013 HUP</w:t>
            </w:r>
          </w:p>
          <w:p w:rsidR="004D700D" w:rsidRPr="00BB5519" w:rsidRDefault="004D700D" w:rsidP="00735622">
            <w:pPr>
              <w:pStyle w:val="appendixtabletext0"/>
            </w:pPr>
            <w:r w:rsidRPr="00BB5519">
              <w:rPr>
                <w:rFonts w:ascii="Tahoma" w:hAnsi="Tahoma" w:cs="Tahoma"/>
                <w:color w:val="000000"/>
              </w:rPr>
              <w:t>oder</w:t>
            </w:r>
          </w:p>
          <w:p w:rsidR="004D700D" w:rsidRPr="00BB5519" w:rsidRDefault="00E316C2" w:rsidP="00C37E9D">
            <w:pPr>
              <w:pStyle w:val="appendixtabletext0"/>
              <w:rPr>
                <w:rFonts w:ascii="Tahoma" w:hAnsi="Tahoma" w:cs="Tahoma"/>
                <w:color w:val="000000"/>
              </w:rPr>
            </w:pPr>
            <w:r w:rsidRPr="00BB5519">
              <w:rPr>
                <w:rFonts w:ascii="Tahoma" w:hAnsi="Tahoma" w:cs="Tahoma"/>
                <w:color w:val="000000"/>
              </w:rPr>
              <w:t>Office für Mac Home &amp; Business 2011 HUP</w:t>
            </w:r>
          </w:p>
        </w:tc>
      </w:tr>
      <w:tr w:rsidR="00CA6072" w:rsidRPr="00BB5519" w:rsidTr="00B759A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BB5519" w:rsidRDefault="00CA6072" w:rsidP="001B035A">
            <w:pPr>
              <w:pStyle w:val="appendixtabletext0"/>
            </w:pPr>
            <w:r w:rsidRPr="00BB5519">
              <w:rPr>
                <w:rFonts w:ascii="Tahoma" w:hAnsi="Tahoma" w:cs="Tahoma"/>
                <w:color w:val="000000"/>
              </w:rPr>
              <w:t xml:space="preserve">Visio Standard 2010/2013 </w:t>
            </w:r>
          </w:p>
          <w:p w:rsidR="00502827" w:rsidRPr="00BB5519" w:rsidRDefault="00CA6072" w:rsidP="00502827">
            <w:pPr>
              <w:pStyle w:val="appendixtabletext0"/>
            </w:pPr>
            <w:r w:rsidRPr="00BB5519">
              <w:rPr>
                <w:rFonts w:ascii="Tahoma" w:hAnsi="Tahoma" w:cs="Tahoma"/>
                <w:color w:val="000000"/>
              </w:rPr>
              <w:t>Visio Professional 2010/2013</w:t>
            </w:r>
            <w:r w:rsidRPr="00BB5519">
              <w:rPr>
                <w:rFonts w:ascii="Tahoma" w:hAnsi="Tahoma" w:cs="Tahoma"/>
                <w:strike/>
                <w:color w:val="000000"/>
              </w:rPr>
              <w:t xml:space="preserve"> </w:t>
            </w:r>
          </w:p>
          <w:p w:rsidR="00502827" w:rsidRPr="00BB5519" w:rsidRDefault="00502827" w:rsidP="00502827">
            <w:pPr>
              <w:pStyle w:val="appendixtabletext0"/>
              <w:rPr>
                <w:rFonts w:ascii="Tahoma" w:hAnsi="Tahoma" w:cs="Tahoma"/>
                <w:color w:val="000000"/>
              </w:rPr>
            </w:pPr>
          </w:p>
        </w:tc>
        <w:tc>
          <w:tcPr>
            <w:tcW w:w="372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BB5519" w:rsidRDefault="00CA6072" w:rsidP="001B035A">
            <w:pPr>
              <w:pStyle w:val="appendixtabletext0"/>
            </w:pPr>
            <w:r w:rsidRPr="00BB5519">
              <w:rPr>
                <w:rFonts w:ascii="Tahoma" w:hAnsi="Tahoma" w:cs="Tahoma"/>
                <w:color w:val="000000"/>
              </w:rPr>
              <w:t>Visio Professional 2013 HUP</w:t>
            </w:r>
          </w:p>
          <w:p w:rsidR="00CA6072" w:rsidRPr="00BB5519" w:rsidRDefault="00CA6072" w:rsidP="001B035A">
            <w:pPr>
              <w:pStyle w:val="appendixtabletext0"/>
              <w:rPr>
                <w:rFonts w:ascii="Tahoma" w:hAnsi="Tahoma" w:cs="Tahoma"/>
                <w:color w:val="000000"/>
              </w:rPr>
            </w:pPr>
          </w:p>
        </w:tc>
      </w:tr>
      <w:tr w:rsidR="00CA6072" w:rsidRPr="00BB5519" w:rsidTr="00B759A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BB5519" w:rsidRDefault="00CA6072" w:rsidP="001B035A">
            <w:pPr>
              <w:pStyle w:val="appendixtabletext0"/>
            </w:pPr>
            <w:r w:rsidRPr="00BB5519">
              <w:rPr>
                <w:rFonts w:ascii="Tahoma" w:hAnsi="Tahoma" w:cs="Tahoma"/>
                <w:color w:val="000000"/>
              </w:rPr>
              <w:t>Project Standard 2010/2013</w:t>
            </w:r>
          </w:p>
          <w:p w:rsidR="00CA6072" w:rsidRPr="00BB5519" w:rsidRDefault="00CA6072" w:rsidP="001E3357">
            <w:pPr>
              <w:pStyle w:val="appendixtabletext0"/>
            </w:pPr>
            <w:r w:rsidRPr="00BB5519">
              <w:rPr>
                <w:rFonts w:ascii="Tahoma" w:hAnsi="Tahoma" w:cs="Tahoma"/>
                <w:color w:val="000000"/>
              </w:rPr>
              <w:t>Project Professional 2010/2013</w:t>
            </w:r>
          </w:p>
          <w:p w:rsidR="00737AED" w:rsidRPr="00BB5519" w:rsidRDefault="00737AED" w:rsidP="001E3357">
            <w:pPr>
              <w:pStyle w:val="appendixtabletext0"/>
              <w:rPr>
                <w:rFonts w:ascii="Tahoma" w:hAnsi="Tahoma" w:cs="Tahoma"/>
                <w:color w:val="000000"/>
              </w:rPr>
            </w:pPr>
          </w:p>
        </w:tc>
        <w:tc>
          <w:tcPr>
            <w:tcW w:w="372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BB5519" w:rsidRDefault="00CA6072" w:rsidP="001B035A">
            <w:pPr>
              <w:pStyle w:val="appendixtabletext0"/>
            </w:pPr>
            <w:r w:rsidRPr="00BB5519">
              <w:rPr>
                <w:rFonts w:ascii="Tahoma" w:hAnsi="Tahoma" w:cs="Tahoma"/>
                <w:color w:val="000000"/>
              </w:rPr>
              <w:t>Project Standard 2013 HUP</w:t>
            </w:r>
          </w:p>
          <w:p w:rsidR="00CA6072" w:rsidRPr="00BB5519" w:rsidRDefault="00CA6072" w:rsidP="001B035A">
            <w:pPr>
              <w:pStyle w:val="appendixtabletext0"/>
              <w:rPr>
                <w:rFonts w:ascii="Tahoma" w:hAnsi="Tahoma" w:cs="Tahoma"/>
                <w:color w:val="000000"/>
              </w:rPr>
            </w:pPr>
            <w:r w:rsidRPr="00BB5519">
              <w:rPr>
                <w:rFonts w:ascii="Tahoma" w:hAnsi="Tahoma" w:cs="Tahoma"/>
                <w:color w:val="000000"/>
              </w:rPr>
              <w:t xml:space="preserve"> </w:t>
            </w:r>
          </w:p>
        </w:tc>
      </w:tr>
    </w:tbl>
    <w:p w:rsidR="00023FE7" w:rsidRPr="00BB5519" w:rsidRDefault="00023FE7">
      <w:pPr>
        <w:pStyle w:val="AppendixBodyText"/>
        <w:ind w:left="630"/>
        <w:rPr>
          <w:lang w:val="de-DE"/>
        </w:rPr>
      </w:pPr>
      <w:r w:rsidRPr="002D374A">
        <w:rPr>
          <w:rFonts w:ascii="Tahoma" w:hAnsi="Tahoma" w:cs="Tahoma"/>
          <w:bCs/>
          <w:i/>
          <w:sz w:val="16"/>
          <w:szCs w:val="16"/>
          <w:lang w:val="de-DE"/>
        </w:rPr>
        <w:t>*</w:t>
      </w:r>
      <w:r w:rsidRPr="00BB5519">
        <w:rPr>
          <w:rFonts w:ascii="Tahoma" w:hAnsi="Tahoma" w:cs="Tahoma"/>
          <w:i/>
          <w:sz w:val="16"/>
          <w:szCs w:val="16"/>
          <w:lang w:val="de-DE"/>
        </w:rPr>
        <w:t xml:space="preserve">Die Verfügbarkeit von Home Use Program-Software hängt von der Region, dem Angebot und der Sprache ab. </w:t>
      </w:r>
    </w:p>
    <w:p w:rsidR="00023FE7" w:rsidRPr="00BB5519" w:rsidRDefault="00023FE7">
      <w:pPr>
        <w:pStyle w:val="AppendixBodyText"/>
        <w:ind w:left="630"/>
        <w:rPr>
          <w:lang w:val="de-DE"/>
        </w:rPr>
      </w:pPr>
      <w:r w:rsidRPr="00BB5519">
        <w:rPr>
          <w:rFonts w:ascii="Tahoma" w:hAnsi="Tahoma" w:cs="Tahoma"/>
          <w:i/>
          <w:sz w:val="16"/>
          <w:szCs w:val="16"/>
          <w:lang w:val="de-DE"/>
        </w:rPr>
        <w:t xml:space="preserve">Weitere Informationen, einschließlich Informationen zur zukünftigen Verfügbarkeit von zusätzlicher Home Use Program-Software, finden Sie unter </w:t>
      </w:r>
      <w:hyperlink r:id="rId25" w:history="1">
        <w:r w:rsidRPr="00BB5519">
          <w:rPr>
            <w:rStyle w:val="Hyperlink"/>
            <w:rFonts w:ascii="Tahoma" w:hAnsi="Tahoma" w:cs="Tahoma"/>
            <w:i/>
            <w:sz w:val="16"/>
            <w:szCs w:val="16"/>
            <w:lang w:val="de-DE"/>
          </w:rPr>
          <w:t>http://www.microsoft.com/licensing</w:t>
        </w:r>
      </w:hyperlink>
      <w:r w:rsidRPr="00BB5519">
        <w:rPr>
          <w:rFonts w:ascii="Tahoma" w:hAnsi="Tahoma" w:cs="Tahoma"/>
          <w:i/>
          <w:sz w:val="16"/>
          <w:szCs w:val="16"/>
          <w:lang w:val="de-DE"/>
        </w:rPr>
        <w:t>.</w:t>
      </w:r>
    </w:p>
    <w:p w:rsidR="00023FE7" w:rsidRPr="00BB5519" w:rsidRDefault="00023FE7">
      <w:pPr>
        <w:pStyle w:val="AppendixBodyText"/>
        <w:ind w:left="630"/>
        <w:rPr>
          <w:lang w:val="de-DE"/>
        </w:rPr>
      </w:pPr>
      <w:r w:rsidRPr="00BB5519">
        <w:rPr>
          <w:rFonts w:ascii="Tahoma" w:hAnsi="Tahoma" w:cs="Tahoma"/>
          <w:i/>
          <w:sz w:val="16"/>
          <w:szCs w:val="16"/>
          <w:lang w:val="de-DE"/>
        </w:rPr>
        <w:t>** Hinweis für Kunden mit Campus- und School-Vertrag und Open Value Subscription – Bildungslösungen: Zusätzliche programmspezifische Bestimmungen finden Sie in Ihrem Campus- und School-Vertrag (ab 3.5) oder in Ihrem OVS-ES-Vertrag.</w:t>
      </w:r>
    </w:p>
    <w:p w:rsidR="00023FE7" w:rsidRPr="00BB5519" w:rsidRDefault="00023FE7" w:rsidP="00BD1A6A">
      <w:pPr>
        <w:ind w:left="630"/>
        <w:rPr>
          <w:lang w:val="de-DE"/>
        </w:rPr>
      </w:pPr>
      <w:r w:rsidRPr="00BB5519">
        <w:rPr>
          <w:rFonts w:cs="Tahoma"/>
          <w:i/>
          <w:sz w:val="16"/>
          <w:szCs w:val="16"/>
          <w:lang w:val="de-DE"/>
        </w:rPr>
        <w:t xml:space="preserve">*** Beachten Sie, dass SharePoint Designer jetzt ein kostenloses Produkt ist, das über folgenden Link heruntergeladen werden kann </w:t>
      </w:r>
      <w:hyperlink r:id="rId26" w:history="1">
        <w:r w:rsidRPr="00BB5519">
          <w:rPr>
            <w:rStyle w:val="Hyperlink"/>
            <w:rFonts w:cs="Tahoma"/>
            <w:i/>
            <w:sz w:val="16"/>
            <w:szCs w:val="16"/>
            <w:lang w:val="de-DE"/>
          </w:rPr>
          <w:t>http://www.microsoft.com/spd</w:t>
        </w:r>
      </w:hyperlink>
    </w:p>
    <w:p w:rsidR="00CA395A" w:rsidRDefault="00CA395A" w:rsidP="008A15A8">
      <w:pPr>
        <w:outlineLvl w:val="2"/>
        <w:rPr>
          <w:lang w:val="de-DE"/>
        </w:rPr>
      </w:pPr>
      <w:bookmarkStart w:id="801" w:name="_Toc281378922"/>
    </w:p>
    <w:p w:rsidR="00B759A0" w:rsidRPr="00BB5519" w:rsidRDefault="00B759A0" w:rsidP="008A15A8">
      <w:pPr>
        <w:outlineLvl w:val="2"/>
        <w:rPr>
          <w:lang w:val="de-DE"/>
        </w:rPr>
      </w:pPr>
    </w:p>
    <w:p w:rsidR="008A15A8" w:rsidRPr="00BB5519" w:rsidRDefault="008A15A8" w:rsidP="002D25C8">
      <w:pPr>
        <w:outlineLvl w:val="2"/>
        <w:rPr>
          <w:lang w:val="de-DE"/>
        </w:rPr>
      </w:pPr>
      <w:r w:rsidRPr="00BB5519">
        <w:rPr>
          <w:rFonts w:eastAsia="Calibri" w:cs="Tahoma"/>
          <w:b/>
          <w:bCs/>
          <w:sz w:val="24"/>
          <w:szCs w:val="20"/>
          <w:lang w:val="de-DE"/>
        </w:rPr>
        <w:t>Enterprise Source Licensing Program</w:t>
      </w:r>
      <w:bookmarkEnd w:id="801"/>
      <w:r w:rsidRPr="00BB5519">
        <w:rPr>
          <w:rFonts w:eastAsia="Calibri" w:cs="Tahoma"/>
          <w:b/>
          <w:bCs/>
          <w:sz w:val="24"/>
          <w:szCs w:val="20"/>
          <w:lang w:val="de-DE"/>
        </w:rPr>
        <w:t xml:space="preserve"> </w:t>
      </w:r>
    </w:p>
    <w:p w:rsidR="001C20C9" w:rsidRPr="00BB5519" w:rsidRDefault="001C20C9" w:rsidP="002D25C8">
      <w:pPr>
        <w:outlineLvl w:val="2"/>
        <w:rPr>
          <w:lang w:val="de-DE"/>
        </w:rPr>
      </w:pPr>
    </w:p>
    <w:p w:rsidR="008A15A8" w:rsidRPr="00BB5519" w:rsidRDefault="008A15A8" w:rsidP="002D25C8">
      <w:pPr>
        <w:rPr>
          <w:lang w:val="de-DE"/>
        </w:rPr>
      </w:pPr>
      <w:r w:rsidRPr="00BB5519">
        <w:rPr>
          <w:rFonts w:eastAsia="Calibri" w:cs="Tahoma"/>
          <w:szCs w:val="18"/>
          <w:lang w:val="de-DE"/>
        </w:rPr>
        <w:t>Kunden mit einer Mitgliedschaft bei Software Assurance und mindestens 1.500 lizenzierten Desktops im System-Pool sind berechtigt, während der Software Assurance-Laufzeit am Enterprise Source Licensing Program (ESLP) teilzunehmen.</w:t>
      </w:r>
      <w:r w:rsidR="009E4976" w:rsidRPr="00BB5519">
        <w:rPr>
          <w:rFonts w:eastAsia="Calibri" w:cs="Tahoma"/>
          <w:szCs w:val="18"/>
          <w:lang w:val="de-DE"/>
        </w:rPr>
        <w:t xml:space="preserve"> </w:t>
      </w:r>
      <w:r w:rsidRPr="00BB5519">
        <w:rPr>
          <w:rFonts w:eastAsia="Calibri" w:cs="Tahoma"/>
          <w:szCs w:val="18"/>
          <w:lang w:val="de-DE"/>
        </w:rPr>
        <w:t>ESLP gewährt Zugriff auf den Microsoft Windows-Quellcode für interne Entwicklung und internen Support.</w:t>
      </w:r>
      <w:r w:rsidR="009E4976" w:rsidRPr="00BB5519">
        <w:rPr>
          <w:rFonts w:eastAsia="Calibri" w:cs="Tahoma"/>
          <w:szCs w:val="18"/>
          <w:lang w:val="de-DE"/>
        </w:rPr>
        <w:t xml:space="preserve"> </w:t>
      </w:r>
      <w:r w:rsidRPr="00BB5519">
        <w:rPr>
          <w:rFonts w:eastAsia="Calibri" w:cs="Tahoma"/>
          <w:szCs w:val="18"/>
          <w:lang w:val="de-DE"/>
        </w:rPr>
        <w:t>ESLP steht nicht in allen Ländern zur Verfügung, und die Vergünstigung wird pro Vertrag/Beitritt gewährt.</w:t>
      </w:r>
    </w:p>
    <w:p w:rsidR="00DF400D" w:rsidRPr="00BB5519" w:rsidRDefault="00DF400D" w:rsidP="002D25C8">
      <w:pPr>
        <w:rPr>
          <w:lang w:val="de-DE"/>
        </w:rPr>
      </w:pPr>
    </w:p>
    <w:p w:rsidR="008A15A8" w:rsidRPr="00BB5519" w:rsidRDefault="008A15A8" w:rsidP="002D25C8">
      <w:pPr>
        <w:rPr>
          <w:lang w:val="de-DE"/>
        </w:rPr>
      </w:pPr>
      <w:r w:rsidRPr="00BB5519">
        <w:rPr>
          <w:rFonts w:eastAsia="Calibri" w:cs="Tahoma"/>
          <w:szCs w:val="18"/>
          <w:lang w:val="de-DE"/>
        </w:rPr>
        <w:lastRenderedPageBreak/>
        <w:t xml:space="preserve">Das Registrierungsformular kann vom Center für Volumenlizenz-Services (VLSC) heruntergeladen werden. Die Teilnahmeberechtigung und die Verfügbarkeitsbereiche unterliegen den Bestimmungen von Microsoft (weitere Informationen finden Sie unter </w:t>
      </w:r>
      <w:hyperlink r:id="rId27" w:history="1">
        <w:r w:rsidRPr="00BB5519">
          <w:rPr>
            <w:rFonts w:eastAsia="Calibri" w:cs="Tahoma"/>
            <w:color w:val="0000FF"/>
            <w:szCs w:val="18"/>
            <w:u w:val="single"/>
            <w:lang w:val="de-DE"/>
          </w:rPr>
          <w:t>www.microsoft.com/resources/sharedsource/Licensing/Enterprise.mspx</w:t>
        </w:r>
      </w:hyperlink>
      <w:r w:rsidRPr="00BB5519">
        <w:rPr>
          <w:rFonts w:eastAsia="Calibri" w:cs="Tahoma"/>
          <w:szCs w:val="18"/>
          <w:lang w:val="de-DE"/>
        </w:rPr>
        <w:t>). Programme für Forschung &amp; Lehre sind zur Teilnahme am Microsoft Research Source Licensing Program berechtigt.</w:t>
      </w:r>
    </w:p>
    <w:p w:rsidR="008A15A8" w:rsidRPr="00BB5519" w:rsidRDefault="008A15A8" w:rsidP="002D25C8">
      <w:pPr>
        <w:pStyle w:val="Heading3"/>
        <w:rPr>
          <w:lang w:val="de-DE"/>
        </w:rPr>
      </w:pPr>
    </w:p>
    <w:p w:rsidR="00023FE7" w:rsidRPr="00BB5519" w:rsidRDefault="00023FE7" w:rsidP="002D25C8">
      <w:pPr>
        <w:pStyle w:val="Heading3"/>
        <w:rPr>
          <w:lang w:val="de-DE"/>
        </w:rPr>
      </w:pPr>
      <w:bookmarkStart w:id="802" w:name="_Toc336338236"/>
      <w:bookmarkStart w:id="803" w:name="_Toc354054932"/>
      <w:r w:rsidRPr="00BB5519">
        <w:rPr>
          <w:rFonts w:ascii="Tahoma" w:hAnsi="Tahoma" w:cs="Tahoma"/>
          <w:sz w:val="24"/>
          <w:lang w:val="de-DE"/>
        </w:rPr>
        <w:t>24x7 Problembehebungssupport</w:t>
      </w:r>
      <w:bookmarkEnd w:id="802"/>
      <w:bookmarkEnd w:id="803"/>
    </w:p>
    <w:p w:rsidR="00023FE7" w:rsidRPr="00BB5519" w:rsidRDefault="00023FE7" w:rsidP="002D25C8">
      <w:pPr>
        <w:rPr>
          <w:lang w:val="de-DE"/>
        </w:rPr>
      </w:pPr>
    </w:p>
    <w:p w:rsidR="00324479" w:rsidRPr="00BB5519" w:rsidRDefault="00324479" w:rsidP="002D25C8">
      <w:pPr>
        <w:rPr>
          <w:lang w:val="de-DE"/>
        </w:rPr>
      </w:pPr>
      <w:r w:rsidRPr="00BB5519">
        <w:rPr>
          <w:rFonts w:cs="Tahoma"/>
          <w:szCs w:val="18"/>
          <w:lang w:val="de-DE"/>
        </w:rPr>
        <w:t>Kunden (mit Ausnahme von Campus- und School-Vertrag und Open Value Subscription – Bildungslösungen) mit Software Assurance sind während der Software Assurance-Laufzeit zum 24x7-Problembehebungssupport berechtigt.</w:t>
      </w:r>
      <w:r w:rsidR="009E4976" w:rsidRPr="00BB5519">
        <w:rPr>
          <w:rFonts w:cs="Tahoma"/>
          <w:szCs w:val="18"/>
          <w:lang w:val="de-DE"/>
        </w:rPr>
        <w:t xml:space="preserve"> </w:t>
      </w:r>
    </w:p>
    <w:p w:rsidR="00023FE7" w:rsidRPr="00BB5519" w:rsidRDefault="00023FE7" w:rsidP="002D25C8">
      <w:pPr>
        <w:pStyle w:val="AppendixBodyText"/>
        <w:spacing w:after="0"/>
        <w:rPr>
          <w:lang w:val="de-DE"/>
        </w:rPr>
      </w:pPr>
    </w:p>
    <w:p w:rsidR="00023FE7" w:rsidRPr="00BB5519" w:rsidRDefault="00023FE7" w:rsidP="002D25C8">
      <w:pPr>
        <w:pStyle w:val="AppendixBodyText"/>
        <w:spacing w:after="0"/>
        <w:rPr>
          <w:lang w:val="de-DE"/>
        </w:rPr>
      </w:pPr>
      <w:r w:rsidRPr="00BB5519">
        <w:rPr>
          <w:rFonts w:ascii="Tahoma" w:hAnsi="Tahoma" w:cs="Tahoma"/>
          <w:sz w:val="18"/>
          <w:szCs w:val="18"/>
          <w:lang w:val="de-DE"/>
        </w:rPr>
        <w:t>24x7-Problembehebungssupport bietet Unterstützung für Probleme mit bestimmten Symptomen, die bei der Verwendung von Microsoft-Produkten aufgetreten sind, wenn eine vernünftige Erwartung besteht, dass die Probleme von Microsoft-Produkten verursacht werden.</w:t>
      </w:r>
      <w:r w:rsidR="009E4976" w:rsidRPr="00BB5519">
        <w:rPr>
          <w:rFonts w:ascii="Tahoma" w:hAnsi="Tahoma" w:cs="Tahoma"/>
          <w:sz w:val="18"/>
          <w:szCs w:val="18"/>
          <w:lang w:val="de-DE"/>
        </w:rPr>
        <w:t xml:space="preserve"> </w:t>
      </w:r>
      <w:r w:rsidRPr="00BB5519">
        <w:rPr>
          <w:rFonts w:ascii="Tahoma" w:hAnsi="Tahoma" w:cs="Tahoma"/>
          <w:sz w:val="18"/>
          <w:szCs w:val="18"/>
          <w:lang w:val="de-DE"/>
        </w:rPr>
        <w:t>Microsoft wird angemessene Maßnahmen zur Unterstützung der Kunden mit Supportbedarf ergreifen, die den Microsoft-Produktsupportrichtlinien entsprechen.</w:t>
      </w:r>
      <w:r w:rsidR="009E4976" w:rsidRPr="00BB5519">
        <w:rPr>
          <w:rFonts w:ascii="Tahoma" w:hAnsi="Tahoma" w:cs="Tahoma"/>
          <w:sz w:val="18"/>
          <w:szCs w:val="18"/>
          <w:lang w:val="de-DE"/>
        </w:rPr>
        <w:t xml:space="preserve"> </w:t>
      </w:r>
      <w:r w:rsidRPr="00BB5519">
        <w:rPr>
          <w:rFonts w:ascii="Tahoma" w:hAnsi="Tahoma" w:cs="Tahoma"/>
          <w:sz w:val="18"/>
          <w:szCs w:val="18"/>
          <w:lang w:val="de-DE"/>
        </w:rPr>
        <w:t xml:space="preserve">Microsoft behält sich das Recht vor, unangemessene Forderungen nach Supportservices abzulehnen und Kunden jederzeit auf einen zusätzlichen Servicelevel-Vertrag zu verweisen, in dessen Rahmen zusätzliche Kosten anfallen können. </w:t>
      </w:r>
    </w:p>
    <w:p w:rsidR="00023FE7" w:rsidRPr="00BB5519" w:rsidRDefault="00023FE7" w:rsidP="002D25C8">
      <w:pPr>
        <w:pStyle w:val="AppendixBodyText"/>
        <w:spacing w:after="0"/>
        <w:rPr>
          <w:lang w:val="de-DE"/>
        </w:rPr>
      </w:pPr>
    </w:p>
    <w:p w:rsidR="00023FE7" w:rsidRPr="00BB5519" w:rsidRDefault="00023FE7" w:rsidP="009459D5">
      <w:pPr>
        <w:pStyle w:val="AppendixBodyText"/>
        <w:spacing w:after="0"/>
        <w:rPr>
          <w:lang w:val="de-DE"/>
        </w:rPr>
      </w:pPr>
      <w:r w:rsidRPr="00BB5519">
        <w:rPr>
          <w:rFonts w:ascii="Tahoma" w:hAnsi="Tahoma" w:cs="Tahoma"/>
          <w:sz w:val="18"/>
          <w:szCs w:val="18"/>
          <w:lang w:val="de-DE"/>
        </w:rPr>
        <w:t>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w:t>
      </w:r>
      <w:r w:rsidR="009459D5">
        <w:rPr>
          <w:rFonts w:ascii="Tahoma" w:hAnsi="Tahoma" w:cs="Tahoma"/>
          <w:sz w:val="18"/>
          <w:szCs w:val="18"/>
          <w:lang w:val="de-DE"/>
        </w:rPr>
        <w:t> </w:t>
      </w:r>
      <w:r w:rsidRPr="00BB5519">
        <w:rPr>
          <w:rFonts w:ascii="Tahoma" w:hAnsi="Tahoma" w:cs="Tahoma"/>
          <w:sz w:val="18"/>
          <w:szCs w:val="18"/>
          <w:lang w:val="de-DE"/>
        </w:rPr>
        <w:t>Kalendertagen nach dem Hinweis von Microsoft so ändert, dass es möglich ist, für sie effektiv Support zu leisten, ist Microsoft nicht zur Erbringung von zusätzlichen Supportservices für diese Implementierung verpflichtet. Microsoft</w:t>
      </w:r>
      <w:r w:rsidR="009459D5">
        <w:rPr>
          <w:rFonts w:ascii="Tahoma" w:hAnsi="Tahoma" w:cs="Tahoma"/>
          <w:sz w:val="18"/>
          <w:szCs w:val="18"/>
          <w:lang w:val="de-DE"/>
        </w:rPr>
        <w:t> </w:t>
      </w:r>
      <w:r w:rsidRPr="00BB5519">
        <w:rPr>
          <w:rFonts w:ascii="Tahoma" w:hAnsi="Tahoma" w:cs="Tahoma"/>
          <w:sz w:val="18"/>
          <w:szCs w:val="18"/>
          <w:lang w:val="de-DE"/>
        </w:rPr>
        <w:t xml:space="preserve">wird jedoch weiterhin Support für die supportfähigen Implementierungen des Kunden, die Gegenstand dieser Bestimmungen sind, erbringen. </w:t>
      </w:r>
    </w:p>
    <w:p w:rsidR="00DF400D" w:rsidRPr="00BB5519" w:rsidRDefault="00DF400D" w:rsidP="002D25C8">
      <w:pPr>
        <w:pStyle w:val="AppendixBodyText"/>
        <w:spacing w:after="0"/>
        <w:rPr>
          <w:lang w:val="de-DE"/>
        </w:rPr>
      </w:pPr>
    </w:p>
    <w:p w:rsidR="00023FE7" w:rsidRPr="00BB5519" w:rsidRDefault="00023FE7" w:rsidP="009459D5">
      <w:pPr>
        <w:pStyle w:val="AppendixBodyText"/>
        <w:spacing w:after="0"/>
        <w:rPr>
          <w:lang w:val="de-DE"/>
        </w:rPr>
      </w:pPr>
      <w:r w:rsidRPr="00BB5519">
        <w:rPr>
          <w:rFonts w:ascii="Tahoma" w:hAnsi="Tahoma" w:cs="Tahoma"/>
          <w:sz w:val="18"/>
          <w:szCs w:val="18"/>
          <w:lang w:val="de-DE"/>
        </w:rPr>
        <w:t>Eine unterstützte Break-Fix-Supportanfrage, auch als Fall bezeichnet, wird als ein einzelnes Supportproblem und die angemessenen Bemühungen zu seiner Behebung definiert.</w:t>
      </w:r>
      <w:r w:rsidR="009E4976" w:rsidRPr="00BB5519">
        <w:rPr>
          <w:rFonts w:ascii="Tahoma" w:hAnsi="Tahoma" w:cs="Tahoma"/>
          <w:sz w:val="18"/>
          <w:szCs w:val="18"/>
          <w:lang w:val="de-DE"/>
        </w:rPr>
        <w:t xml:space="preserve"> </w:t>
      </w:r>
      <w:r w:rsidRPr="00BB5519">
        <w:rPr>
          <w:rFonts w:ascii="Tahoma" w:hAnsi="Tahoma" w:cs="Tahoma"/>
          <w:sz w:val="18"/>
          <w:szCs w:val="18"/>
          <w:lang w:val="de-DE"/>
        </w:rPr>
        <w:t>Ein einzelnes Supportproblem ist ein Problem, das nicht in untergeordnete Probleme aufgeteilt werden kann.</w:t>
      </w:r>
      <w:r w:rsidR="009E4976" w:rsidRPr="00BB5519">
        <w:rPr>
          <w:rFonts w:ascii="Tahoma" w:hAnsi="Tahoma" w:cs="Tahoma"/>
          <w:sz w:val="18"/>
          <w:szCs w:val="18"/>
          <w:lang w:val="de-DE"/>
        </w:rPr>
        <w:t xml:space="preserve"> </w:t>
      </w:r>
      <w:r w:rsidRPr="00BB5519">
        <w:rPr>
          <w:rFonts w:ascii="Tahoma" w:hAnsi="Tahoma" w:cs="Tahoma"/>
          <w:sz w:val="18"/>
          <w:szCs w:val="18"/>
          <w:lang w:val="de-DE"/>
        </w:rPr>
        <w:t>Wenn ein Problem aus untergeordneten Problemen besteht, wird jedes von ihnen als separater Fall betrachtet.</w:t>
      </w:r>
      <w:r w:rsidR="009E4976" w:rsidRPr="00BB5519">
        <w:rPr>
          <w:rFonts w:ascii="Tahoma" w:hAnsi="Tahoma" w:cs="Tahoma"/>
          <w:sz w:val="18"/>
          <w:szCs w:val="18"/>
          <w:lang w:val="de-DE"/>
        </w:rPr>
        <w:t xml:space="preserve"> </w:t>
      </w:r>
      <w:r w:rsidRPr="00BB5519">
        <w:rPr>
          <w:rFonts w:ascii="Tahoma" w:hAnsi="Tahoma" w:cs="Tahoma"/>
          <w:sz w:val="18"/>
          <w:szCs w:val="18"/>
          <w:lang w:val="de-DE"/>
        </w:rP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9E4976" w:rsidRPr="00BB5519">
        <w:rPr>
          <w:rFonts w:ascii="Tahoma" w:hAnsi="Tahoma" w:cs="Tahoma"/>
          <w:sz w:val="18"/>
          <w:szCs w:val="18"/>
          <w:lang w:val="de-DE"/>
        </w:rPr>
        <w:t xml:space="preserve"> </w:t>
      </w:r>
      <w:r w:rsidRPr="00BB5519">
        <w:rPr>
          <w:rFonts w:ascii="Tahoma" w:hAnsi="Tahoma" w:cs="Tahoma"/>
          <w:sz w:val="18"/>
          <w:szCs w:val="18"/>
          <w:lang w:val="de-DE"/>
        </w:rPr>
        <w:t>Hotfixes sind dazu gedacht, bestimmte Probleme der Kunden zu beheben, und wurden keinen Regressionstests unterzogen.</w:t>
      </w:r>
      <w:r w:rsidR="009E4976" w:rsidRPr="00BB5519">
        <w:rPr>
          <w:rFonts w:ascii="Tahoma" w:hAnsi="Tahoma" w:cs="Tahoma"/>
          <w:sz w:val="18"/>
          <w:szCs w:val="18"/>
          <w:lang w:val="de-DE"/>
        </w:rPr>
        <w:t xml:space="preserve"> </w:t>
      </w:r>
      <w:r w:rsidRPr="00BB5519">
        <w:rPr>
          <w:rFonts w:ascii="Tahoma" w:hAnsi="Tahoma" w:cs="Tahoma"/>
          <w:sz w:val="18"/>
          <w:szCs w:val="18"/>
          <w:lang w:val="de-DE"/>
        </w:rPr>
        <w:t>Sofern hierin nichts anderes bestimmt ist, dürfen Hotfixes ohne ausdrückliche schriftliche Zustimmung von Microsoft nicht an</w:t>
      </w:r>
      <w:r w:rsidR="009459D5">
        <w:rPr>
          <w:rFonts w:ascii="Tahoma" w:hAnsi="Tahoma" w:cs="Tahoma"/>
          <w:sz w:val="18"/>
          <w:szCs w:val="18"/>
          <w:lang w:val="de-DE"/>
        </w:rPr>
        <w:t> </w:t>
      </w:r>
      <w:r w:rsidRPr="00BB5519">
        <w:rPr>
          <w:rFonts w:ascii="Tahoma" w:hAnsi="Tahoma" w:cs="Tahoma"/>
          <w:sz w:val="18"/>
          <w:szCs w:val="18"/>
          <w:lang w:val="de-DE"/>
        </w:rPr>
        <w:t>nicht verbundene Dritte vertrieben werden.</w:t>
      </w:r>
    </w:p>
    <w:p w:rsidR="00023FE7" w:rsidRPr="00BB5519" w:rsidRDefault="00023FE7" w:rsidP="002D25C8">
      <w:pPr>
        <w:pStyle w:val="AppendixBodyText"/>
        <w:spacing w:after="0"/>
        <w:rPr>
          <w:lang w:val="de-DE"/>
        </w:rPr>
      </w:pPr>
    </w:p>
    <w:p w:rsidR="00023FE7" w:rsidRPr="00BB5519" w:rsidRDefault="00023FE7" w:rsidP="00BF451C">
      <w:pPr>
        <w:pStyle w:val="AppendixBodyText"/>
        <w:spacing w:after="0"/>
        <w:rPr>
          <w:lang w:val="de-DE"/>
        </w:rPr>
      </w:pPr>
      <w:r w:rsidRPr="00BB5519">
        <w:rPr>
          <w:rFonts w:ascii="Tahoma" w:hAnsi="Tahoma" w:cs="Tahoma"/>
          <w:sz w:val="18"/>
          <w:szCs w:val="18"/>
          <w:lang w:val="de-DE"/>
        </w:rPr>
        <w:t xml:space="preserve">Produkte, die über Volumenlizenzierung erhältlich sind und für die derzeit wie in </w:t>
      </w:r>
      <w:hyperlink r:id="rId28" w:history="1">
        <w:r w:rsidRPr="00BB5519">
          <w:rPr>
            <w:rStyle w:val="Hyperlink"/>
            <w:rFonts w:ascii="Tahoma" w:hAnsi="Tahoma" w:cs="Tahoma"/>
            <w:sz w:val="18"/>
            <w:szCs w:val="18"/>
            <w:lang w:val="de-DE"/>
          </w:rPr>
          <w:t>Microsoft's Support Lifecycle Policy</w:t>
        </w:r>
      </w:hyperlink>
      <w:r w:rsidRPr="00BB5519">
        <w:rPr>
          <w:rFonts w:ascii="Tahoma" w:hAnsi="Tahoma" w:cs="Tahoma"/>
          <w:sz w:val="18"/>
          <w:szCs w:val="18"/>
          <w:lang w:val="de-DE"/>
        </w:rPr>
        <w:t xml:space="preserve"> </w:t>
      </w:r>
      <w:r w:rsidRPr="00BB5519">
        <w:rPr>
          <w:rFonts w:ascii="Tahoma" w:hAnsi="Tahoma" w:cs="Tahoma"/>
          <w:color w:val="000000"/>
          <w:sz w:val="18"/>
          <w:szCs w:val="18"/>
          <w:lang w:val="de-DE"/>
        </w:rPr>
        <w:t>aufgeführt Mainstream-Support geleistet wird, sind mit einer Berechtigung zu 24x7-Problembehebungssupport verbunden.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Die Berechtigung zu telefonischem Support für ein Produkt ist an die Verfügbarkeit des Software Assurance-Angebots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Mehr Informationen über die Service- und Supportrichtlinien finden Sie im jeweiligen Abschnitt für dieses Produkt in diesem Dokument.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Frühere Versionen des Produktes, für die derzeit Mainstream-Support geleistet wird und die die Kunden anstelle der aktuell lizenzierten Version nutzen möchten, sind ebenfalls mit</w:t>
      </w:r>
      <w:r w:rsidR="00BF451C">
        <w:rPr>
          <w:rFonts w:ascii="Tahoma" w:hAnsi="Tahoma" w:cs="Tahoma"/>
          <w:color w:val="000000"/>
          <w:sz w:val="18"/>
          <w:szCs w:val="18"/>
          <w:lang w:val="de-DE"/>
        </w:rPr>
        <w:t> </w:t>
      </w:r>
      <w:r w:rsidRPr="00BB5519">
        <w:rPr>
          <w:rFonts w:ascii="Tahoma" w:hAnsi="Tahoma" w:cs="Tahoma"/>
          <w:color w:val="000000"/>
          <w:sz w:val="18"/>
          <w:szCs w:val="18"/>
          <w:lang w:val="de-DE"/>
        </w:rPr>
        <w:t>einer Berechtigung verbunden.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Die Developer Edition aller Server, HED-Produkte und MSDN-Abonnements sind ausgeschlossen.</w:t>
      </w:r>
    </w:p>
    <w:p w:rsidR="00023FE7" w:rsidRPr="00BB5519" w:rsidRDefault="00023FE7" w:rsidP="002D25C8">
      <w:pPr>
        <w:pStyle w:val="AppendixBodyText"/>
        <w:spacing w:after="0"/>
        <w:rPr>
          <w:lang w:val="de-DE"/>
        </w:rPr>
      </w:pPr>
    </w:p>
    <w:p w:rsidR="00023FE7" w:rsidRPr="00BB5519" w:rsidRDefault="00023FE7" w:rsidP="00BF451C">
      <w:pPr>
        <w:pStyle w:val="AppendixBodyText"/>
        <w:keepNext/>
        <w:keepLines/>
        <w:spacing w:after="0"/>
        <w:rPr>
          <w:lang w:val="de-DE"/>
        </w:rPr>
      </w:pPr>
      <w:r w:rsidRPr="00BB5519">
        <w:rPr>
          <w:rFonts w:ascii="Tahoma" w:hAnsi="Tahoma" w:cs="Tahoma"/>
          <w:sz w:val="18"/>
          <w:szCs w:val="18"/>
          <w:lang w:val="de-DE"/>
        </w:rP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rsidR="00023FE7" w:rsidRPr="00BB5519" w:rsidRDefault="00023FE7" w:rsidP="002D25C8">
      <w:pPr>
        <w:pStyle w:val="AppendixBodyText"/>
        <w:spacing w:after="0"/>
        <w:rPr>
          <w:lang w:val="de-DE"/>
        </w:rPr>
      </w:pPr>
    </w:p>
    <w:p w:rsidR="00023FE7" w:rsidRPr="00BB5519" w:rsidRDefault="00023FE7" w:rsidP="002D25C8">
      <w:pPr>
        <w:pStyle w:val="AppendixBodyText"/>
        <w:spacing w:after="0"/>
        <w:rPr>
          <w:lang w:val="de-DE"/>
        </w:rPr>
      </w:pPr>
      <w:r w:rsidRPr="00BB5519">
        <w:rPr>
          <w:rFonts w:ascii="Tahoma" w:hAnsi="Tahoma" w:cs="Tahoma"/>
          <w:sz w:val="18"/>
          <w:szCs w:val="18"/>
          <w:lang w:val="de-DE"/>
        </w:rPr>
        <w:lastRenderedPageBreak/>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rsidR="00023FE7" w:rsidRPr="00BB5519" w:rsidRDefault="00023FE7" w:rsidP="002D25C8">
      <w:pPr>
        <w:pStyle w:val="AppendixBodyText"/>
        <w:spacing w:after="0"/>
        <w:rPr>
          <w:lang w:val="de-DE"/>
        </w:rPr>
      </w:pPr>
    </w:p>
    <w:p w:rsidR="00023FE7" w:rsidRPr="00BB5519" w:rsidRDefault="00023FE7" w:rsidP="002D25C8">
      <w:pPr>
        <w:pStyle w:val="AppendixBodyText"/>
        <w:spacing w:after="0"/>
        <w:rPr>
          <w:lang w:val="de-DE"/>
        </w:rPr>
      </w:pPr>
      <w:r w:rsidRPr="00BB5519">
        <w:rPr>
          <w:rFonts w:ascii="Tahoma" w:hAnsi="Tahoma" w:cs="Tahoma"/>
          <w:sz w:val="18"/>
          <w:szCs w:val="18"/>
          <w:lang w:val="de-DE"/>
        </w:rPr>
        <w:t>Support kann durch entweder elektronisches Einreichen von Anfragen über das Internet oder telefonisch veranlasst werden. Für jede Art von Medium gelten unterschiedliche Bestimmungen.</w:t>
      </w:r>
      <w:r w:rsidR="009E4976" w:rsidRPr="00BB5519">
        <w:rPr>
          <w:rFonts w:ascii="Tahoma" w:hAnsi="Tahoma" w:cs="Tahoma"/>
          <w:sz w:val="18"/>
          <w:szCs w:val="18"/>
          <w:lang w:val="de-DE"/>
        </w:rPr>
        <w:t xml:space="preserve"> </w:t>
      </w:r>
      <w:r w:rsidRPr="00BB5519">
        <w:rPr>
          <w:rFonts w:ascii="Tahoma" w:hAnsi="Tahoma" w:cs="Tahoma"/>
          <w:sz w:val="18"/>
          <w:szCs w:val="18"/>
          <w:lang w:val="de-DE"/>
        </w:rPr>
        <w:t>Der 24x7-Problembehebungssupport stellt den Kunden eine Anzahl von Anfragen und Kontaktpersonen zum Melden dieser Anfragen wie nachstehend beschrieben zur Verfügung.</w:t>
      </w:r>
    </w:p>
    <w:p w:rsidR="00023FE7" w:rsidRPr="00BB5519" w:rsidRDefault="00023FE7" w:rsidP="002D25C8">
      <w:pPr>
        <w:pStyle w:val="AppendixBodyText"/>
        <w:spacing w:after="0"/>
        <w:rPr>
          <w:lang w:val="de-DE"/>
        </w:rPr>
      </w:pPr>
    </w:p>
    <w:p w:rsidR="00023FE7" w:rsidRPr="00D15040" w:rsidRDefault="00023FE7" w:rsidP="00DA2788">
      <w:pPr>
        <w:spacing w:after="60"/>
        <w:rPr>
          <w:rFonts w:cs="Tahoma"/>
          <w:b/>
          <w:szCs w:val="20"/>
          <w:lang w:val="de-DE"/>
        </w:rPr>
      </w:pPr>
      <w:bookmarkStart w:id="804" w:name="_Toc240899163"/>
      <w:r w:rsidRPr="00D15040">
        <w:rPr>
          <w:rFonts w:cs="Tahoma"/>
          <w:b/>
          <w:szCs w:val="20"/>
          <w:lang w:val="de-DE"/>
        </w:rPr>
        <w:t>Gewährung von telefonischen Supportanfragen</w:t>
      </w:r>
      <w:bookmarkEnd w:id="804"/>
    </w:p>
    <w:p w:rsidR="00023FE7" w:rsidRPr="00BB5519" w:rsidRDefault="00023FE7" w:rsidP="002D25C8">
      <w:pPr>
        <w:pStyle w:val="AppendixBodyText"/>
        <w:spacing w:after="0"/>
        <w:rPr>
          <w:lang w:val="de-DE"/>
        </w:rPr>
      </w:pPr>
      <w:r w:rsidRPr="00BB5519">
        <w:rPr>
          <w:rFonts w:ascii="Tahoma" w:hAnsi="Tahoma" w:cs="Tahoma"/>
          <w:sz w:val="18"/>
          <w:szCs w:val="18"/>
          <w:lang w:val="de-DE"/>
        </w:rPr>
        <w:t>Die Anzahl der zulässigen telefonischen Supportanfragen ist je nach SA-Ausgaben und Zahlungsoption des jeweiligen Kunden von Kunde zu Kunde unterschiedlich.</w:t>
      </w:r>
      <w:r w:rsidR="009E4976" w:rsidRPr="00BB5519">
        <w:rPr>
          <w:rFonts w:ascii="Tahoma" w:hAnsi="Tahoma" w:cs="Tahoma"/>
          <w:sz w:val="18"/>
          <w:szCs w:val="18"/>
          <w:lang w:val="de-DE"/>
        </w:rPr>
        <w:t xml:space="preserve"> </w:t>
      </w:r>
      <w:r w:rsidRPr="00BB5519">
        <w:rPr>
          <w:rFonts w:ascii="Tahoma" w:hAnsi="Tahoma" w:cs="Tahoma"/>
          <w:sz w:val="18"/>
          <w:lang w:val="de-DE"/>
        </w:rPr>
        <w:t>In diesem Sinne sind mit „SA-Ausgaben“ nicht die tatsächlich ausgegebenen Beträge des Kunden gemeint.</w:t>
      </w:r>
      <w:r w:rsidR="009E4976" w:rsidRPr="00BB5519">
        <w:rPr>
          <w:rFonts w:ascii="Tahoma" w:hAnsi="Tahoma" w:cs="Tahoma"/>
          <w:sz w:val="18"/>
          <w:lang w:val="de-DE"/>
        </w:rPr>
        <w:t xml:space="preserve"> </w:t>
      </w:r>
      <w:r w:rsidRPr="00BB5519">
        <w:rPr>
          <w:rFonts w:ascii="Tahoma" w:hAnsi="Tahoma" w:cs="Tahoma"/>
          <w:sz w:val="18"/>
          <w:lang w:val="de-DE"/>
        </w:rPr>
        <w:t>Vielmehr handelt es sich um einen Überschlag der Ausgaben eines Kunden für Software Assurance für diese Produkte. Für Ku</w:t>
      </w:r>
      <w:r w:rsidRPr="00BB5519">
        <w:rPr>
          <w:rFonts w:ascii="Tahoma" w:hAnsi="Tahoma" w:cs="Tahoma"/>
          <w:sz w:val="18"/>
          <w:szCs w:val="18"/>
          <w:lang w:val="de-DE"/>
        </w:rPr>
        <w:t>nden unter Abonnementprogrammen handelt es sich um einen Überschlag des Gesamtbetrags, den der Kunde für die Lizenzierung dieser Produkte unter seinem Beitritt bzw. Vertrag ausgegeben hat.</w:t>
      </w:r>
      <w:r w:rsidR="009E4976" w:rsidRPr="00BB5519">
        <w:rPr>
          <w:rFonts w:ascii="Tahoma" w:hAnsi="Tahoma" w:cs="Tahoma"/>
          <w:sz w:val="18"/>
          <w:szCs w:val="18"/>
          <w:lang w:val="de-DE"/>
        </w:rPr>
        <w:t xml:space="preserve"> </w:t>
      </w:r>
      <w:r w:rsidRPr="00BB5519">
        <w:rPr>
          <w:rFonts w:ascii="Tahoma" w:hAnsi="Tahoma" w:cs="Tahoma"/>
          <w:sz w:val="18"/>
          <w:szCs w:val="18"/>
          <w:lang w:val="de-DE"/>
        </w:rPr>
        <w:t>Die kostenlose Anfrage wird im Rahmen eines Konzernbeitritts, Select-Beitritts, einer Select Plus-Registrierung und eines Open Value-Vertrages mit SA für mindestens ein qualifizierendes Server-Softwareprodukt gewährt.</w:t>
      </w:r>
    </w:p>
    <w:p w:rsidR="00F42FB8" w:rsidRPr="00BB5519" w:rsidRDefault="00F42FB8" w:rsidP="002D25C8">
      <w:pPr>
        <w:pStyle w:val="AppendixBodyText"/>
        <w:spacing w:after="0"/>
        <w:rPr>
          <w:lang w:val="de-DE"/>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0"/>
        <w:gridCol w:w="1710"/>
        <w:gridCol w:w="2250"/>
        <w:gridCol w:w="2151"/>
      </w:tblGrid>
      <w:tr w:rsidR="00613BBB" w:rsidRPr="006F21F8" w:rsidTr="0022590D">
        <w:trPr>
          <w:trHeight w:val="178"/>
          <w:tblHeader/>
        </w:trPr>
        <w:tc>
          <w:tcPr>
            <w:tcW w:w="261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B5519" w:rsidRDefault="00613BBB" w:rsidP="00F42FB8">
            <w:pPr>
              <w:pStyle w:val="AppendixBodyText"/>
              <w:rPr>
                <w:rFonts w:ascii="Tahoma" w:hAnsi="Tahoma" w:cs="Tahoma"/>
                <w:b/>
                <w:bCs/>
              </w:rPr>
            </w:pPr>
            <w:r w:rsidRPr="00BB5519">
              <w:rPr>
                <w:rFonts w:ascii="Tahoma" w:hAnsi="Tahoma" w:cs="Tahoma"/>
                <w:b/>
                <w:bCs/>
              </w:rPr>
              <w:t>Währungsbezeichnung</w:t>
            </w:r>
          </w:p>
        </w:tc>
        <w:tc>
          <w:tcPr>
            <w:tcW w:w="171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B5519" w:rsidRDefault="00613BBB" w:rsidP="00F42FB8">
            <w:pPr>
              <w:pStyle w:val="AppendixBodyText"/>
              <w:rPr>
                <w:rFonts w:ascii="Tahoma" w:hAnsi="Tahoma" w:cs="Tahoma"/>
                <w:b/>
                <w:bCs/>
              </w:rPr>
            </w:pPr>
            <w:r w:rsidRPr="00BB5519">
              <w:rPr>
                <w:rFonts w:ascii="Tahoma" w:hAnsi="Tahoma" w:cs="Tahoma"/>
                <w:b/>
                <w:bCs/>
              </w:rPr>
              <w:t>Währungscode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B5519" w:rsidRDefault="00613BBB" w:rsidP="00F42FB8">
            <w:pPr>
              <w:pStyle w:val="AppendixBodyText"/>
              <w:rPr>
                <w:lang w:val="de-DE"/>
              </w:rPr>
            </w:pPr>
            <w:r w:rsidRPr="00BB5519">
              <w:rPr>
                <w:rFonts w:ascii="Tahoma" w:hAnsi="Tahoma" w:cs="Tahoma"/>
                <w:b/>
                <w:bCs/>
                <w:lang w:val="de-DE"/>
              </w:rPr>
              <w:t>Server/CAL</w:t>
            </w:r>
          </w:p>
          <w:p w:rsidR="00613BBB" w:rsidRPr="00BB5519" w:rsidRDefault="00613BBB" w:rsidP="00F42FB8">
            <w:pPr>
              <w:pStyle w:val="AppendixBodyText"/>
              <w:rPr>
                <w:rFonts w:ascii="Tahoma" w:hAnsi="Tahoma" w:cs="Tahoma"/>
                <w:b/>
                <w:bCs/>
                <w:lang w:val="de-DE"/>
              </w:rPr>
            </w:pPr>
            <w:r w:rsidRPr="00BB5519">
              <w:rPr>
                <w:rFonts w:ascii="Tahoma" w:hAnsi="Tahoma" w:cs="Tahoma"/>
                <w:b/>
                <w:bCs/>
                <w:lang w:val="de-DE"/>
              </w:rPr>
              <w:t>Stufen für gewährte Anfragen</w:t>
            </w:r>
          </w:p>
        </w:tc>
        <w:tc>
          <w:tcPr>
            <w:tcW w:w="215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BB5519" w:rsidRDefault="00613BBB" w:rsidP="00F42FB8">
            <w:pPr>
              <w:pStyle w:val="AppendixBodyText"/>
              <w:rPr>
                <w:lang w:val="de-DE"/>
              </w:rPr>
            </w:pPr>
            <w:r w:rsidRPr="00BB5519">
              <w:rPr>
                <w:rFonts w:ascii="Tahoma" w:hAnsi="Tahoma" w:cs="Tahoma"/>
                <w:b/>
                <w:bCs/>
                <w:lang w:val="de-DE"/>
              </w:rPr>
              <w:t>IW/Client</w:t>
            </w:r>
          </w:p>
          <w:p w:rsidR="00613BBB" w:rsidRPr="00BB5519" w:rsidRDefault="00613BBB" w:rsidP="00F42FB8">
            <w:pPr>
              <w:pStyle w:val="AppendixBodyText"/>
              <w:rPr>
                <w:rFonts w:ascii="Tahoma" w:hAnsi="Tahoma" w:cs="Tahoma"/>
                <w:b/>
                <w:bCs/>
                <w:lang w:val="de-DE"/>
              </w:rPr>
            </w:pPr>
            <w:r w:rsidRPr="00BB5519">
              <w:rPr>
                <w:rFonts w:ascii="Tahoma" w:hAnsi="Tahoma" w:cs="Tahoma"/>
                <w:b/>
                <w:bCs/>
                <w:lang w:val="de-DE"/>
              </w:rPr>
              <w:t>Stufen für gewährte Anfragen</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US-Dollar</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USD</w:t>
            </w:r>
          </w:p>
        </w:tc>
        <w:tc>
          <w:tcPr>
            <w:tcW w:w="2250"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$20</w:t>
            </w:r>
            <w:r w:rsidR="000E3562">
              <w:rPr>
                <w:rFonts w:ascii="Tahoma" w:hAnsi="Tahoma" w:cs="Tahoma"/>
                <w:sz w:val="18"/>
                <w:szCs w:val="18"/>
              </w:rPr>
              <w:t>.</w:t>
            </w:r>
            <w:r w:rsidRPr="00BB5519">
              <w:rPr>
                <w:rFonts w:ascii="Tahoma" w:hAnsi="Tahoma" w:cs="Tahoma"/>
                <w:sz w:val="18"/>
                <w:szCs w:val="18"/>
              </w:rPr>
              <w:t>000</w:t>
            </w:r>
          </w:p>
        </w:tc>
        <w:tc>
          <w:tcPr>
            <w:tcW w:w="2151"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$200</w:t>
            </w:r>
            <w:r w:rsidR="000E3562">
              <w:rPr>
                <w:rFonts w:ascii="Tahoma" w:hAnsi="Tahoma" w:cs="Tahoma"/>
                <w:sz w:val="18"/>
                <w:szCs w:val="18"/>
              </w:rPr>
              <w:t>.</w:t>
            </w:r>
            <w:r w:rsidRPr="00BB5519">
              <w:rPr>
                <w:rFonts w:ascii="Tahoma" w:hAnsi="Tahoma" w:cs="Tahoma"/>
                <w:sz w:val="18"/>
                <w:szCs w:val="18"/>
              </w:rPr>
              <w:t>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Australischer Dollar</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AUD</w:t>
            </w:r>
          </w:p>
        </w:tc>
        <w:tc>
          <w:tcPr>
            <w:tcW w:w="2250"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30</w:t>
            </w:r>
            <w:r w:rsidR="000E3562">
              <w:rPr>
                <w:rFonts w:ascii="Tahoma" w:hAnsi="Tahoma" w:cs="Tahoma"/>
                <w:sz w:val="18"/>
                <w:szCs w:val="18"/>
              </w:rPr>
              <w:t>.</w:t>
            </w:r>
            <w:r w:rsidRPr="00BB5519">
              <w:rPr>
                <w:rFonts w:ascii="Tahoma" w:hAnsi="Tahoma" w:cs="Tahoma"/>
                <w:sz w:val="18"/>
                <w:szCs w:val="18"/>
              </w:rPr>
              <w:t>000</w:t>
            </w:r>
          </w:p>
        </w:tc>
        <w:tc>
          <w:tcPr>
            <w:tcW w:w="2151"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300</w:t>
            </w:r>
            <w:r w:rsidR="000E3562">
              <w:rPr>
                <w:rFonts w:ascii="Tahoma" w:hAnsi="Tahoma" w:cs="Tahoma"/>
                <w:sz w:val="18"/>
                <w:szCs w:val="18"/>
              </w:rPr>
              <w:t>.</w:t>
            </w:r>
            <w:r w:rsidRPr="00BB5519">
              <w:rPr>
                <w:rFonts w:ascii="Tahoma" w:hAnsi="Tahoma" w:cs="Tahoma"/>
                <w:sz w:val="18"/>
                <w:szCs w:val="18"/>
              </w:rPr>
              <w:t>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Kanadischer Dollar</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CAD</w:t>
            </w:r>
          </w:p>
        </w:tc>
        <w:tc>
          <w:tcPr>
            <w:tcW w:w="2250"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27</w:t>
            </w:r>
            <w:r w:rsidR="000E3562">
              <w:rPr>
                <w:rFonts w:ascii="Tahoma" w:hAnsi="Tahoma" w:cs="Tahoma"/>
                <w:sz w:val="18"/>
                <w:szCs w:val="18"/>
              </w:rPr>
              <w:t>.</w:t>
            </w:r>
            <w:r w:rsidRPr="00BB5519">
              <w:rPr>
                <w:rFonts w:ascii="Tahoma" w:hAnsi="Tahoma" w:cs="Tahoma"/>
                <w:sz w:val="18"/>
                <w:szCs w:val="18"/>
              </w:rPr>
              <w:t>000</w:t>
            </w:r>
          </w:p>
        </w:tc>
        <w:tc>
          <w:tcPr>
            <w:tcW w:w="2151"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270</w:t>
            </w:r>
            <w:r w:rsidR="000E3562">
              <w:rPr>
                <w:rFonts w:ascii="Tahoma" w:hAnsi="Tahoma" w:cs="Tahoma"/>
                <w:sz w:val="18"/>
                <w:szCs w:val="18"/>
              </w:rPr>
              <w:t>.</w:t>
            </w:r>
            <w:r w:rsidRPr="00BB5519">
              <w:rPr>
                <w:rFonts w:ascii="Tahoma" w:hAnsi="Tahoma" w:cs="Tahoma"/>
                <w:sz w:val="18"/>
                <w:szCs w:val="18"/>
              </w:rPr>
              <w:t>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Schweizer Franken</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CHF</w:t>
            </w:r>
          </w:p>
        </w:tc>
        <w:tc>
          <w:tcPr>
            <w:tcW w:w="2250" w:type="dxa"/>
            <w:vAlign w:val="bottom"/>
          </w:tcPr>
          <w:p w:rsidR="00613BBB" w:rsidRPr="00BB5519" w:rsidRDefault="00613BBB" w:rsidP="003F26EA">
            <w:pPr>
              <w:pStyle w:val="AppendixBodyText"/>
              <w:rPr>
                <w:rFonts w:ascii="Tahoma" w:hAnsi="Tahoma" w:cs="Tahoma"/>
                <w:sz w:val="18"/>
                <w:szCs w:val="18"/>
              </w:rPr>
            </w:pPr>
            <w:r w:rsidRPr="00BB5519">
              <w:rPr>
                <w:rFonts w:ascii="Tahoma" w:hAnsi="Tahoma" w:cs="Tahoma"/>
                <w:sz w:val="18"/>
                <w:szCs w:val="18"/>
              </w:rPr>
              <w:t>S Fr. 33</w:t>
            </w:r>
            <w:r w:rsidR="003F26EA">
              <w:rPr>
                <w:rFonts w:ascii="Tahoma" w:hAnsi="Tahoma" w:cs="Tahoma"/>
                <w:sz w:val="18"/>
                <w:szCs w:val="18"/>
              </w:rPr>
              <w:t>.</w:t>
            </w:r>
            <w:r w:rsidRPr="00BB5519">
              <w:rPr>
                <w:rFonts w:ascii="Tahoma" w:hAnsi="Tahoma" w:cs="Tahoma"/>
                <w:sz w:val="18"/>
                <w:szCs w:val="18"/>
              </w:rPr>
              <w:t>000</w:t>
            </w:r>
          </w:p>
        </w:tc>
        <w:tc>
          <w:tcPr>
            <w:tcW w:w="2151" w:type="dxa"/>
            <w:vAlign w:val="bottom"/>
          </w:tcPr>
          <w:p w:rsidR="00613BBB" w:rsidRPr="00BB5519" w:rsidRDefault="00613BBB" w:rsidP="003F26EA">
            <w:pPr>
              <w:pStyle w:val="AppendixBodyText"/>
              <w:rPr>
                <w:rFonts w:ascii="Tahoma" w:hAnsi="Tahoma" w:cs="Tahoma"/>
                <w:sz w:val="18"/>
                <w:szCs w:val="18"/>
              </w:rPr>
            </w:pPr>
            <w:r w:rsidRPr="00BB5519">
              <w:rPr>
                <w:rFonts w:ascii="Tahoma" w:hAnsi="Tahoma" w:cs="Tahoma"/>
                <w:sz w:val="18"/>
                <w:szCs w:val="18"/>
              </w:rPr>
              <w:t>S Fr. 330</w:t>
            </w:r>
            <w:r w:rsidR="003F26EA">
              <w:rPr>
                <w:rFonts w:ascii="Tahoma" w:hAnsi="Tahoma" w:cs="Tahoma"/>
                <w:sz w:val="18"/>
                <w:szCs w:val="18"/>
              </w:rPr>
              <w:t>.</w:t>
            </w:r>
            <w:r w:rsidRPr="00BB5519">
              <w:rPr>
                <w:rFonts w:ascii="Tahoma" w:hAnsi="Tahoma" w:cs="Tahoma"/>
                <w:sz w:val="18"/>
                <w:szCs w:val="18"/>
              </w:rPr>
              <w:t>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Chinesischer Renminbi</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CNY</w:t>
            </w:r>
          </w:p>
        </w:tc>
        <w:tc>
          <w:tcPr>
            <w:tcW w:w="225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CRC 165.000</w:t>
            </w:r>
          </w:p>
        </w:tc>
        <w:tc>
          <w:tcPr>
            <w:tcW w:w="2151"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CRC 1.650.000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Dänische Krone</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DKK</w:t>
            </w:r>
          </w:p>
        </w:tc>
        <w:tc>
          <w:tcPr>
            <w:tcW w:w="225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kr 160.000</w:t>
            </w:r>
          </w:p>
        </w:tc>
        <w:tc>
          <w:tcPr>
            <w:tcW w:w="2151"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kr 1.600.000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EURO</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EUR</w:t>
            </w:r>
          </w:p>
        </w:tc>
        <w:tc>
          <w:tcPr>
            <w:tcW w:w="2250"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21</w:t>
            </w:r>
            <w:r w:rsidR="000E3562">
              <w:rPr>
                <w:rFonts w:ascii="Tahoma" w:hAnsi="Tahoma" w:cs="Tahoma"/>
                <w:sz w:val="18"/>
                <w:szCs w:val="18"/>
              </w:rPr>
              <w:t>.</w:t>
            </w:r>
            <w:r w:rsidRPr="00BB5519">
              <w:rPr>
                <w:rFonts w:ascii="Tahoma" w:hAnsi="Tahoma" w:cs="Tahoma"/>
                <w:sz w:val="18"/>
                <w:szCs w:val="18"/>
              </w:rPr>
              <w:t>500</w:t>
            </w:r>
          </w:p>
        </w:tc>
        <w:tc>
          <w:tcPr>
            <w:tcW w:w="2151"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215</w:t>
            </w:r>
            <w:r w:rsidR="000E3562">
              <w:rPr>
                <w:rFonts w:ascii="Tahoma" w:hAnsi="Tahoma" w:cs="Tahoma"/>
                <w:sz w:val="18"/>
                <w:szCs w:val="18"/>
              </w:rPr>
              <w:t>.</w:t>
            </w:r>
            <w:r w:rsidRPr="00BB5519">
              <w:rPr>
                <w:rFonts w:ascii="Tahoma" w:hAnsi="Tahoma" w:cs="Tahoma"/>
                <w:sz w:val="18"/>
                <w:szCs w:val="18"/>
              </w:rPr>
              <w:t>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Britisches Pfund</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GBP</w:t>
            </w:r>
          </w:p>
        </w:tc>
        <w:tc>
          <w:tcPr>
            <w:tcW w:w="2250"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£13</w:t>
            </w:r>
            <w:r w:rsidR="000E3562">
              <w:rPr>
                <w:rFonts w:ascii="Tahoma" w:hAnsi="Tahoma" w:cs="Tahoma"/>
                <w:sz w:val="18"/>
                <w:szCs w:val="18"/>
              </w:rPr>
              <w:t>.</w:t>
            </w:r>
            <w:r w:rsidRPr="00BB5519">
              <w:rPr>
                <w:rFonts w:ascii="Tahoma" w:hAnsi="Tahoma" w:cs="Tahoma"/>
                <w:sz w:val="18"/>
                <w:szCs w:val="18"/>
              </w:rPr>
              <w:t>500</w:t>
            </w:r>
          </w:p>
        </w:tc>
        <w:tc>
          <w:tcPr>
            <w:tcW w:w="2151"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£135</w:t>
            </w:r>
            <w:r w:rsidR="000E3562">
              <w:rPr>
                <w:rFonts w:ascii="Tahoma" w:hAnsi="Tahoma" w:cs="Tahoma"/>
                <w:sz w:val="18"/>
                <w:szCs w:val="18"/>
              </w:rPr>
              <w:t>.</w:t>
            </w:r>
            <w:r w:rsidRPr="00BB5519">
              <w:rPr>
                <w:rFonts w:ascii="Tahoma" w:hAnsi="Tahoma" w:cs="Tahoma"/>
                <w:sz w:val="18"/>
                <w:szCs w:val="18"/>
              </w:rPr>
              <w:t>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Japanischer Yen</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JPY</w:t>
            </w:r>
          </w:p>
        </w:tc>
        <w:tc>
          <w:tcPr>
            <w:tcW w:w="225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JPY 2.400.000</w:t>
            </w:r>
          </w:p>
        </w:tc>
        <w:tc>
          <w:tcPr>
            <w:tcW w:w="2151"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JPY 24.000.000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Koreanischer Won</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KRW</w:t>
            </w:r>
          </w:p>
        </w:tc>
        <w:tc>
          <w:tcPr>
            <w:tcW w:w="225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KWD 24.000.000</w:t>
            </w:r>
          </w:p>
        </w:tc>
        <w:tc>
          <w:tcPr>
            <w:tcW w:w="2151"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KWD 240.000.000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Norwegische Krone</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NOK</w:t>
            </w:r>
          </w:p>
        </w:tc>
        <w:tc>
          <w:tcPr>
            <w:tcW w:w="225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kr 165.000</w:t>
            </w:r>
          </w:p>
        </w:tc>
        <w:tc>
          <w:tcPr>
            <w:tcW w:w="2151"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kr 1.650.000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Neuseeländischer Dollar</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NZD</w:t>
            </w:r>
          </w:p>
        </w:tc>
        <w:tc>
          <w:tcPr>
            <w:tcW w:w="2250"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35</w:t>
            </w:r>
            <w:r w:rsidR="000E3562">
              <w:rPr>
                <w:rFonts w:ascii="Tahoma" w:hAnsi="Tahoma" w:cs="Tahoma"/>
                <w:sz w:val="18"/>
                <w:szCs w:val="18"/>
              </w:rPr>
              <w:t>.</w:t>
            </w:r>
            <w:r w:rsidRPr="00BB5519">
              <w:rPr>
                <w:rFonts w:ascii="Tahoma" w:hAnsi="Tahoma" w:cs="Tahoma"/>
                <w:sz w:val="18"/>
                <w:szCs w:val="18"/>
              </w:rPr>
              <w:t>000</w:t>
            </w:r>
          </w:p>
        </w:tc>
        <w:tc>
          <w:tcPr>
            <w:tcW w:w="2151" w:type="dxa"/>
            <w:vAlign w:val="bottom"/>
          </w:tcPr>
          <w:p w:rsidR="00613BBB" w:rsidRPr="00BB5519" w:rsidRDefault="00613BBB" w:rsidP="000E3562">
            <w:pPr>
              <w:pStyle w:val="AppendixBodyText"/>
              <w:rPr>
                <w:rFonts w:ascii="Tahoma" w:hAnsi="Tahoma" w:cs="Tahoma"/>
                <w:sz w:val="18"/>
                <w:szCs w:val="18"/>
              </w:rPr>
            </w:pPr>
            <w:r w:rsidRPr="00BB5519">
              <w:rPr>
                <w:rFonts w:ascii="Tahoma" w:hAnsi="Tahoma" w:cs="Tahoma"/>
                <w:sz w:val="18"/>
                <w:szCs w:val="18"/>
              </w:rPr>
              <w:t>350</w:t>
            </w:r>
            <w:r w:rsidR="000E3562">
              <w:rPr>
                <w:rFonts w:ascii="Tahoma" w:hAnsi="Tahoma" w:cs="Tahoma"/>
                <w:sz w:val="18"/>
                <w:szCs w:val="18"/>
              </w:rPr>
              <w:t>.</w:t>
            </w:r>
            <w:r w:rsidRPr="00BB5519">
              <w:rPr>
                <w:rFonts w:ascii="Tahoma" w:hAnsi="Tahoma" w:cs="Tahoma"/>
                <w:sz w:val="18"/>
                <w:szCs w:val="18"/>
              </w:rPr>
              <w:t>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Schwedische Krone</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SEK</w:t>
            </w:r>
          </w:p>
        </w:tc>
        <w:tc>
          <w:tcPr>
            <w:tcW w:w="225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kr 200.000</w:t>
            </w:r>
          </w:p>
        </w:tc>
        <w:tc>
          <w:tcPr>
            <w:tcW w:w="2151"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kr 2.000.000</w:t>
            </w:r>
          </w:p>
        </w:tc>
      </w:tr>
      <w:tr w:rsidR="00613BBB" w:rsidRPr="00BB5519" w:rsidTr="0022590D">
        <w:trPr>
          <w:trHeight w:val="236"/>
        </w:trPr>
        <w:tc>
          <w:tcPr>
            <w:tcW w:w="26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Neuer Taiwan-Dollar</w:t>
            </w:r>
          </w:p>
        </w:tc>
        <w:tc>
          <w:tcPr>
            <w:tcW w:w="171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TWD</w:t>
            </w:r>
          </w:p>
        </w:tc>
        <w:tc>
          <w:tcPr>
            <w:tcW w:w="2250"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NTD 700.000</w:t>
            </w:r>
          </w:p>
        </w:tc>
        <w:tc>
          <w:tcPr>
            <w:tcW w:w="2151" w:type="dxa"/>
            <w:vAlign w:val="bottom"/>
          </w:tcPr>
          <w:p w:rsidR="00613BBB" w:rsidRPr="00BB5519" w:rsidRDefault="00613BBB" w:rsidP="00F42FB8">
            <w:pPr>
              <w:pStyle w:val="AppendixBodyText"/>
              <w:rPr>
                <w:rFonts w:ascii="Tahoma" w:hAnsi="Tahoma" w:cs="Tahoma"/>
                <w:sz w:val="18"/>
                <w:szCs w:val="18"/>
              </w:rPr>
            </w:pPr>
            <w:r w:rsidRPr="00BB5519">
              <w:rPr>
                <w:rFonts w:ascii="Tahoma" w:hAnsi="Tahoma" w:cs="Tahoma"/>
                <w:sz w:val="18"/>
                <w:szCs w:val="18"/>
              </w:rPr>
              <w:t>NTD 7.000.000</w:t>
            </w:r>
          </w:p>
        </w:tc>
      </w:tr>
      <w:tr w:rsidR="004B4C79" w:rsidRPr="00BB5519" w:rsidTr="0022590D">
        <w:trPr>
          <w:trHeight w:val="236"/>
        </w:trPr>
        <w:tc>
          <w:tcPr>
            <w:tcW w:w="2610" w:type="dxa"/>
          </w:tcPr>
          <w:p w:rsidR="004B4C79" w:rsidRPr="00BB5519" w:rsidRDefault="004B4C79" w:rsidP="00F42FB8">
            <w:pPr>
              <w:pStyle w:val="AppendixBodyText"/>
              <w:rPr>
                <w:rFonts w:ascii="Tahoma" w:hAnsi="Tahoma" w:cs="Tahoma"/>
                <w:sz w:val="18"/>
                <w:szCs w:val="18"/>
              </w:rPr>
            </w:pPr>
            <w:r w:rsidRPr="00BB5519">
              <w:rPr>
                <w:rFonts w:ascii="Tahoma" w:hAnsi="Tahoma" w:cs="Tahoma"/>
                <w:sz w:val="18"/>
                <w:szCs w:val="18"/>
              </w:rPr>
              <w:t>Indische Rupie</w:t>
            </w:r>
          </w:p>
        </w:tc>
        <w:tc>
          <w:tcPr>
            <w:tcW w:w="1710" w:type="dxa"/>
          </w:tcPr>
          <w:p w:rsidR="004B4C79" w:rsidRPr="00BB5519" w:rsidRDefault="004B4C79" w:rsidP="00F42FB8">
            <w:pPr>
              <w:pStyle w:val="AppendixBodyText"/>
              <w:rPr>
                <w:rFonts w:ascii="Tahoma" w:hAnsi="Tahoma" w:cs="Tahoma"/>
                <w:sz w:val="18"/>
                <w:szCs w:val="18"/>
              </w:rPr>
            </w:pPr>
            <w:r w:rsidRPr="00BB5519">
              <w:rPr>
                <w:rFonts w:ascii="Tahoma" w:hAnsi="Tahoma" w:cs="Tahoma"/>
                <w:sz w:val="18"/>
                <w:szCs w:val="18"/>
              </w:rPr>
              <w:t>INR</w:t>
            </w:r>
          </w:p>
        </w:tc>
        <w:tc>
          <w:tcPr>
            <w:tcW w:w="2250" w:type="dxa"/>
          </w:tcPr>
          <w:p w:rsidR="004B4C79" w:rsidRPr="00BB5519" w:rsidRDefault="004B4C79" w:rsidP="00F42FB8">
            <w:pPr>
              <w:pStyle w:val="AppendixBodyText"/>
              <w:rPr>
                <w:rFonts w:ascii="Tahoma" w:hAnsi="Tahoma" w:cs="Tahoma"/>
                <w:sz w:val="18"/>
                <w:szCs w:val="18"/>
              </w:rPr>
            </w:pPr>
            <w:r w:rsidRPr="00BB5519">
              <w:rPr>
                <w:rFonts w:ascii="Tahoma" w:hAnsi="Tahoma" w:cs="Tahoma"/>
                <w:sz w:val="18"/>
                <w:szCs w:val="18"/>
              </w:rPr>
              <w:t>INR 1.000.000</w:t>
            </w:r>
          </w:p>
        </w:tc>
        <w:tc>
          <w:tcPr>
            <w:tcW w:w="2151" w:type="dxa"/>
          </w:tcPr>
          <w:p w:rsidR="004B4C79" w:rsidRPr="00BB5519" w:rsidRDefault="004B4C79" w:rsidP="00F42FB8">
            <w:pPr>
              <w:pStyle w:val="AppendixBodyText"/>
              <w:rPr>
                <w:rFonts w:ascii="Tahoma" w:hAnsi="Tahoma" w:cs="Tahoma"/>
                <w:sz w:val="18"/>
                <w:szCs w:val="18"/>
              </w:rPr>
            </w:pPr>
            <w:r w:rsidRPr="00BB5519">
              <w:rPr>
                <w:rFonts w:ascii="Tahoma" w:hAnsi="Tahoma" w:cs="Tahoma"/>
                <w:sz w:val="18"/>
                <w:szCs w:val="18"/>
              </w:rPr>
              <w:t>INR 10.000.000</w:t>
            </w:r>
          </w:p>
        </w:tc>
      </w:tr>
      <w:tr w:rsidR="004B4C79" w:rsidRPr="00BB5519" w:rsidTr="0022590D">
        <w:trPr>
          <w:trHeight w:val="236"/>
        </w:trPr>
        <w:tc>
          <w:tcPr>
            <w:tcW w:w="2610" w:type="dxa"/>
          </w:tcPr>
          <w:p w:rsidR="004B4C79" w:rsidRPr="00BB5519" w:rsidRDefault="004B4C79" w:rsidP="00F42FB8">
            <w:pPr>
              <w:pStyle w:val="AppendixBodyText"/>
              <w:rPr>
                <w:rFonts w:ascii="Tahoma" w:hAnsi="Tahoma" w:cs="Tahoma"/>
                <w:sz w:val="18"/>
                <w:szCs w:val="18"/>
              </w:rPr>
            </w:pPr>
            <w:r w:rsidRPr="00BB5519">
              <w:rPr>
                <w:rFonts w:ascii="Tahoma" w:hAnsi="Tahoma" w:cs="Tahoma"/>
                <w:sz w:val="18"/>
                <w:szCs w:val="18"/>
              </w:rPr>
              <w:t>Russischer Rubel</w:t>
            </w:r>
          </w:p>
        </w:tc>
        <w:tc>
          <w:tcPr>
            <w:tcW w:w="1710" w:type="dxa"/>
          </w:tcPr>
          <w:p w:rsidR="004B4C79" w:rsidRPr="00BB5519" w:rsidRDefault="004B4C79" w:rsidP="00F42FB8">
            <w:pPr>
              <w:pStyle w:val="AppendixBodyText"/>
              <w:rPr>
                <w:rFonts w:ascii="Tahoma" w:hAnsi="Tahoma" w:cs="Tahoma"/>
                <w:sz w:val="18"/>
                <w:szCs w:val="18"/>
              </w:rPr>
            </w:pPr>
            <w:r w:rsidRPr="00BB5519">
              <w:rPr>
                <w:rFonts w:ascii="Tahoma" w:hAnsi="Tahoma" w:cs="Tahoma"/>
                <w:sz w:val="18"/>
                <w:szCs w:val="18"/>
              </w:rPr>
              <w:t>RUB</w:t>
            </w:r>
          </w:p>
        </w:tc>
        <w:tc>
          <w:tcPr>
            <w:tcW w:w="2250" w:type="dxa"/>
          </w:tcPr>
          <w:p w:rsidR="004B4C79" w:rsidRPr="00BB5519" w:rsidRDefault="004B4C79" w:rsidP="00F42FB8">
            <w:pPr>
              <w:pStyle w:val="AppendixBodyText"/>
              <w:rPr>
                <w:rFonts w:ascii="Tahoma" w:hAnsi="Tahoma" w:cs="Tahoma"/>
                <w:sz w:val="18"/>
                <w:szCs w:val="18"/>
              </w:rPr>
            </w:pPr>
            <w:r w:rsidRPr="00BB5519">
              <w:rPr>
                <w:rFonts w:ascii="Tahoma" w:hAnsi="Tahoma" w:cs="Tahoma"/>
                <w:sz w:val="18"/>
                <w:szCs w:val="18"/>
              </w:rPr>
              <w:t>RUB 660.000</w:t>
            </w:r>
          </w:p>
        </w:tc>
        <w:tc>
          <w:tcPr>
            <w:tcW w:w="2151" w:type="dxa"/>
          </w:tcPr>
          <w:p w:rsidR="004B4C79" w:rsidRPr="00BB5519" w:rsidRDefault="004B4C79" w:rsidP="00F42FB8">
            <w:pPr>
              <w:pStyle w:val="AppendixBodyText"/>
              <w:rPr>
                <w:rFonts w:ascii="Tahoma" w:hAnsi="Tahoma" w:cs="Tahoma"/>
                <w:sz w:val="18"/>
                <w:szCs w:val="18"/>
              </w:rPr>
            </w:pPr>
            <w:r w:rsidRPr="00BB5519">
              <w:rPr>
                <w:rFonts w:ascii="Tahoma" w:hAnsi="Tahoma" w:cs="Tahoma"/>
                <w:sz w:val="18"/>
                <w:szCs w:val="18"/>
              </w:rPr>
              <w:t>RUB 6.600.000</w:t>
            </w:r>
          </w:p>
        </w:tc>
      </w:tr>
    </w:tbl>
    <w:p w:rsidR="00023FE7" w:rsidRPr="00BB5519" w:rsidRDefault="00023FE7" w:rsidP="00F93617">
      <w:pPr>
        <w:pStyle w:val="AppendixBodyText"/>
        <w:spacing w:after="0"/>
      </w:pPr>
    </w:p>
    <w:p w:rsidR="00023FE7" w:rsidRPr="00BB5519" w:rsidRDefault="00023FE7" w:rsidP="0022590D">
      <w:pPr>
        <w:pStyle w:val="AppendixBodyText"/>
        <w:keepNext/>
        <w:keepLines/>
        <w:spacing w:after="0"/>
        <w:rPr>
          <w:lang w:val="de-DE"/>
        </w:rPr>
      </w:pPr>
      <w:r w:rsidRPr="00BB5519">
        <w:rPr>
          <w:rFonts w:ascii="Tahoma" w:hAnsi="Tahoma" w:cs="Tahoma"/>
          <w:sz w:val="18"/>
          <w:szCs w:val="18"/>
          <w:lang w:val="de-DE"/>
        </w:rPr>
        <w:t>Auf SA-Ausgaben basierende Anfragen werden für SA-Ausgaben für Server und Desktop im Rahmen eines qualifizierenden Select- oder Konzernbeitritts, einer Select Plus-Registrierung, eines Open Value-Vertrages oder einer Open-Lizenz-Autorisierungsnummer gewährt.</w:t>
      </w:r>
      <w:r w:rsidR="009E4976" w:rsidRPr="00BB5519">
        <w:rPr>
          <w:rFonts w:ascii="Tahoma" w:hAnsi="Tahoma" w:cs="Tahoma"/>
          <w:sz w:val="18"/>
          <w:szCs w:val="18"/>
          <w:lang w:val="de-DE"/>
        </w:rPr>
        <w:t xml:space="preserve"> </w:t>
      </w:r>
      <w:r w:rsidRPr="00BB5519">
        <w:rPr>
          <w:rFonts w:ascii="Tahoma" w:hAnsi="Tahoma" w:cs="Tahoma"/>
          <w:sz w:val="18"/>
          <w:szCs w:val="18"/>
          <w:lang w:val="de-DE"/>
        </w:rPr>
        <w:t>Für SA-Ausgaben in Höhe von etwa 20.000 US-Dollar für Server und CAL gewähren wir eine Anfrage.</w:t>
      </w:r>
      <w:r w:rsidR="009E4976" w:rsidRPr="00BB5519">
        <w:rPr>
          <w:rFonts w:ascii="Tahoma" w:hAnsi="Tahoma" w:cs="Tahoma"/>
          <w:sz w:val="18"/>
          <w:szCs w:val="18"/>
          <w:lang w:val="de-DE"/>
        </w:rPr>
        <w:t xml:space="preserve"> </w:t>
      </w:r>
      <w:r w:rsidRPr="00BB5519">
        <w:rPr>
          <w:rFonts w:ascii="Tahoma" w:hAnsi="Tahoma" w:cs="Tahoma"/>
          <w:sz w:val="18"/>
          <w:szCs w:val="18"/>
          <w:lang w:val="de-DE"/>
        </w:rPr>
        <w:t>Für SA-Ausgaben in Höhe von etwa 200.000 US-Dollar innerhalb der System- und Anwendungs-Pools gewähren wir eine Anfrage.</w:t>
      </w:r>
      <w:r w:rsidR="009E4976" w:rsidRPr="00BB5519">
        <w:rPr>
          <w:rFonts w:ascii="Tahoma" w:hAnsi="Tahoma" w:cs="Tahoma"/>
          <w:sz w:val="18"/>
          <w:szCs w:val="18"/>
          <w:lang w:val="de-DE"/>
        </w:rPr>
        <w:t xml:space="preserve"> </w:t>
      </w:r>
      <w:r w:rsidRPr="00BB5519">
        <w:rPr>
          <w:rFonts w:ascii="Tahoma" w:hAnsi="Tahoma" w:cs="Tahoma"/>
          <w:sz w:val="18"/>
          <w:szCs w:val="18"/>
          <w:lang w:val="de-DE"/>
        </w:rPr>
        <w:t>Die folgende Tabelle enthält die ungefähren Währungsäquivalente für</w:t>
      </w:r>
      <w:r w:rsidR="0022590D">
        <w:rPr>
          <w:rFonts w:ascii="Tahoma" w:hAnsi="Tahoma" w:cs="Tahoma"/>
          <w:sz w:val="18"/>
          <w:szCs w:val="18"/>
          <w:lang w:val="de-DE"/>
        </w:rPr>
        <w:t> </w:t>
      </w:r>
      <w:r w:rsidRPr="00BB5519">
        <w:rPr>
          <w:rFonts w:ascii="Tahoma" w:hAnsi="Tahoma" w:cs="Tahoma"/>
          <w:sz w:val="18"/>
          <w:szCs w:val="18"/>
          <w:lang w:val="de-DE"/>
        </w:rPr>
        <w:t>auf Grundlage von SA-Ausgaben gewährten Anfragen für Verträge, die nicht auf US-Dollar lauten.</w:t>
      </w:r>
      <w:r w:rsidR="009E4976" w:rsidRPr="00BB5519">
        <w:rPr>
          <w:rFonts w:ascii="Tahoma" w:hAnsi="Tahoma" w:cs="Tahoma"/>
          <w:sz w:val="18"/>
          <w:szCs w:val="18"/>
          <w:lang w:val="de-DE"/>
        </w:rPr>
        <w:t xml:space="preserve"> </w:t>
      </w:r>
      <w:r w:rsidRPr="00BB5519">
        <w:rPr>
          <w:rFonts w:ascii="Tahoma" w:hAnsi="Tahoma" w:cs="Tahoma"/>
          <w:sz w:val="18"/>
          <w:szCs w:val="18"/>
          <w:lang w:val="de-DE"/>
        </w:rPr>
        <w:t>Aufgrund der Wechselkursschwankungen sind Änderungen an dieser Tabelle vorbehalten.</w:t>
      </w:r>
    </w:p>
    <w:p w:rsidR="00023FE7" w:rsidRDefault="00023FE7" w:rsidP="00F42FB8">
      <w:pPr>
        <w:pStyle w:val="AppendixBodyText"/>
        <w:spacing w:after="0"/>
        <w:rPr>
          <w:lang w:val="de-DE"/>
        </w:rPr>
      </w:pPr>
    </w:p>
    <w:p w:rsidR="003F26EA" w:rsidRDefault="003F26EA" w:rsidP="00F42FB8">
      <w:pPr>
        <w:pStyle w:val="AppendixBodyText"/>
        <w:spacing w:after="0"/>
        <w:rPr>
          <w:lang w:val="de-DE"/>
        </w:rPr>
      </w:pPr>
    </w:p>
    <w:p w:rsidR="003F26EA" w:rsidRDefault="003F26EA" w:rsidP="00F42FB8">
      <w:pPr>
        <w:pStyle w:val="AppendixBodyText"/>
        <w:spacing w:after="0"/>
        <w:rPr>
          <w:lang w:val="de-DE"/>
        </w:rPr>
      </w:pPr>
    </w:p>
    <w:p w:rsidR="003F26EA" w:rsidRPr="00BB5519" w:rsidRDefault="003F26EA" w:rsidP="00F42FB8">
      <w:pPr>
        <w:pStyle w:val="AppendixBodyText"/>
        <w:spacing w:after="0"/>
        <w:rPr>
          <w:lang w:val="de-DE"/>
        </w:rPr>
      </w:pPr>
    </w:p>
    <w:p w:rsidR="00023FE7" w:rsidRPr="00BB5519" w:rsidRDefault="00023FE7" w:rsidP="0022590D">
      <w:pPr>
        <w:pStyle w:val="AppendixBodyText"/>
        <w:spacing w:after="0"/>
        <w:rPr>
          <w:lang w:val="de-DE"/>
        </w:rPr>
      </w:pPr>
      <w:r w:rsidRPr="00BB5519">
        <w:rPr>
          <w:rFonts w:ascii="Tahoma" w:hAnsi="Tahoma" w:cs="Tahoma"/>
          <w:sz w:val="18"/>
          <w:szCs w:val="18"/>
          <w:lang w:val="de-DE"/>
        </w:rPr>
        <w:lastRenderedPageBreak/>
        <w:t>Anfragen werden in der Software Assurance-Laufzeit auf Grundlage der Zahlungsoption zugeteilt.</w:t>
      </w:r>
      <w:r w:rsidR="009E4976" w:rsidRPr="00BB5519">
        <w:rPr>
          <w:rFonts w:ascii="Tahoma" w:hAnsi="Tahoma" w:cs="Tahoma"/>
          <w:sz w:val="18"/>
          <w:szCs w:val="18"/>
          <w:lang w:val="de-DE"/>
        </w:rPr>
        <w:t xml:space="preserve"> </w:t>
      </w:r>
      <w:r w:rsidRPr="00BB5519">
        <w:rPr>
          <w:rFonts w:ascii="Tahoma" w:hAnsi="Tahoma" w:cs="Tahoma"/>
          <w:sz w:val="18"/>
          <w:szCs w:val="18"/>
          <w:lang w:val="de-DE"/>
        </w:rPr>
        <w:t>Für Verträge, die</w:t>
      </w:r>
      <w:r w:rsidR="0022590D">
        <w:rPr>
          <w:rFonts w:ascii="Tahoma" w:hAnsi="Tahoma" w:cs="Tahoma"/>
          <w:sz w:val="18"/>
          <w:szCs w:val="18"/>
          <w:lang w:val="de-DE"/>
        </w:rPr>
        <w:t> </w:t>
      </w:r>
      <w:r w:rsidRPr="00BB5519">
        <w:rPr>
          <w:rFonts w:ascii="Tahoma" w:hAnsi="Tahoma" w:cs="Tahoma"/>
          <w:sz w:val="18"/>
          <w:szCs w:val="18"/>
          <w:lang w:val="de-DE"/>
        </w:rPr>
        <w:t>Ratenzahlungen entsprechen, werden die Anfragen während die Laufzeit gewährt. Für Verträge, die einer Einmalzahlung entsprechen, werden sie zu Beginn gewährt.</w:t>
      </w:r>
      <w:r w:rsidR="009E4976" w:rsidRPr="00BB5519">
        <w:rPr>
          <w:rFonts w:ascii="Tahoma" w:hAnsi="Tahoma" w:cs="Tahoma"/>
          <w:sz w:val="18"/>
          <w:szCs w:val="18"/>
          <w:lang w:val="de-DE"/>
        </w:rPr>
        <w:t xml:space="preserve"> </w:t>
      </w:r>
      <w:r w:rsidRPr="00BB5519">
        <w:rPr>
          <w:rFonts w:ascii="Tahoma" w:hAnsi="Tahoma" w:cs="Tahoma"/>
          <w:sz w:val="18"/>
          <w:szCs w:val="18"/>
          <w:lang w:val="de-DE"/>
        </w:rPr>
        <w:t>Käufe, die nach der Anfangsbestellung getätigt werden, führen zu einer Neuberechnung der gewährten Anfragen und der jährlichen Zuteilung.</w:t>
      </w:r>
      <w:r w:rsidR="009E4976" w:rsidRPr="00BB5519">
        <w:rPr>
          <w:rFonts w:ascii="Tahoma" w:hAnsi="Tahoma" w:cs="Tahoma"/>
          <w:sz w:val="18"/>
          <w:szCs w:val="18"/>
          <w:lang w:val="de-DE"/>
        </w:rPr>
        <w:t xml:space="preserve"> </w:t>
      </w:r>
      <w:r w:rsidRPr="00BB5519">
        <w:rPr>
          <w:rFonts w:ascii="Tahoma" w:hAnsi="Tahoma" w:cs="Tahoma"/>
          <w:sz w:val="18"/>
          <w:szCs w:val="18"/>
          <w:lang w:val="de-DE"/>
        </w:rPr>
        <w:t>Nicht in Anspruch genommene telefonische Supportanfragen verlieren mit Ablauf von Software Assurance ihre Gültigkeit.</w:t>
      </w:r>
      <w:r w:rsidR="009E4976" w:rsidRPr="00BB5519">
        <w:rPr>
          <w:rFonts w:ascii="Tahoma" w:hAnsi="Tahoma" w:cs="Tahoma"/>
          <w:sz w:val="18"/>
          <w:szCs w:val="18"/>
          <w:lang w:val="de-DE"/>
        </w:rPr>
        <w:t xml:space="preserve"> </w:t>
      </w:r>
      <w:r w:rsidRPr="00BB5519">
        <w:rPr>
          <w:rFonts w:ascii="Tahoma" w:hAnsi="Tahoma" w:cs="Tahoma"/>
          <w:sz w:val="18"/>
          <w:szCs w:val="18"/>
          <w:lang w:val="de-DE"/>
        </w:rPr>
        <w:t>Telefonische Supportanfragen können nicht von einem Beitritt oder Vertrag auf einen anderen übertragen werden.</w:t>
      </w:r>
    </w:p>
    <w:p w:rsidR="00023FE7" w:rsidRPr="00BB5519" w:rsidRDefault="00023FE7" w:rsidP="00F42FB8">
      <w:pPr>
        <w:pStyle w:val="AppendixBodyText"/>
        <w:spacing w:after="0"/>
        <w:rPr>
          <w:lang w:val="de-DE"/>
        </w:rPr>
      </w:pPr>
    </w:p>
    <w:p w:rsidR="00023FE7" w:rsidRPr="00BB5519" w:rsidRDefault="00023FE7" w:rsidP="0022590D">
      <w:pPr>
        <w:pStyle w:val="AppendixBodyText"/>
        <w:spacing w:after="0"/>
        <w:rPr>
          <w:lang w:val="de-DE"/>
        </w:rPr>
      </w:pPr>
      <w:r w:rsidRPr="00BB5519">
        <w:rPr>
          <w:rFonts w:ascii="Tahoma" w:hAnsi="Tahoma" w:cs="Tahoma"/>
          <w:sz w:val="18"/>
          <w:szCs w:val="18"/>
          <w:lang w:val="de-DE"/>
        </w:rPr>
        <w:t>Zugang zum lokalen telefonischen Support steht während der Geschäftszeiten*</w:t>
      </w:r>
      <w:r w:rsidRPr="00BB5519">
        <w:rPr>
          <w:rFonts w:ascii="Tahoma" w:hAnsi="Tahoma" w:cs="Tahoma"/>
          <w:sz w:val="18"/>
          <w:szCs w:val="18"/>
          <w:vertAlign w:val="superscript"/>
          <w:lang w:val="de-DE"/>
        </w:rPr>
        <w:t>(1)</w:t>
      </w:r>
      <w:r w:rsidRPr="00BB5519">
        <w:rPr>
          <w:rFonts w:ascii="Tahoma" w:hAnsi="Tahoma" w:cs="Tahoma"/>
          <w:sz w:val="18"/>
          <w:szCs w:val="18"/>
          <w:lang w:val="de-DE"/>
        </w:rPr>
        <w:t xml:space="preserve"> zur Verfügung.</w:t>
      </w:r>
      <w:r w:rsidR="009E4976" w:rsidRPr="00BB5519">
        <w:rPr>
          <w:rFonts w:ascii="Tahoma" w:hAnsi="Tahoma" w:cs="Tahoma"/>
          <w:sz w:val="18"/>
          <w:szCs w:val="18"/>
          <w:lang w:val="de-DE"/>
        </w:rPr>
        <w:t xml:space="preserve"> </w:t>
      </w:r>
      <w:r w:rsidRPr="00BB5519">
        <w:rPr>
          <w:rFonts w:ascii="Tahoma" w:hAnsi="Tahoma" w:cs="Tahoma"/>
          <w:sz w:val="18"/>
          <w:szCs w:val="18"/>
          <w:lang w:val="de-DE"/>
        </w:rPr>
        <w:t>Telefonischer Support nach den Geschäftszeiten kann über regionale und internationale Support Center geleistet werden.</w:t>
      </w:r>
      <w:r w:rsidR="009E4976" w:rsidRPr="00BB5519">
        <w:rPr>
          <w:rFonts w:ascii="Tahoma" w:hAnsi="Tahoma" w:cs="Tahoma"/>
          <w:sz w:val="18"/>
          <w:szCs w:val="18"/>
          <w:lang w:val="de-DE"/>
        </w:rPr>
        <w:t xml:space="preserve"> </w:t>
      </w:r>
      <w:r w:rsidRPr="00BB5519">
        <w:rPr>
          <w:rFonts w:ascii="Tahoma" w:hAnsi="Tahoma" w:cs="Tahoma"/>
          <w:sz w:val="18"/>
          <w:szCs w:val="18"/>
          <w:lang w:val="de-DE"/>
        </w:rPr>
        <w:t>Telefonischer Support nach den Geschäftszeiten kann nur zur Veranlassung geschäftskritischer Supportanfragen genutzt werden.</w:t>
      </w:r>
      <w:r w:rsidR="009E4976" w:rsidRPr="00BB5519">
        <w:rPr>
          <w:rFonts w:ascii="Tahoma" w:hAnsi="Tahoma" w:cs="Tahoma"/>
          <w:sz w:val="18"/>
          <w:szCs w:val="18"/>
          <w:lang w:val="de-DE"/>
        </w:rPr>
        <w:t xml:space="preserve"> </w:t>
      </w:r>
      <w:r w:rsidRPr="00BB5519">
        <w:rPr>
          <w:rFonts w:ascii="Tahoma" w:hAnsi="Tahoma" w:cs="Tahoma"/>
          <w:sz w:val="18"/>
          <w:szCs w:val="18"/>
          <w:lang w:val="de-DE"/>
        </w:rPr>
        <w:t>Die Geschäftszeiten sind von der jeweiligen Region abhängig. Die Microsoft-Kundenvertreter können</w:t>
      </w:r>
      <w:r w:rsidR="0022590D">
        <w:rPr>
          <w:rFonts w:ascii="Tahoma" w:hAnsi="Tahoma" w:cs="Tahoma"/>
          <w:sz w:val="18"/>
          <w:szCs w:val="18"/>
          <w:lang w:val="de-DE"/>
        </w:rPr>
        <w:t> </w:t>
      </w:r>
      <w:r w:rsidRPr="00BB5519">
        <w:rPr>
          <w:rFonts w:ascii="Tahoma" w:hAnsi="Tahoma" w:cs="Tahoma"/>
          <w:sz w:val="18"/>
          <w:szCs w:val="18"/>
          <w:lang w:val="de-DE"/>
        </w:rPr>
        <w:t>den Kunden die für die jeweilige Region oder das jeweilige Land festgelegten Geschäftszeiten mitteilen.</w:t>
      </w:r>
      <w:r w:rsidR="009E4976" w:rsidRPr="00BB5519">
        <w:rPr>
          <w:rFonts w:ascii="Tahoma" w:hAnsi="Tahoma" w:cs="Tahoma"/>
          <w:sz w:val="18"/>
          <w:szCs w:val="18"/>
          <w:lang w:val="de-DE"/>
        </w:rPr>
        <w:t xml:space="preserve"> </w:t>
      </w:r>
      <w:r w:rsidRPr="00BB5519">
        <w:rPr>
          <w:rFonts w:ascii="Tahoma" w:hAnsi="Tahoma" w:cs="Tahoma"/>
          <w:sz w:val="18"/>
          <w:szCs w:val="18"/>
          <w:lang w:val="de-DE"/>
        </w:rPr>
        <w:t xml:space="preserve">Telefonischer Support wird nicht in allen Regionen in allen Sprachen angeboten. </w:t>
      </w:r>
    </w:p>
    <w:p w:rsidR="00023FE7" w:rsidRPr="00BB5519" w:rsidRDefault="00023FE7" w:rsidP="00077CE5">
      <w:pPr>
        <w:pStyle w:val="AppendixBodyText"/>
        <w:spacing w:after="0"/>
        <w:rPr>
          <w:lang w:val="de-D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221"/>
      </w:tblGrid>
      <w:tr w:rsidR="00023FE7" w:rsidRPr="006F21F8" w:rsidTr="00A40651">
        <w:trPr>
          <w:cantSplit/>
          <w:trHeight w:val="20"/>
        </w:trPr>
        <w:tc>
          <w:tcPr>
            <w:tcW w:w="585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5519" w:rsidRDefault="00023FE7">
            <w:pPr>
              <w:pStyle w:val="AppendixBodyText"/>
              <w:rPr>
                <w:rFonts w:ascii="Tahoma" w:hAnsi="Tahoma" w:cs="Tahoma"/>
                <w:b/>
                <w:bCs/>
                <w:vertAlign w:val="superscript"/>
                <w:lang w:val="de-DE"/>
              </w:rPr>
            </w:pPr>
            <w:r w:rsidRPr="00BB5519">
              <w:rPr>
                <w:rFonts w:ascii="Tahoma" w:hAnsi="Tahoma" w:cs="Tahoma"/>
                <w:b/>
                <w:bCs/>
                <w:lang w:val="de-DE"/>
              </w:rPr>
              <w:t>*(1) Geschäftszeiten in Abhängigkeit von der Region</w:t>
            </w:r>
          </w:p>
        </w:tc>
      </w:tr>
      <w:tr w:rsidR="00023FE7" w:rsidRPr="00BB5519" w:rsidTr="00A40651">
        <w:trPr>
          <w:cantSplit/>
          <w:trHeight w:val="20"/>
        </w:trPr>
        <w:tc>
          <w:tcPr>
            <w:tcW w:w="2629" w:type="dxa"/>
            <w:tcBorders>
              <w:top w:val="single" w:sz="8" w:space="0" w:color="auto"/>
            </w:tcBorders>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Nord-, Mittel- und Südamerika</w:t>
            </w:r>
          </w:p>
        </w:tc>
        <w:tc>
          <w:tcPr>
            <w:tcW w:w="3221" w:type="dxa"/>
            <w:tcBorders>
              <w:top w:val="single" w:sz="8" w:space="0" w:color="auto"/>
            </w:tcBorders>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Mo. – Fr., 6:00 – 18:00 Uhr (PST)</w:t>
            </w:r>
          </w:p>
        </w:tc>
      </w:tr>
      <w:tr w:rsidR="00023FE7" w:rsidRPr="00BB5519" w:rsidTr="00A40651">
        <w:trPr>
          <w:cantSplit/>
          <w:trHeight w:val="20"/>
        </w:trPr>
        <w:tc>
          <w:tcPr>
            <w:tcW w:w="2629" w:type="dxa"/>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EMEA</w:t>
            </w:r>
          </w:p>
        </w:tc>
        <w:tc>
          <w:tcPr>
            <w:tcW w:w="3221" w:type="dxa"/>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Mo. – Fr., 8:00 – 18:00 Uhr (GMT)</w:t>
            </w:r>
          </w:p>
        </w:tc>
      </w:tr>
      <w:tr w:rsidR="00023FE7" w:rsidRPr="00BB5519" w:rsidTr="00A40651">
        <w:trPr>
          <w:cantSplit/>
          <w:trHeight w:val="20"/>
        </w:trPr>
        <w:tc>
          <w:tcPr>
            <w:tcW w:w="2629" w:type="dxa"/>
          </w:tcPr>
          <w:p w:rsidR="00023FE7" w:rsidRPr="00BB5519" w:rsidRDefault="00B759A0">
            <w:pPr>
              <w:pStyle w:val="AppendixBodyText"/>
              <w:rPr>
                <w:rFonts w:ascii="Tahoma" w:hAnsi="Tahoma" w:cs="Tahoma"/>
                <w:sz w:val="18"/>
                <w:szCs w:val="18"/>
              </w:rPr>
            </w:pPr>
            <w:r>
              <w:rPr>
                <w:rFonts w:ascii="Tahoma" w:hAnsi="Tahoma" w:cs="Tahoma"/>
                <w:sz w:val="18"/>
                <w:szCs w:val="18"/>
              </w:rPr>
              <w:t>Australien/</w:t>
            </w:r>
            <w:r w:rsidR="00023FE7" w:rsidRPr="00BB5519">
              <w:rPr>
                <w:rFonts w:ascii="Tahoma" w:hAnsi="Tahoma" w:cs="Tahoma"/>
                <w:sz w:val="18"/>
                <w:szCs w:val="18"/>
              </w:rPr>
              <w:t>Neuseeland</w:t>
            </w:r>
          </w:p>
        </w:tc>
        <w:tc>
          <w:tcPr>
            <w:tcW w:w="3221" w:type="dxa"/>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 xml:space="preserve">Mo. – Fr., 7:00 </w:t>
            </w:r>
            <w:r w:rsidR="00E46724" w:rsidRPr="00BB5519">
              <w:rPr>
                <w:rFonts w:ascii="Tahoma" w:hAnsi="Tahoma" w:cs="Tahoma"/>
                <w:sz w:val="18"/>
                <w:szCs w:val="18"/>
              </w:rPr>
              <w:t>–</w:t>
            </w:r>
            <w:r w:rsidRPr="00BB5519">
              <w:rPr>
                <w:rFonts w:ascii="Tahoma" w:hAnsi="Tahoma" w:cs="Tahoma"/>
                <w:sz w:val="18"/>
                <w:szCs w:val="18"/>
              </w:rPr>
              <w:t xml:space="preserve"> 18:00 (PST)</w:t>
            </w:r>
          </w:p>
        </w:tc>
      </w:tr>
      <w:tr w:rsidR="00023FE7" w:rsidRPr="00BB5519" w:rsidTr="00A40651">
        <w:trPr>
          <w:cantSplit/>
          <w:trHeight w:val="20"/>
        </w:trPr>
        <w:tc>
          <w:tcPr>
            <w:tcW w:w="2629" w:type="dxa"/>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Japan</w:t>
            </w:r>
          </w:p>
        </w:tc>
        <w:tc>
          <w:tcPr>
            <w:tcW w:w="3221" w:type="dxa"/>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Mo. – Fr., 9:30 – 19:00 Uhr</w:t>
            </w:r>
          </w:p>
        </w:tc>
      </w:tr>
      <w:tr w:rsidR="00023FE7" w:rsidRPr="00BB5519" w:rsidTr="00A40651">
        <w:trPr>
          <w:cantSplit/>
          <w:trHeight w:val="20"/>
        </w:trPr>
        <w:tc>
          <w:tcPr>
            <w:tcW w:w="2629" w:type="dxa"/>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Asien</w:t>
            </w:r>
          </w:p>
        </w:tc>
        <w:tc>
          <w:tcPr>
            <w:tcW w:w="3221" w:type="dxa"/>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Mo. – Fr., 9:00 – 18:00 Uhr (PST)</w:t>
            </w:r>
          </w:p>
        </w:tc>
      </w:tr>
    </w:tbl>
    <w:p w:rsidR="0034219A" w:rsidRPr="00BB5519" w:rsidRDefault="0034219A" w:rsidP="00F42FB8">
      <w:bookmarkStart w:id="805" w:name="_Toc240899164"/>
    </w:p>
    <w:p w:rsidR="00023FE7" w:rsidRPr="00A40651" w:rsidRDefault="00023FE7" w:rsidP="00DA2788">
      <w:pPr>
        <w:spacing w:after="60"/>
        <w:rPr>
          <w:rFonts w:cs="Tahoma"/>
          <w:b/>
          <w:szCs w:val="20"/>
        </w:rPr>
      </w:pPr>
      <w:r w:rsidRPr="00BB5519">
        <w:rPr>
          <w:rFonts w:cs="Tahoma"/>
          <w:b/>
          <w:szCs w:val="20"/>
        </w:rPr>
        <w:t>Web-basierte Anfragen</w:t>
      </w:r>
      <w:bookmarkEnd w:id="805"/>
      <w:r w:rsidRPr="00BB5519">
        <w:rPr>
          <w:rFonts w:cs="Tahoma"/>
          <w:b/>
          <w:szCs w:val="20"/>
        </w:rPr>
        <w:t xml:space="preserve"> </w:t>
      </w:r>
    </w:p>
    <w:p w:rsidR="00023FE7" w:rsidRPr="00BB5519" w:rsidRDefault="00023FE7" w:rsidP="00A40651">
      <w:pPr>
        <w:pStyle w:val="AppendixBodyText"/>
        <w:spacing w:after="0"/>
        <w:rPr>
          <w:lang w:val="de-DE"/>
        </w:rPr>
      </w:pPr>
      <w:r w:rsidRPr="00BB5519">
        <w:rPr>
          <w:rFonts w:ascii="Tahoma" w:hAnsi="Tahoma" w:cs="Tahoma"/>
          <w:sz w:val="18"/>
          <w:szCs w:val="18"/>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und Enterprise Edition von Server-Softwareprodukten im Rahmen von Software Assurance haben je nach Bedarf Zugang zu elektronischen Web-basierten Problembehebungssupport-Services.</w:t>
      </w:r>
      <w:r w:rsidR="009E4976" w:rsidRPr="00BB5519">
        <w:rPr>
          <w:rFonts w:ascii="Tahoma" w:hAnsi="Tahoma" w:cs="Tahoma"/>
          <w:sz w:val="18"/>
          <w:szCs w:val="18"/>
          <w:lang w:val="de-DE"/>
        </w:rPr>
        <w:t xml:space="preserve"> </w:t>
      </w:r>
      <w:r w:rsidRPr="00BB5519">
        <w:rPr>
          <w:rFonts w:ascii="Tahoma" w:hAnsi="Tahoma" w:cs="Tahoma"/>
          <w:sz w:val="18"/>
          <w:szCs w:val="18"/>
          <w:lang w:val="de-DE"/>
        </w:rPr>
        <w:t>Der Zugang zu Websites des elektronischen Supports steht 24</w:t>
      </w:r>
      <w:r w:rsidR="008113AB">
        <w:rPr>
          <w:rFonts w:ascii="Tahoma" w:hAnsi="Tahoma" w:cs="Tahoma"/>
          <w:sz w:val="18"/>
          <w:szCs w:val="18"/>
          <w:lang w:val="de-DE"/>
        </w:rPr>
        <w:t> </w:t>
      </w:r>
      <w:r w:rsidRPr="00BB5519">
        <w:rPr>
          <w:rFonts w:ascii="Tahoma" w:hAnsi="Tahoma" w:cs="Tahoma"/>
          <w:sz w:val="18"/>
          <w:szCs w:val="18"/>
          <w:lang w:val="de-DE"/>
        </w:rPr>
        <w:t>Stunden am Tag und sieben Tage die Woche zur Verfügung. Antworten erfolgen jedoch während der Geschäftszeiten.</w:t>
      </w:r>
      <w:r w:rsidR="009E4976" w:rsidRPr="00BB5519">
        <w:rPr>
          <w:rFonts w:ascii="Tahoma" w:hAnsi="Tahoma" w:cs="Tahoma"/>
          <w:sz w:val="18"/>
          <w:szCs w:val="18"/>
          <w:lang w:val="de-DE"/>
        </w:rPr>
        <w:t xml:space="preserve"> </w:t>
      </w:r>
      <w:r w:rsidRPr="00BB5519">
        <w:rPr>
          <w:rFonts w:ascii="Tahoma" w:hAnsi="Tahoma" w:cs="Tahoma"/>
          <w:sz w:val="18"/>
          <w:szCs w:val="18"/>
          <w:lang w:val="de-DE"/>
        </w:rPr>
        <w:t>Daher sollten Anfragen in geschäftskritischen Situationen, die unmittelbare Hilfe erfordern, nicht</w:t>
      </w:r>
      <w:r w:rsidR="00A40651">
        <w:rPr>
          <w:rFonts w:ascii="Tahoma" w:hAnsi="Tahoma" w:cs="Tahoma"/>
          <w:sz w:val="18"/>
          <w:szCs w:val="18"/>
          <w:lang w:val="de-DE"/>
        </w:rPr>
        <w:t> </w:t>
      </w:r>
      <w:r w:rsidRPr="00BB5519">
        <w:rPr>
          <w:rFonts w:ascii="Tahoma" w:hAnsi="Tahoma" w:cs="Tahoma"/>
          <w:sz w:val="18"/>
          <w:szCs w:val="18"/>
          <w:lang w:val="de-DE"/>
        </w:rPr>
        <w:t>Web-basiert gemeldet werden. Nutzen Sie die obige Tabelle zu den Geschäftszeiten in Abhängigkeit von der</w:t>
      </w:r>
      <w:r w:rsidR="00A40651">
        <w:rPr>
          <w:rFonts w:ascii="Tahoma" w:hAnsi="Tahoma" w:cs="Tahoma"/>
          <w:sz w:val="18"/>
          <w:szCs w:val="18"/>
          <w:lang w:val="de-DE"/>
        </w:rPr>
        <w:t> </w:t>
      </w:r>
      <w:r w:rsidRPr="00BB5519">
        <w:rPr>
          <w:rFonts w:ascii="Tahoma" w:hAnsi="Tahoma" w:cs="Tahoma"/>
          <w:sz w:val="18"/>
          <w:szCs w:val="18"/>
          <w:lang w:val="de-DE"/>
        </w:rPr>
        <w:t>Region im obigen Abschnitt „Gewährung von telefonischen Supportanfragen“.</w:t>
      </w:r>
    </w:p>
    <w:p w:rsidR="00023FE7" w:rsidRPr="00BB5519" w:rsidRDefault="00023FE7" w:rsidP="00F42FB8">
      <w:pPr>
        <w:pStyle w:val="AppendixBodyText"/>
        <w:spacing w:after="0"/>
        <w:rPr>
          <w:lang w:val="de-DE"/>
        </w:rPr>
      </w:pPr>
    </w:p>
    <w:p w:rsidR="00023FE7" w:rsidRPr="00BB5519" w:rsidRDefault="00023FE7" w:rsidP="00A40651">
      <w:pPr>
        <w:pStyle w:val="AppendixBodyText"/>
        <w:spacing w:after="0"/>
        <w:rPr>
          <w:lang w:val="de-DE"/>
        </w:rPr>
      </w:pPr>
      <w:r w:rsidRPr="00BB5519">
        <w:rPr>
          <w:rFonts w:ascii="Tahoma" w:hAnsi="Tahoma" w:cs="Tahoma"/>
          <w:sz w:val="18"/>
          <w:szCs w:val="18"/>
          <w:lang w:val="de-DE"/>
        </w:rPr>
        <w:t>Telefonisch gemeldete Anfragen werden nach Behebung mit den verfügbaren telefonischen Supportanfragen verrechnet.</w:t>
      </w:r>
      <w:r w:rsidR="009E4976" w:rsidRPr="00BB5519">
        <w:rPr>
          <w:rFonts w:ascii="Tahoma" w:hAnsi="Tahoma" w:cs="Tahoma"/>
          <w:sz w:val="18"/>
          <w:szCs w:val="18"/>
          <w:lang w:val="de-DE"/>
        </w:rPr>
        <w:t xml:space="preserve"> </w:t>
      </w:r>
      <w:r w:rsidRPr="00BB5519">
        <w:rPr>
          <w:rFonts w:ascii="Tahoma" w:hAnsi="Tahoma" w:cs="Tahoma"/>
          <w:sz w:val="18"/>
          <w:szCs w:val="18"/>
          <w:lang w:val="de-DE"/>
        </w:rPr>
        <w:t>Über das Web gemeldete Anfragen erfolgen auf Bedarfsbasis und werden über das Web, per E-Mail und mithilfe anderer elektronischer Mittel vorgenommen.</w:t>
      </w:r>
      <w:r w:rsidR="009E4976" w:rsidRPr="00BB5519">
        <w:rPr>
          <w:rFonts w:ascii="Tahoma" w:hAnsi="Tahoma" w:cs="Tahoma"/>
          <w:sz w:val="18"/>
          <w:szCs w:val="18"/>
          <w:lang w:val="de-DE"/>
        </w:rPr>
        <w:t xml:space="preserve"> </w:t>
      </w:r>
      <w:r w:rsidRPr="00BB5519">
        <w:rPr>
          <w:rFonts w:ascii="Tahoma" w:hAnsi="Tahoma" w:cs="Tahoma"/>
          <w:sz w:val="18"/>
          <w:szCs w:val="18"/>
          <w:lang w:val="de-DE"/>
        </w:rPr>
        <w:t>Über das Web gemeldete Anfragen, die anschließend vom Kunden in eine telefonische Behebung umgewandelt werden, werden nach Behebung mit den verfügbaren telefonischen Supportanfragen verrechnet.</w:t>
      </w:r>
      <w:r w:rsidR="009E4976" w:rsidRPr="00BB5519">
        <w:rPr>
          <w:rFonts w:ascii="Tahoma" w:hAnsi="Tahoma" w:cs="Tahoma"/>
          <w:sz w:val="18"/>
          <w:szCs w:val="18"/>
          <w:lang w:val="de-DE"/>
        </w:rPr>
        <w:t xml:space="preserve"> </w:t>
      </w:r>
      <w:r w:rsidRPr="00BB5519">
        <w:rPr>
          <w:rFonts w:ascii="Tahoma" w:hAnsi="Tahoma" w:cs="Tahoma"/>
          <w:sz w:val="18"/>
          <w:szCs w:val="18"/>
          <w:lang w:val="de-DE"/>
        </w:rPr>
        <w:t>Über das Web gemeldete Anfragen, die anschließend von Microsoft telefonisch bearbeitet werden, werden nicht mit den verfügbaren telefonischen Supportanfragen verrechnet, wenn</w:t>
      </w:r>
      <w:r w:rsidR="00A40651">
        <w:rPr>
          <w:rFonts w:ascii="Tahoma" w:hAnsi="Tahoma" w:cs="Tahoma"/>
          <w:sz w:val="18"/>
          <w:szCs w:val="18"/>
          <w:lang w:val="de-DE"/>
        </w:rPr>
        <w:t> </w:t>
      </w:r>
      <w:r w:rsidRPr="00BB5519">
        <w:rPr>
          <w:rFonts w:ascii="Tahoma" w:hAnsi="Tahoma" w:cs="Tahoma"/>
          <w:sz w:val="18"/>
          <w:szCs w:val="18"/>
          <w:lang w:val="de-DE"/>
        </w:rPr>
        <w:t>die Behebung im Web, per E-Mail und mit anderen elektronischen Mitteln fortgesetzt wird.</w:t>
      </w:r>
      <w:r w:rsidR="009E4976" w:rsidRPr="00BB5519">
        <w:rPr>
          <w:rFonts w:ascii="Tahoma" w:hAnsi="Tahoma" w:cs="Tahoma"/>
          <w:sz w:val="18"/>
          <w:szCs w:val="18"/>
          <w:lang w:val="de-DE"/>
        </w:rPr>
        <w:t xml:space="preserve"> </w:t>
      </w:r>
    </w:p>
    <w:p w:rsidR="00023FE7" w:rsidRPr="00BB5519" w:rsidRDefault="00023FE7" w:rsidP="00F42FB8">
      <w:pPr>
        <w:pStyle w:val="AppendixBodyText"/>
        <w:spacing w:after="0"/>
        <w:rPr>
          <w:lang w:val="de-DE"/>
        </w:rPr>
      </w:pPr>
    </w:p>
    <w:p w:rsidR="00023FE7" w:rsidRPr="00BB5519" w:rsidRDefault="00023FE7" w:rsidP="00F42FB8">
      <w:pPr>
        <w:pStyle w:val="AppendixBodyText"/>
        <w:spacing w:after="0"/>
        <w:rPr>
          <w:lang w:val="de-DE"/>
        </w:rPr>
      </w:pPr>
      <w:r w:rsidRPr="00BB5519">
        <w:rPr>
          <w:rFonts w:ascii="Tahoma" w:hAnsi="Tahoma" w:cs="Tahoma"/>
          <w:sz w:val="18"/>
          <w:szCs w:val="18"/>
          <w:lang w:val="de-DE"/>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rsidR="00023FE7" w:rsidRPr="00BB5519" w:rsidRDefault="00023FE7" w:rsidP="00F42FB8">
      <w:pPr>
        <w:pStyle w:val="AppendixBodyText"/>
        <w:spacing w:after="0"/>
        <w:rPr>
          <w:lang w:val="de-DE"/>
        </w:rPr>
      </w:pPr>
    </w:p>
    <w:p w:rsidR="00023FE7" w:rsidRPr="00BB5519" w:rsidRDefault="00023FE7" w:rsidP="00F42FB8">
      <w:pPr>
        <w:pStyle w:val="AppendixBodyText"/>
        <w:spacing w:after="0"/>
        <w:rPr>
          <w:lang w:val="de-DE"/>
        </w:rPr>
      </w:pPr>
      <w:r w:rsidRPr="00BB5519">
        <w:rPr>
          <w:rFonts w:ascii="Tahoma" w:hAnsi="Tahoma" w:cs="Tahoma"/>
          <w:sz w:val="18"/>
          <w:szCs w:val="18"/>
          <w:lang w:val="de-DE"/>
        </w:rPr>
        <w:t>Web-basierte Supportanfragen können nicht von einer Lizenz auf eine andere übertragen werden.</w:t>
      </w:r>
      <w:r w:rsidR="009E4976" w:rsidRPr="00BB5519">
        <w:rPr>
          <w:rFonts w:ascii="Tahoma" w:hAnsi="Tahoma" w:cs="Tahoma"/>
          <w:sz w:val="18"/>
          <w:szCs w:val="18"/>
          <w:lang w:val="de-DE"/>
        </w:rPr>
        <w:t xml:space="preserve"> </w:t>
      </w:r>
      <w:r w:rsidRPr="00BB5519">
        <w:rPr>
          <w:rFonts w:ascii="Tahoma" w:hAnsi="Tahoma" w:cs="Tahoma"/>
          <w:sz w:val="18"/>
          <w:szCs w:val="18"/>
          <w:lang w:val="de-DE"/>
        </w:rPr>
        <w:t>Weitere Informationen zur Zuweisung oder Neuzuweisung von Lizenzen für physische Server finden Sie in den Produktbenutzungsrechten.</w:t>
      </w:r>
    </w:p>
    <w:p w:rsidR="00697E59" w:rsidRDefault="00697E59" w:rsidP="00F42FB8">
      <w:pPr>
        <w:rPr>
          <w:lang w:val="de-DE"/>
        </w:rPr>
      </w:pPr>
      <w:bookmarkStart w:id="806" w:name="_Toc240899165"/>
    </w:p>
    <w:p w:rsidR="0096314A" w:rsidRPr="00BB5519" w:rsidRDefault="0096314A" w:rsidP="00F42FB8">
      <w:pPr>
        <w:rPr>
          <w:lang w:val="de-DE"/>
        </w:rPr>
      </w:pPr>
    </w:p>
    <w:p w:rsidR="00023FE7" w:rsidRPr="00D15040" w:rsidRDefault="00023FE7" w:rsidP="00F93617">
      <w:pPr>
        <w:spacing w:after="60"/>
        <w:rPr>
          <w:rFonts w:cs="Tahoma"/>
          <w:b/>
          <w:szCs w:val="20"/>
          <w:lang w:val="de-DE"/>
        </w:rPr>
      </w:pPr>
      <w:r w:rsidRPr="00D15040">
        <w:rPr>
          <w:rFonts w:cs="Tahoma"/>
          <w:b/>
          <w:szCs w:val="20"/>
          <w:lang w:val="de-DE"/>
        </w:rPr>
        <w:t>Supportkontakte</w:t>
      </w:r>
      <w:bookmarkEnd w:id="806"/>
    </w:p>
    <w:p w:rsidR="00023FE7" w:rsidRPr="00BB5519" w:rsidRDefault="00023FE7" w:rsidP="00F42FB8">
      <w:pPr>
        <w:pStyle w:val="AppendixBodyText"/>
        <w:spacing w:after="0"/>
        <w:rPr>
          <w:lang w:val="de-DE"/>
        </w:rPr>
      </w:pPr>
      <w:r w:rsidRPr="00BB5519">
        <w:rPr>
          <w:rFonts w:ascii="Tahoma" w:hAnsi="Tahoma" w:cs="Tahoma"/>
          <w:sz w:val="18"/>
          <w:szCs w:val="18"/>
          <w:lang w:val="de-DE"/>
        </w:rPr>
        <w:t>Die Anzahl der zulässigen Supportkontakte variiert je nach Volumenlizenzprogramm und Anzahl der durch Software Assurance abgedeckten Lizenzen, wie unten dargestellt.</w:t>
      </w:r>
      <w:r w:rsidR="009E4976" w:rsidRPr="00BB5519">
        <w:rPr>
          <w:rFonts w:ascii="Tahoma" w:hAnsi="Tahoma" w:cs="Tahoma"/>
          <w:sz w:val="18"/>
          <w:szCs w:val="18"/>
          <w:lang w:val="de-DE"/>
        </w:rPr>
        <w:t xml:space="preserve"> </w:t>
      </w:r>
      <w:r w:rsidRPr="00BB5519">
        <w:rPr>
          <w:rFonts w:ascii="Tahoma" w:hAnsi="Tahoma" w:cs="Tahoma"/>
          <w:sz w:val="18"/>
          <w:szCs w:val="18"/>
          <w:lang w:val="de-DE"/>
        </w:rPr>
        <w:t>Die Kontaktpersonen müssen namentlich benannt sein und können Personen außerhalb des Unternehmens des Kunden einschließen.</w:t>
      </w:r>
      <w:r w:rsidR="009E4976" w:rsidRPr="00BB5519">
        <w:rPr>
          <w:rFonts w:ascii="Tahoma" w:hAnsi="Tahoma" w:cs="Tahoma"/>
          <w:sz w:val="18"/>
          <w:szCs w:val="18"/>
          <w:lang w:val="de-DE"/>
        </w:rPr>
        <w:t xml:space="preserve"> </w:t>
      </w:r>
      <w:r w:rsidRPr="00BB5519">
        <w:rPr>
          <w:rFonts w:ascii="Tahoma" w:hAnsi="Tahoma" w:cs="Tahoma"/>
          <w:sz w:val="18"/>
          <w:szCs w:val="18"/>
          <w:lang w:val="de-DE"/>
        </w:rPr>
        <w:t>Ein Unternehmen, eine Abteilung oder eine Gruppe kann jedoch nicht als Kontaktperson genannt werden.</w:t>
      </w:r>
    </w:p>
    <w:p w:rsidR="002A5CC2" w:rsidRPr="00BB5519" w:rsidRDefault="002A5CC2">
      <w:pPr>
        <w:pStyle w:val="AppendixBodyText"/>
        <w:rPr>
          <w:lang w:val="de-DE"/>
        </w:rPr>
      </w:pPr>
    </w:p>
    <w:tbl>
      <w:tblPr>
        <w:tblW w:w="936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170"/>
        <w:gridCol w:w="1177"/>
        <w:gridCol w:w="1170"/>
        <w:gridCol w:w="1170"/>
        <w:gridCol w:w="1073"/>
        <w:gridCol w:w="1080"/>
      </w:tblGrid>
      <w:tr w:rsidR="00023FE7" w:rsidRPr="00BB5519" w:rsidTr="0096314A">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5519" w:rsidRDefault="00023FE7">
            <w:pPr>
              <w:pStyle w:val="AppendixBodyText"/>
              <w:rPr>
                <w:rFonts w:ascii="Tahoma" w:hAnsi="Tahoma" w:cs="Tahoma"/>
                <w:b/>
                <w:bCs/>
              </w:rPr>
            </w:pPr>
            <w:r w:rsidRPr="00BB5519">
              <w:rPr>
                <w:rFonts w:ascii="Tahoma" w:hAnsi="Tahoma" w:cs="Tahoma"/>
                <w:b/>
                <w:bCs/>
              </w:rPr>
              <w:lastRenderedPageBreak/>
              <w:t>Vergünstigungen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5519" w:rsidRDefault="00023FE7">
            <w:pPr>
              <w:pStyle w:val="AppendixBodyText"/>
              <w:rPr>
                <w:rFonts w:ascii="Tahoma" w:hAnsi="Tahoma" w:cs="Tahoma"/>
                <w:b/>
                <w:bCs/>
              </w:rPr>
            </w:pPr>
            <w:r w:rsidRPr="00BB5519">
              <w:rPr>
                <w:rFonts w:ascii="Tahoma" w:hAnsi="Tahoma" w:cs="Tahoma"/>
                <w:b/>
                <w:bCs/>
              </w:rPr>
              <w:t>Open-Lizenz</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5519" w:rsidRDefault="00023FE7" w:rsidP="007E466C">
            <w:pPr>
              <w:pStyle w:val="AppendixBodyText"/>
              <w:spacing w:before="120" w:after="120"/>
              <w:rPr>
                <w:rFonts w:ascii="Tahoma" w:hAnsi="Tahoma" w:cs="Tahoma"/>
                <w:b/>
              </w:rPr>
            </w:pPr>
            <w:r w:rsidRPr="00BB5519">
              <w:rPr>
                <w:rFonts w:ascii="Tahoma" w:hAnsi="Tahoma" w:cs="Tahoma"/>
                <w:b/>
                <w:bCs/>
              </w:rPr>
              <w:t>Open Value</w:t>
            </w:r>
            <w:r w:rsidR="0096314A">
              <w:rPr>
                <w:rFonts w:ascii="Tahoma" w:hAnsi="Tahoma" w:cs="Tahoma"/>
                <w:b/>
                <w:bCs/>
              </w:rPr>
              <w:t xml:space="preserve"> </w:t>
            </w:r>
            <w:r w:rsidRPr="00BB5519">
              <w:rPr>
                <w:rFonts w:ascii="Tahoma" w:hAnsi="Tahoma" w:cs="Tahoma"/>
                <w:b/>
                <w:bCs/>
              </w:rPr>
              <w:t>(1)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5519" w:rsidRDefault="00023FE7">
            <w:pPr>
              <w:pStyle w:val="AppendixBodyText"/>
            </w:pPr>
            <w:r w:rsidRPr="00BB5519">
              <w:rPr>
                <w:rFonts w:ascii="Tahoma" w:hAnsi="Tahoma" w:cs="Tahoma"/>
                <w:b/>
                <w:bCs/>
              </w:rPr>
              <w:t>Select-Lizenz/</w:t>
            </w:r>
            <w:r w:rsidR="008113AB">
              <w:rPr>
                <w:rFonts w:ascii="Tahoma" w:hAnsi="Tahoma" w:cs="Tahoma"/>
                <w:b/>
                <w:bCs/>
              </w:rPr>
              <w:br/>
            </w:r>
            <w:r w:rsidRPr="00BB5519">
              <w:rPr>
                <w:rFonts w:ascii="Tahoma" w:hAnsi="Tahoma" w:cs="Tahoma"/>
                <w:b/>
                <w:bCs/>
              </w:rPr>
              <w:t>Select Plus/EA</w:t>
            </w:r>
          </w:p>
          <w:p w:rsidR="00023FE7" w:rsidRPr="00BB5519" w:rsidRDefault="00023FE7">
            <w:pPr>
              <w:pStyle w:val="AppendixBodyText"/>
              <w:rPr>
                <w:rFonts w:ascii="Tahoma" w:hAnsi="Tahoma" w:cs="Tahoma"/>
                <w:b/>
                <w:bCs/>
              </w:rPr>
            </w:pPr>
            <w:r w:rsidRPr="00BB5519">
              <w:rPr>
                <w:rFonts w:ascii="Tahoma" w:hAnsi="Tahoma" w:cs="Tahoma"/>
                <w:b/>
                <w:bCs/>
              </w:rPr>
              <w:t>Level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5519" w:rsidRDefault="00023FE7">
            <w:pPr>
              <w:pStyle w:val="AppendixBodyText"/>
            </w:pPr>
            <w:r w:rsidRPr="00BB5519">
              <w:rPr>
                <w:rFonts w:ascii="Tahoma" w:hAnsi="Tahoma" w:cs="Tahoma"/>
                <w:b/>
                <w:bCs/>
              </w:rPr>
              <w:t>Select-Lizenz/</w:t>
            </w:r>
            <w:r w:rsidR="008113AB">
              <w:rPr>
                <w:rFonts w:ascii="Tahoma" w:hAnsi="Tahoma" w:cs="Tahoma"/>
                <w:b/>
                <w:bCs/>
              </w:rPr>
              <w:br/>
            </w:r>
            <w:r w:rsidRPr="00BB5519">
              <w:rPr>
                <w:rFonts w:ascii="Tahoma" w:hAnsi="Tahoma" w:cs="Tahoma"/>
                <w:b/>
                <w:bCs/>
              </w:rPr>
              <w:t>Select Plus/EA</w:t>
            </w:r>
          </w:p>
          <w:p w:rsidR="00023FE7" w:rsidRPr="00BB5519" w:rsidRDefault="00023FE7">
            <w:pPr>
              <w:pStyle w:val="AppendixBodyText"/>
              <w:rPr>
                <w:rFonts w:ascii="Tahoma" w:hAnsi="Tahoma" w:cs="Tahoma"/>
                <w:b/>
                <w:bCs/>
              </w:rPr>
            </w:pPr>
            <w:r w:rsidRPr="00BB5519">
              <w:rPr>
                <w:rFonts w:ascii="Tahoma" w:hAnsi="Tahoma" w:cs="Tahoma"/>
                <w:b/>
                <w:bCs/>
              </w:rPr>
              <w:t>Level B</w:t>
            </w:r>
          </w:p>
        </w:tc>
        <w:tc>
          <w:tcPr>
            <w:tcW w:w="107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5519" w:rsidRDefault="00023FE7">
            <w:pPr>
              <w:pStyle w:val="AppendixBodyText"/>
            </w:pPr>
            <w:r w:rsidRPr="00BB5519">
              <w:rPr>
                <w:rFonts w:ascii="Tahoma" w:hAnsi="Tahoma" w:cs="Tahoma"/>
                <w:b/>
                <w:bCs/>
              </w:rPr>
              <w:t>Select-Lizenz/</w:t>
            </w:r>
            <w:r w:rsidR="008113AB">
              <w:rPr>
                <w:rFonts w:ascii="Tahoma" w:hAnsi="Tahoma" w:cs="Tahoma"/>
                <w:b/>
                <w:bCs/>
              </w:rPr>
              <w:br/>
            </w:r>
            <w:r w:rsidRPr="00BB5519">
              <w:rPr>
                <w:rFonts w:ascii="Tahoma" w:hAnsi="Tahoma" w:cs="Tahoma"/>
                <w:b/>
                <w:bCs/>
              </w:rPr>
              <w:t>Select Plus/EA</w:t>
            </w:r>
          </w:p>
          <w:p w:rsidR="00023FE7" w:rsidRPr="00BB5519" w:rsidRDefault="00023FE7">
            <w:pPr>
              <w:pStyle w:val="AppendixBodyText"/>
              <w:rPr>
                <w:rFonts w:ascii="Tahoma" w:hAnsi="Tahoma" w:cs="Tahoma"/>
                <w:b/>
                <w:bCs/>
              </w:rPr>
            </w:pPr>
            <w:r w:rsidRPr="00BB5519">
              <w:rPr>
                <w:rFonts w:ascii="Tahoma" w:hAnsi="Tahoma" w:cs="Tahoma"/>
                <w:b/>
                <w:bCs/>
              </w:rPr>
              <w:t>Level C</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BB5519" w:rsidRDefault="00023FE7">
            <w:pPr>
              <w:pStyle w:val="AppendixBodyText"/>
            </w:pPr>
            <w:r w:rsidRPr="00BB5519">
              <w:rPr>
                <w:rFonts w:ascii="Tahoma" w:hAnsi="Tahoma" w:cs="Tahoma"/>
                <w:b/>
                <w:bCs/>
              </w:rPr>
              <w:t>Select-Lizenz/</w:t>
            </w:r>
            <w:r w:rsidR="008113AB">
              <w:rPr>
                <w:rFonts w:ascii="Tahoma" w:hAnsi="Tahoma" w:cs="Tahoma"/>
                <w:b/>
                <w:bCs/>
              </w:rPr>
              <w:br/>
            </w:r>
            <w:r w:rsidRPr="00BB5519">
              <w:rPr>
                <w:rFonts w:ascii="Tahoma" w:hAnsi="Tahoma" w:cs="Tahoma"/>
                <w:b/>
                <w:bCs/>
              </w:rPr>
              <w:t>Select Plus/EA</w:t>
            </w:r>
          </w:p>
          <w:p w:rsidR="00023FE7" w:rsidRPr="00BB5519" w:rsidRDefault="00023FE7">
            <w:pPr>
              <w:pStyle w:val="AppendixBodyText"/>
              <w:rPr>
                <w:rFonts w:ascii="Tahoma" w:hAnsi="Tahoma" w:cs="Tahoma"/>
                <w:b/>
                <w:bCs/>
              </w:rPr>
            </w:pPr>
            <w:r w:rsidRPr="00BB5519">
              <w:rPr>
                <w:rFonts w:ascii="Tahoma" w:hAnsi="Tahoma" w:cs="Tahoma"/>
                <w:b/>
                <w:bCs/>
              </w:rPr>
              <w:t>Level D</w:t>
            </w:r>
          </w:p>
        </w:tc>
      </w:tr>
      <w:tr w:rsidR="00023FE7" w:rsidRPr="00BB5519" w:rsidTr="0096314A">
        <w:trPr>
          <w:trHeight w:val="236"/>
        </w:trPr>
        <w:tc>
          <w:tcPr>
            <w:tcW w:w="2520" w:type="dxa"/>
            <w:vAlign w:val="center"/>
          </w:tcPr>
          <w:p w:rsidR="00023FE7" w:rsidRPr="00BB5519" w:rsidRDefault="00023FE7">
            <w:pPr>
              <w:pStyle w:val="AppendixBodyText"/>
              <w:rPr>
                <w:rFonts w:ascii="Tahoma" w:hAnsi="Tahoma" w:cs="Tahoma"/>
                <w:sz w:val="18"/>
                <w:szCs w:val="18"/>
                <w:lang w:val="de-DE"/>
              </w:rPr>
            </w:pPr>
            <w:r w:rsidRPr="000E7A8A">
              <w:rPr>
                <w:rFonts w:ascii="Tahoma" w:hAnsi="Tahoma" w:cs="Tahoma"/>
                <w:sz w:val="18"/>
                <w:szCs w:val="18"/>
                <w:lang w:val="de-DE"/>
              </w:rPr>
              <w:t>Anzahl der Kont</w:t>
            </w:r>
            <w:r w:rsidRPr="00BB5519">
              <w:rPr>
                <w:rFonts w:ascii="Tahoma" w:hAnsi="Tahoma" w:cs="Tahoma"/>
                <w:sz w:val="18"/>
                <w:szCs w:val="18"/>
                <w:lang w:val="de-DE"/>
              </w:rPr>
              <w:t>akte für telefonischen Problembehebungssupport</w:t>
            </w:r>
          </w:p>
        </w:tc>
        <w:tc>
          <w:tcPr>
            <w:tcW w:w="1170" w:type="dxa"/>
            <w:vAlign w:val="center"/>
          </w:tcPr>
          <w:p w:rsidR="00023FE7" w:rsidRPr="00BB5519" w:rsidRDefault="00620185">
            <w:pPr>
              <w:pStyle w:val="AppendixBodyText"/>
              <w:rPr>
                <w:rFonts w:ascii="Tahoma" w:hAnsi="Tahoma" w:cs="Tahoma"/>
                <w:sz w:val="18"/>
                <w:szCs w:val="18"/>
              </w:rPr>
            </w:pPr>
            <w:r w:rsidRPr="00BB5519">
              <w:rPr>
                <w:rFonts w:ascii="Tahoma" w:hAnsi="Tahoma" w:cs="Tahoma"/>
                <w:sz w:val="18"/>
                <w:szCs w:val="18"/>
              </w:rPr>
              <w:t>Nach Bedarf</w:t>
            </w:r>
          </w:p>
        </w:tc>
        <w:tc>
          <w:tcPr>
            <w:tcW w:w="1177"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Nach Bedarf</w:t>
            </w:r>
          </w:p>
        </w:tc>
        <w:tc>
          <w:tcPr>
            <w:tcW w:w="1170"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Nach Bedarf</w:t>
            </w:r>
          </w:p>
        </w:tc>
        <w:tc>
          <w:tcPr>
            <w:tcW w:w="1170"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Nach Bedarf</w:t>
            </w:r>
          </w:p>
        </w:tc>
        <w:tc>
          <w:tcPr>
            <w:tcW w:w="1073"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Nach Bedarf</w:t>
            </w:r>
          </w:p>
        </w:tc>
        <w:tc>
          <w:tcPr>
            <w:tcW w:w="1080"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Nach Bedarf</w:t>
            </w:r>
          </w:p>
        </w:tc>
      </w:tr>
      <w:tr w:rsidR="00023FE7" w:rsidRPr="00BB5519" w:rsidTr="0096314A">
        <w:trPr>
          <w:trHeight w:val="236"/>
        </w:trPr>
        <w:tc>
          <w:tcPr>
            <w:tcW w:w="2520" w:type="dxa"/>
            <w:vAlign w:val="center"/>
          </w:tcPr>
          <w:p w:rsidR="00023FE7" w:rsidRPr="00BB5519" w:rsidRDefault="00023FE7">
            <w:pPr>
              <w:pStyle w:val="AppendixBodyText"/>
              <w:rPr>
                <w:rFonts w:ascii="Tahoma" w:hAnsi="Tahoma" w:cs="Tahoma"/>
                <w:sz w:val="18"/>
                <w:szCs w:val="18"/>
                <w:lang w:val="de-DE"/>
              </w:rPr>
            </w:pPr>
            <w:r w:rsidRPr="00BB5519">
              <w:rPr>
                <w:rFonts w:ascii="Tahoma" w:hAnsi="Tahoma" w:cs="Tahoma"/>
                <w:sz w:val="18"/>
                <w:szCs w:val="18"/>
                <w:lang w:val="de-DE"/>
              </w:rPr>
              <w:t>Anzahl der autorisierten Kontakte für Web-basierten Support</w:t>
            </w:r>
          </w:p>
        </w:tc>
        <w:tc>
          <w:tcPr>
            <w:tcW w:w="1170"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w:t>
            </w:r>
          </w:p>
        </w:tc>
        <w:tc>
          <w:tcPr>
            <w:tcW w:w="1177"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1</w:t>
            </w:r>
          </w:p>
        </w:tc>
        <w:tc>
          <w:tcPr>
            <w:tcW w:w="1170"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2</w:t>
            </w:r>
          </w:p>
        </w:tc>
        <w:tc>
          <w:tcPr>
            <w:tcW w:w="1170"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4</w:t>
            </w:r>
          </w:p>
        </w:tc>
        <w:tc>
          <w:tcPr>
            <w:tcW w:w="1073"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8</w:t>
            </w:r>
          </w:p>
        </w:tc>
        <w:tc>
          <w:tcPr>
            <w:tcW w:w="1080" w:type="dxa"/>
            <w:vAlign w:val="cente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16</w:t>
            </w:r>
          </w:p>
        </w:tc>
      </w:tr>
    </w:tbl>
    <w:p w:rsidR="00A40651" w:rsidRDefault="00A40651" w:rsidP="00A40651">
      <w:pPr>
        <w:pStyle w:val="AppendixBodyText"/>
        <w:spacing w:after="0"/>
        <w:rPr>
          <w:rFonts w:ascii="Tahoma" w:hAnsi="Tahoma" w:cs="Tahoma"/>
          <w:sz w:val="18"/>
          <w:szCs w:val="18"/>
        </w:rPr>
      </w:pPr>
      <w:bookmarkStart w:id="807" w:name="_Toc240899166"/>
    </w:p>
    <w:p w:rsidR="001C20C9" w:rsidRPr="00A40651" w:rsidRDefault="00023FE7" w:rsidP="00F93617">
      <w:pPr>
        <w:spacing w:after="60"/>
        <w:rPr>
          <w:rFonts w:cs="Tahoma"/>
          <w:b/>
          <w:szCs w:val="20"/>
        </w:rPr>
      </w:pPr>
      <w:r w:rsidRPr="00BB5519">
        <w:rPr>
          <w:rFonts w:cs="Tahoma"/>
          <w:b/>
          <w:szCs w:val="20"/>
        </w:rPr>
        <w:t>Servicelevel für Software Assurance-Kunden</w:t>
      </w:r>
      <w:bookmarkEnd w:id="807"/>
    </w:p>
    <w:p w:rsidR="00A40651" w:rsidRDefault="00A40651" w:rsidP="00A40651">
      <w:pPr>
        <w:pStyle w:val="AppendixBodyText"/>
        <w:spacing w:after="0"/>
        <w:rPr>
          <w:rFonts w:ascii="Tahoma" w:hAnsi="Tahoma" w:cs="Tahoma"/>
          <w:sz w:val="18"/>
          <w:szCs w:val="18"/>
        </w:rPr>
      </w:pPr>
    </w:p>
    <w:p w:rsidR="00023FE7" w:rsidRPr="00BB5519" w:rsidRDefault="00023FE7" w:rsidP="00F93617">
      <w:pPr>
        <w:pStyle w:val="AppendixBodyText"/>
        <w:spacing w:after="0"/>
        <w:rPr>
          <w:lang w:val="de-DE"/>
        </w:rPr>
      </w:pPr>
      <w:r w:rsidRPr="00BB5519">
        <w:rPr>
          <w:rFonts w:ascii="Tahoma" w:hAnsi="Tahoma" w:cs="Tahoma"/>
          <w:sz w:val="18"/>
          <w:szCs w:val="18"/>
          <w:lang w:val="de-DE"/>
        </w:rPr>
        <w:t xml:space="preserve">Supportanfragen können per Telefon oder elektronisch von den bezeichneten Kontaktpersonen eines Kunden eingereicht werden, ausgenommen die Schweregrade A und B. Diese müssen per Telefon eingereicht werden, wie weiter unten dargelegt. </w:t>
      </w:r>
    </w:p>
    <w:p w:rsidR="00A40651" w:rsidRPr="00D15040" w:rsidRDefault="00A40651" w:rsidP="00A40651">
      <w:pPr>
        <w:pStyle w:val="AppendixBodyText"/>
        <w:spacing w:after="0"/>
        <w:rPr>
          <w:rFonts w:ascii="Tahoma" w:hAnsi="Tahoma" w:cs="Tahoma"/>
          <w:sz w:val="18"/>
          <w:szCs w:val="18"/>
          <w:lang w:val="de-DE"/>
        </w:rPr>
      </w:pPr>
    </w:p>
    <w:p w:rsidR="00023FE7" w:rsidRPr="00BB5519" w:rsidRDefault="00023FE7" w:rsidP="00F93617">
      <w:pPr>
        <w:pStyle w:val="AppendixBodyText"/>
        <w:spacing w:after="0"/>
        <w:rPr>
          <w:lang w:val="de-DE"/>
        </w:rPr>
      </w:pPr>
      <w:r w:rsidRPr="00BB5519">
        <w:rPr>
          <w:rFonts w:ascii="Tahoma" w:hAnsi="Tahoma" w:cs="Tahoma"/>
          <w:sz w:val="18"/>
          <w:szCs w:val="18"/>
          <w:lang w:val="de-DE"/>
        </w:rPr>
        <w:t>Die Kunden sind dafür verantwortlich, den anfänglichen Schweregrad in Absprache mit uns festzulegen, und können jederzeit eine Änderung des Schweregrades verlangen.</w:t>
      </w:r>
      <w:r w:rsidR="009E4976" w:rsidRPr="00BB5519">
        <w:rPr>
          <w:rFonts w:ascii="Tahoma" w:hAnsi="Tahoma" w:cs="Tahoma"/>
          <w:sz w:val="18"/>
          <w:szCs w:val="18"/>
          <w:lang w:val="de-DE"/>
        </w:rPr>
        <w:t xml:space="preserve"> </w:t>
      </w:r>
      <w:r w:rsidRPr="00BB5519">
        <w:rPr>
          <w:rFonts w:ascii="Tahoma" w:hAnsi="Tahoma" w:cs="Tahoma"/>
          <w:sz w:val="18"/>
          <w:szCs w:val="18"/>
          <w:lang w:val="de-DE"/>
        </w:rPr>
        <w:t>Der Schweregrad des Falls bestimmt die Reaktionsebene innerhalb von Microsoft und geschätzte Reaktionszeiten, und die Verantwortlichkeiten der Kunden sind in der folgenden Tabelle festgelegt:</w:t>
      </w:r>
    </w:p>
    <w:p w:rsidR="00F42FB8" w:rsidRPr="00BB5519" w:rsidRDefault="00F42FB8" w:rsidP="00F93617">
      <w:pPr>
        <w:pStyle w:val="AppendixBodyText"/>
        <w:spacing w:after="0"/>
        <w:rPr>
          <w:lang w:val="de-DE"/>
        </w:rPr>
      </w:pPr>
    </w:p>
    <w:tbl>
      <w:tblPr>
        <w:tblW w:w="9360" w:type="dxa"/>
        <w:tblInd w:w="108" w:type="dxa"/>
        <w:tblLayout w:type="fixed"/>
        <w:tblCellMar>
          <w:left w:w="0" w:type="dxa"/>
          <w:right w:w="0" w:type="dxa"/>
        </w:tblCellMar>
        <w:tblLook w:val="0000" w:firstRow="0" w:lastRow="0" w:firstColumn="0" w:lastColumn="0" w:noHBand="0" w:noVBand="0"/>
      </w:tblPr>
      <w:tblGrid>
        <w:gridCol w:w="1710"/>
        <w:gridCol w:w="2250"/>
        <w:gridCol w:w="2700"/>
        <w:gridCol w:w="2700"/>
      </w:tblGrid>
      <w:tr w:rsidR="00023FE7" w:rsidRPr="00BB5519" w:rsidTr="003F26EA">
        <w:trPr>
          <w:trHeight w:val="477"/>
          <w:tblHeader/>
        </w:trPr>
        <w:tc>
          <w:tcPr>
            <w:tcW w:w="171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B5519" w:rsidRDefault="00023FE7">
            <w:pPr>
              <w:pStyle w:val="AppendixBodyText"/>
              <w:spacing w:after="0"/>
              <w:jc w:val="center"/>
              <w:rPr>
                <w:rFonts w:ascii="Tahoma" w:hAnsi="Tahoma" w:cs="Tahoma"/>
                <w:b/>
                <w:bCs/>
              </w:rPr>
            </w:pPr>
            <w:r w:rsidRPr="00BB5519">
              <w:rPr>
                <w:rFonts w:ascii="Tahoma" w:hAnsi="Tahoma" w:cs="Tahoma"/>
                <w:b/>
                <w:bCs/>
              </w:rPr>
              <w:t>Schweregrad</w:t>
            </w:r>
          </w:p>
        </w:tc>
        <w:tc>
          <w:tcPr>
            <w:tcW w:w="225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B5519" w:rsidRDefault="00023FE7">
            <w:pPr>
              <w:pStyle w:val="AppendixBodyText"/>
              <w:spacing w:after="0"/>
              <w:jc w:val="center"/>
              <w:rPr>
                <w:rFonts w:ascii="Tahoma" w:hAnsi="Tahoma" w:cs="Tahoma"/>
                <w:b/>
                <w:bCs/>
              </w:rPr>
            </w:pPr>
            <w:r w:rsidRPr="00BB5519">
              <w:rPr>
                <w:rFonts w:ascii="Tahoma" w:hAnsi="Tahoma" w:cs="Tahoma"/>
                <w:b/>
                <w:bCs/>
              </w:rPr>
              <w:t>Situation</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B5519" w:rsidRDefault="00023FE7">
            <w:pPr>
              <w:pStyle w:val="AppendixBodyText"/>
              <w:spacing w:after="0"/>
              <w:jc w:val="center"/>
              <w:rPr>
                <w:rFonts w:ascii="Tahoma" w:hAnsi="Tahoma" w:cs="Tahoma"/>
                <w:b/>
                <w:bCs/>
              </w:rPr>
            </w:pPr>
            <w:r w:rsidRPr="00BB5519">
              <w:rPr>
                <w:rFonts w:ascii="Tahoma" w:hAnsi="Tahoma" w:cs="Tahoma"/>
                <w:b/>
                <w:bCs/>
              </w:rPr>
              <w:t>Unsere erwartete Reaktion</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BB5519" w:rsidRDefault="00023FE7">
            <w:pPr>
              <w:pStyle w:val="AppendixBodyText"/>
              <w:spacing w:after="0"/>
              <w:jc w:val="center"/>
              <w:rPr>
                <w:rFonts w:ascii="Tahoma" w:hAnsi="Tahoma" w:cs="Tahoma"/>
                <w:b/>
                <w:bCs/>
              </w:rPr>
            </w:pPr>
            <w:r w:rsidRPr="00BB5519">
              <w:rPr>
                <w:rFonts w:ascii="Tahoma" w:hAnsi="Tahoma" w:cs="Tahoma"/>
                <w:b/>
                <w:bCs/>
              </w:rPr>
              <w:t>Vom Kunden erwartete Reaktion</w:t>
            </w:r>
          </w:p>
        </w:tc>
      </w:tr>
      <w:tr w:rsidR="00023FE7" w:rsidRPr="00BB5519" w:rsidTr="003F26EA">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B5519" w:rsidRDefault="00023FE7">
            <w:pPr>
              <w:pStyle w:val="AppendixBodyText"/>
              <w:rPr>
                <w:rFonts w:ascii="Tahoma" w:hAnsi="Tahoma" w:cs="Tahoma"/>
                <w:sz w:val="18"/>
                <w:szCs w:val="18"/>
              </w:rPr>
            </w:pPr>
            <w:r w:rsidRPr="00BB5519">
              <w:rPr>
                <w:rFonts w:ascii="Tahoma" w:hAnsi="Tahoma" w:cs="Tahoma"/>
                <w:sz w:val="18"/>
                <w:szCs w:val="18"/>
              </w:rPr>
              <w:t xml:space="preserve">A Einreichung per Telefon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27028A">
            <w:pPr>
              <w:pStyle w:val="AppendixBodyText"/>
              <w:numPr>
                <w:ilvl w:val="0"/>
                <w:numId w:val="2"/>
              </w:numPr>
              <w:tabs>
                <w:tab w:val="clear" w:pos="1440"/>
                <w:tab w:val="num" w:pos="612"/>
              </w:tabs>
              <w:ind w:left="612"/>
              <w:rPr>
                <w:lang w:val="de-DE"/>
              </w:rPr>
            </w:pPr>
            <w:r w:rsidRPr="00BB5519">
              <w:rPr>
                <w:rFonts w:ascii="Tahoma" w:hAnsi="Tahoma" w:cs="Tahoma"/>
                <w:sz w:val="18"/>
                <w:szCs w:val="18"/>
                <w:lang w:val="de-DE"/>
              </w:rPr>
              <w:t xml:space="preserve">Kritische Auswirkungen auf das Geschäft: </w:t>
            </w:r>
          </w:p>
          <w:p w:rsidR="00023FE7" w:rsidRPr="00BB5519" w:rsidRDefault="00023FE7" w:rsidP="0027028A">
            <w:pPr>
              <w:pStyle w:val="AppendixBodyText"/>
              <w:numPr>
                <w:ilvl w:val="0"/>
                <w:numId w:val="2"/>
              </w:numPr>
              <w:tabs>
                <w:tab w:val="clear" w:pos="1440"/>
                <w:tab w:val="num" w:pos="612"/>
              </w:tabs>
              <w:ind w:left="612"/>
              <w:rPr>
                <w:rFonts w:ascii="Tahoma" w:hAnsi="Tahoma" w:cs="Tahoma"/>
                <w:sz w:val="18"/>
                <w:szCs w:val="18"/>
                <w:lang w:val="de-DE"/>
              </w:rPr>
            </w:pPr>
            <w:r w:rsidRPr="00BB5519">
              <w:rPr>
                <w:rFonts w:ascii="Tahoma" w:hAnsi="Tahoma" w:cs="Tahoma"/>
                <w:sz w:val="18"/>
                <w:szCs w:val="18"/>
                <w:lang w:val="de-DE"/>
              </w:rPr>
              <w:t>Das Geschäft des Kunden erlebt einen erheblichen Verlust oder eine erhebliche Beeinträchtigung von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96314A">
            <w:pPr>
              <w:pStyle w:val="AppendixBodyText"/>
              <w:numPr>
                <w:ilvl w:val="0"/>
                <w:numId w:val="2"/>
              </w:numPr>
              <w:tabs>
                <w:tab w:val="clear" w:pos="1440"/>
                <w:tab w:val="num" w:pos="522"/>
              </w:tabs>
              <w:ind w:left="522"/>
              <w:rPr>
                <w:lang w:val="de-DE"/>
              </w:rPr>
            </w:pPr>
            <w:r w:rsidRPr="00BB5519">
              <w:rPr>
                <w:rFonts w:ascii="Tahoma" w:hAnsi="Tahoma" w:cs="Tahoma"/>
                <w:sz w:val="18"/>
                <w:szCs w:val="18"/>
                <w:lang w:val="de-DE"/>
              </w:rPr>
              <w:t>1. Reaktion auf Anruf in 2</w:t>
            </w:r>
            <w:r w:rsidR="0096314A">
              <w:rPr>
                <w:rFonts w:ascii="Tahoma" w:hAnsi="Tahoma" w:cs="Tahoma"/>
                <w:sz w:val="18"/>
                <w:szCs w:val="18"/>
                <w:lang w:val="de-DE"/>
              </w:rPr>
              <w:t> </w:t>
            </w:r>
            <w:r w:rsidRPr="00BB5519">
              <w:rPr>
                <w:rFonts w:ascii="Tahoma" w:hAnsi="Tahoma" w:cs="Tahoma"/>
                <w:sz w:val="18"/>
                <w:szCs w:val="18"/>
                <w:lang w:val="de-DE"/>
              </w:rPr>
              <w:t>Stunden oder weniger, basierend auf dem Supportangebot</w:t>
            </w:r>
          </w:p>
          <w:p w:rsidR="00023FE7" w:rsidRPr="00BB5519" w:rsidRDefault="00023FE7" w:rsidP="0027028A">
            <w:pPr>
              <w:pStyle w:val="AppendixBodyText"/>
              <w:numPr>
                <w:ilvl w:val="0"/>
                <w:numId w:val="2"/>
              </w:numPr>
              <w:tabs>
                <w:tab w:val="clear" w:pos="1440"/>
                <w:tab w:val="num" w:pos="522"/>
              </w:tabs>
              <w:ind w:left="522"/>
              <w:rPr>
                <w:lang w:val="de-DE"/>
              </w:rPr>
            </w:pPr>
            <w:r w:rsidRPr="00BB5519">
              <w:rPr>
                <w:rFonts w:ascii="Tahoma" w:hAnsi="Tahoma" w:cs="Tahoma"/>
                <w:sz w:val="18"/>
                <w:szCs w:val="18"/>
                <w:lang w:val="de-DE"/>
              </w:rPr>
              <w:t>Microsoft-Ressourcen nach Bedarf am Standort des Kunden</w:t>
            </w:r>
          </w:p>
          <w:p w:rsidR="00023FE7" w:rsidRPr="00BB5519" w:rsidRDefault="00023FE7" w:rsidP="00A40651">
            <w:pPr>
              <w:pStyle w:val="AppendixBodyText"/>
              <w:numPr>
                <w:ilvl w:val="0"/>
                <w:numId w:val="2"/>
              </w:numPr>
              <w:tabs>
                <w:tab w:val="clear" w:pos="1440"/>
                <w:tab w:val="num" w:pos="522"/>
              </w:tabs>
              <w:ind w:left="522"/>
              <w:rPr>
                <w:lang w:val="de-DE"/>
              </w:rPr>
            </w:pPr>
            <w:r w:rsidRPr="00BB5519">
              <w:rPr>
                <w:rFonts w:ascii="Tahoma" w:hAnsi="Tahoma" w:cs="Tahoma"/>
                <w:sz w:val="18"/>
                <w:szCs w:val="18"/>
                <w:lang w:val="de-DE"/>
              </w:rPr>
              <w:t>Durchgehende Bemühungen rund um</w:t>
            </w:r>
            <w:r w:rsidR="00A40651">
              <w:rPr>
                <w:rFonts w:ascii="Tahoma" w:hAnsi="Tahoma" w:cs="Tahoma"/>
                <w:sz w:val="18"/>
                <w:szCs w:val="18"/>
                <w:lang w:val="de-DE"/>
              </w:rPr>
              <w:t> </w:t>
            </w:r>
            <w:r w:rsidRPr="00BB5519">
              <w:rPr>
                <w:rFonts w:ascii="Tahoma" w:hAnsi="Tahoma" w:cs="Tahoma"/>
                <w:sz w:val="18"/>
                <w:szCs w:val="18"/>
                <w:lang w:val="de-DE"/>
              </w:rPr>
              <w:t>die</w:t>
            </w:r>
            <w:r w:rsidR="00A40651">
              <w:rPr>
                <w:rFonts w:ascii="Tahoma" w:hAnsi="Tahoma" w:cs="Tahoma"/>
                <w:sz w:val="18"/>
                <w:szCs w:val="18"/>
                <w:lang w:val="de-DE"/>
              </w:rPr>
              <w:t> </w:t>
            </w:r>
            <w:r w:rsidRPr="00BB5519">
              <w:rPr>
                <w:rFonts w:ascii="Tahoma" w:hAnsi="Tahoma" w:cs="Tahoma"/>
                <w:sz w:val="18"/>
                <w:szCs w:val="18"/>
                <w:lang w:val="de-DE"/>
              </w:rPr>
              <w:t>Uhr</w:t>
            </w:r>
          </w:p>
          <w:p w:rsidR="00023FE7" w:rsidRPr="00BB5519" w:rsidRDefault="00023FE7" w:rsidP="0027028A">
            <w:pPr>
              <w:pStyle w:val="AppendixBodyText"/>
              <w:numPr>
                <w:ilvl w:val="0"/>
                <w:numId w:val="2"/>
              </w:numPr>
              <w:tabs>
                <w:tab w:val="clear" w:pos="1440"/>
                <w:tab w:val="num" w:pos="522"/>
              </w:tabs>
              <w:ind w:left="522"/>
              <w:rPr>
                <w:rFonts w:ascii="Tahoma" w:hAnsi="Tahoma" w:cs="Tahoma"/>
                <w:sz w:val="18"/>
                <w:szCs w:val="18"/>
                <w:lang w:val="de-DE"/>
              </w:rPr>
            </w:pPr>
            <w:r w:rsidRPr="00BB5519">
              <w:rPr>
                <w:rFonts w:ascii="Tahoma" w:hAnsi="Tahoma" w:cs="Tahoma"/>
                <w:sz w:val="18"/>
                <w:szCs w:val="18"/>
                <w:lang w:val="de-DE"/>
              </w:rPr>
              <w:t>Benachrichtigung der leitenden Manager bei Microsoft, basierend auf dem Supportangebot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A40651">
            <w:pPr>
              <w:pStyle w:val="AppendixBodyText"/>
              <w:numPr>
                <w:ilvl w:val="0"/>
                <w:numId w:val="2"/>
              </w:numPr>
              <w:tabs>
                <w:tab w:val="clear" w:pos="1440"/>
              </w:tabs>
              <w:ind w:left="432"/>
              <w:rPr>
                <w:lang w:val="de-DE"/>
              </w:rPr>
            </w:pPr>
            <w:r w:rsidRPr="00BB5519">
              <w:rPr>
                <w:rFonts w:ascii="Tahoma" w:hAnsi="Tahoma" w:cs="Tahoma"/>
                <w:sz w:val="18"/>
                <w:szCs w:val="18"/>
                <w:lang w:val="de-DE"/>
              </w:rPr>
              <w:t>Zuweisung geeigneter Ressourcen zur Aufrechterhaltung durchgehender Bemühungen rund um die</w:t>
            </w:r>
            <w:r w:rsidR="00A40651">
              <w:rPr>
                <w:rFonts w:ascii="Tahoma" w:hAnsi="Tahoma" w:cs="Tahoma"/>
                <w:sz w:val="18"/>
                <w:szCs w:val="18"/>
                <w:lang w:val="de-DE"/>
              </w:rPr>
              <w:t> </w:t>
            </w:r>
            <w:r w:rsidRPr="00BB5519">
              <w:rPr>
                <w:rFonts w:ascii="Tahoma" w:hAnsi="Tahoma" w:cs="Tahoma"/>
                <w:sz w:val="18"/>
                <w:szCs w:val="18"/>
                <w:lang w:val="de-DE"/>
              </w:rPr>
              <w:t>Uhr</w:t>
            </w:r>
            <w:r w:rsidRPr="00BB5519">
              <w:rPr>
                <w:rFonts w:ascii="Tahoma" w:hAnsi="Tahoma" w:cs="Tahoma"/>
                <w:sz w:val="18"/>
                <w:szCs w:val="18"/>
                <w:vertAlign w:val="superscript"/>
                <w:lang w:val="de-DE"/>
              </w:rPr>
              <w:t>2</w:t>
            </w:r>
          </w:p>
          <w:p w:rsidR="00023FE7" w:rsidRPr="00BB5519" w:rsidRDefault="00023FE7" w:rsidP="0027028A">
            <w:pPr>
              <w:pStyle w:val="AppendixBodyText"/>
              <w:numPr>
                <w:ilvl w:val="0"/>
                <w:numId w:val="2"/>
              </w:numPr>
              <w:tabs>
                <w:tab w:val="clear" w:pos="1440"/>
              </w:tabs>
              <w:ind w:left="432"/>
              <w:rPr>
                <w:lang w:val="de-DE"/>
              </w:rPr>
            </w:pPr>
            <w:r w:rsidRPr="00BB5519">
              <w:rPr>
                <w:rFonts w:ascii="Tahoma" w:hAnsi="Tahoma" w:cs="Tahoma"/>
                <w:sz w:val="18"/>
                <w:szCs w:val="18"/>
                <w:lang w:val="de-DE"/>
              </w:rPr>
              <w:t>Schneller Zugriff und schnelle Reaktion durch Änderungsko</w:t>
            </w:r>
            <w:r w:rsidR="00A40651">
              <w:rPr>
                <w:rFonts w:ascii="Tahoma" w:hAnsi="Tahoma" w:cs="Tahoma"/>
                <w:sz w:val="18"/>
                <w:szCs w:val="18"/>
                <w:lang w:val="de-DE"/>
              </w:rPr>
              <w:t>-</w:t>
            </w:r>
            <w:r w:rsidRPr="00BB5519">
              <w:rPr>
                <w:rFonts w:ascii="Tahoma" w:hAnsi="Tahoma" w:cs="Tahoma"/>
                <w:sz w:val="18"/>
                <w:szCs w:val="18"/>
                <w:lang w:val="de-DE"/>
              </w:rPr>
              <w:t>ntrollautorität</w:t>
            </w:r>
          </w:p>
          <w:p w:rsidR="00023FE7" w:rsidRPr="00BB5519" w:rsidRDefault="00023FE7" w:rsidP="0027028A">
            <w:pPr>
              <w:pStyle w:val="AppendixBodyText"/>
              <w:numPr>
                <w:ilvl w:val="0"/>
                <w:numId w:val="2"/>
              </w:numPr>
              <w:tabs>
                <w:tab w:val="clear" w:pos="1440"/>
              </w:tabs>
              <w:ind w:left="432"/>
              <w:rPr>
                <w:rFonts w:ascii="Tahoma" w:hAnsi="Tahoma" w:cs="Tahoma"/>
                <w:sz w:val="18"/>
                <w:szCs w:val="18"/>
              </w:rPr>
            </w:pPr>
            <w:r w:rsidRPr="00BB5519">
              <w:rPr>
                <w:rFonts w:ascii="Tahoma" w:hAnsi="Tahoma" w:cs="Tahoma"/>
                <w:sz w:val="18"/>
                <w:szCs w:val="18"/>
              </w:rPr>
              <w:t>Benachrichtigung des Managements</w:t>
            </w:r>
          </w:p>
        </w:tc>
      </w:tr>
      <w:tr w:rsidR="00023FE7" w:rsidRPr="006F21F8" w:rsidTr="003F26EA">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B5519" w:rsidRDefault="00023FE7" w:rsidP="00A40651">
            <w:pPr>
              <w:pStyle w:val="AppendixBodyText"/>
              <w:keepNext/>
              <w:keepLines/>
              <w:rPr>
                <w:rFonts w:ascii="Tahoma" w:hAnsi="Tahoma" w:cs="Tahoma"/>
                <w:sz w:val="18"/>
                <w:szCs w:val="18"/>
              </w:rPr>
            </w:pPr>
            <w:r w:rsidRPr="00BB5519">
              <w:rPr>
                <w:rFonts w:ascii="Tahoma" w:hAnsi="Tahoma" w:cs="Tahoma"/>
                <w:sz w:val="18"/>
                <w:szCs w:val="18"/>
              </w:rPr>
              <w:lastRenderedPageBreak/>
              <w:t>B Einreichung per</w:t>
            </w:r>
            <w:r w:rsidR="00A40651">
              <w:rPr>
                <w:rFonts w:ascii="Tahoma" w:hAnsi="Tahoma" w:cs="Tahoma"/>
                <w:sz w:val="18"/>
                <w:szCs w:val="18"/>
              </w:rPr>
              <w:t> </w:t>
            </w:r>
            <w:r w:rsidRPr="00BB5519">
              <w:rPr>
                <w:rFonts w:ascii="Tahoma" w:hAnsi="Tahoma" w:cs="Tahoma"/>
                <w:sz w:val="18"/>
                <w:szCs w:val="18"/>
              </w:rPr>
              <w:t xml:space="preserve">Telefon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3F26EA">
            <w:pPr>
              <w:pStyle w:val="AppendixBodyText"/>
              <w:keepNext/>
              <w:keepLines/>
              <w:numPr>
                <w:ilvl w:val="0"/>
                <w:numId w:val="2"/>
              </w:numPr>
              <w:tabs>
                <w:tab w:val="clear" w:pos="1440"/>
                <w:tab w:val="num" w:pos="432"/>
              </w:tabs>
              <w:ind w:left="432"/>
              <w:rPr>
                <w:lang w:val="de-DE"/>
              </w:rPr>
            </w:pPr>
            <w:r w:rsidRPr="00BB5519">
              <w:rPr>
                <w:rFonts w:ascii="Tahoma" w:hAnsi="Tahoma" w:cs="Tahoma"/>
                <w:sz w:val="18"/>
                <w:szCs w:val="18"/>
                <w:lang w:val="de-DE"/>
              </w:rPr>
              <w:t xml:space="preserve">Mittelschwere Auswirkungen auf das Geschäft: </w:t>
            </w:r>
          </w:p>
          <w:p w:rsidR="00023FE7" w:rsidRPr="00BB5519" w:rsidRDefault="00023FE7" w:rsidP="003F26EA">
            <w:pPr>
              <w:pStyle w:val="AppendixBodyText"/>
              <w:keepNext/>
              <w:keepLines/>
              <w:numPr>
                <w:ilvl w:val="0"/>
                <w:numId w:val="2"/>
              </w:numPr>
              <w:tabs>
                <w:tab w:val="clear" w:pos="1440"/>
                <w:tab w:val="num" w:pos="432"/>
              </w:tabs>
              <w:ind w:left="432"/>
              <w:rPr>
                <w:rFonts w:ascii="Tahoma" w:hAnsi="Tahoma" w:cs="Tahoma"/>
                <w:sz w:val="18"/>
                <w:szCs w:val="18"/>
                <w:lang w:val="de-DE"/>
              </w:rPr>
            </w:pPr>
            <w:r w:rsidRPr="00BB5519">
              <w:rPr>
                <w:rFonts w:ascii="Tahoma" w:hAnsi="Tahoma" w:cs="Tahoma"/>
                <w:sz w:val="18"/>
                <w:szCs w:val="18"/>
                <w:lang w:val="de-DE"/>
              </w:rPr>
              <w:t>Das Geschäft des Kunden erlebt einen mittelschweren Verlust oder</w:t>
            </w:r>
            <w:r w:rsidR="003F26EA">
              <w:rPr>
                <w:rFonts w:ascii="Tahoma" w:hAnsi="Tahoma" w:cs="Tahoma"/>
                <w:sz w:val="18"/>
                <w:szCs w:val="18"/>
                <w:lang w:val="de-DE"/>
              </w:rPr>
              <w:t xml:space="preserve"> </w:t>
            </w:r>
            <w:r w:rsidRPr="00BB5519">
              <w:rPr>
                <w:rFonts w:ascii="Tahoma" w:hAnsi="Tahoma" w:cs="Tahoma"/>
                <w:sz w:val="18"/>
                <w:szCs w:val="18"/>
                <w:lang w:val="de-DE"/>
              </w:rPr>
              <w:t>eine mittelschwere Beeinträchtigung von Diensten, die</w:t>
            </w:r>
            <w:r w:rsidR="003F26EA">
              <w:rPr>
                <w:rFonts w:ascii="Tahoma" w:hAnsi="Tahoma" w:cs="Tahoma"/>
                <w:sz w:val="18"/>
                <w:szCs w:val="18"/>
                <w:lang w:val="de-DE"/>
              </w:rPr>
              <w:t> </w:t>
            </w:r>
            <w:r w:rsidRPr="00BB5519">
              <w:rPr>
                <w:rFonts w:ascii="Tahoma" w:hAnsi="Tahoma" w:cs="Tahoma"/>
                <w:sz w:val="18"/>
                <w:szCs w:val="18"/>
                <w:lang w:val="de-DE"/>
              </w:rPr>
              <w:t>Arbeit kann jedoch vernün</w:t>
            </w:r>
            <w:r w:rsidR="00A40651">
              <w:rPr>
                <w:rFonts w:ascii="Tahoma" w:hAnsi="Tahoma" w:cs="Tahoma"/>
                <w:sz w:val="18"/>
                <w:szCs w:val="18"/>
                <w:lang w:val="de-DE"/>
              </w:rPr>
              <w:t>-</w:t>
            </w:r>
            <w:r w:rsidRPr="00BB5519">
              <w:rPr>
                <w:rFonts w:ascii="Tahoma" w:hAnsi="Tahoma" w:cs="Tahoma"/>
                <w:sz w:val="18"/>
                <w:szCs w:val="18"/>
                <w:lang w:val="de-DE"/>
              </w:rPr>
              <w:t>ftigerweise mit Beeinträchtigungen fortgesetzt werden.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A40651">
            <w:pPr>
              <w:pStyle w:val="AppendixBodyText"/>
              <w:keepNext/>
              <w:keepLines/>
              <w:numPr>
                <w:ilvl w:val="0"/>
                <w:numId w:val="2"/>
              </w:numPr>
              <w:tabs>
                <w:tab w:val="num" w:pos="522"/>
              </w:tabs>
              <w:ind w:left="522"/>
              <w:rPr>
                <w:lang w:val="de-DE"/>
              </w:rPr>
            </w:pPr>
            <w:r w:rsidRPr="00BB5519">
              <w:rPr>
                <w:rFonts w:ascii="Tahoma" w:hAnsi="Tahoma" w:cs="Tahoma"/>
                <w:sz w:val="18"/>
                <w:szCs w:val="18"/>
                <w:lang w:val="de-DE"/>
              </w:rPr>
              <w:t>1</w:t>
            </w:r>
            <w:r w:rsidRPr="00BB5519">
              <w:rPr>
                <w:rFonts w:ascii="Tahoma" w:hAnsi="Tahoma" w:cs="Tahoma"/>
                <w:sz w:val="18"/>
                <w:szCs w:val="18"/>
                <w:vertAlign w:val="superscript"/>
                <w:lang w:val="de-DE"/>
              </w:rPr>
              <w:t>.</w:t>
            </w:r>
            <w:r w:rsidRPr="00BB5519">
              <w:rPr>
                <w:rFonts w:ascii="Tahoma" w:hAnsi="Tahoma" w:cs="Tahoma"/>
                <w:sz w:val="18"/>
                <w:szCs w:val="18"/>
                <w:lang w:val="de-DE"/>
              </w:rPr>
              <w:t xml:space="preserve"> Reaktion auf Anruf in 4</w:t>
            </w:r>
            <w:r w:rsidR="00A40651">
              <w:rPr>
                <w:rFonts w:ascii="Tahoma" w:hAnsi="Tahoma" w:cs="Tahoma"/>
                <w:sz w:val="18"/>
                <w:szCs w:val="18"/>
                <w:lang w:val="de-DE"/>
              </w:rPr>
              <w:t> </w:t>
            </w:r>
            <w:r w:rsidRPr="00BB5519">
              <w:rPr>
                <w:rFonts w:ascii="Tahoma" w:hAnsi="Tahoma" w:cs="Tahoma"/>
                <w:sz w:val="18"/>
                <w:szCs w:val="18"/>
                <w:lang w:val="de-DE"/>
              </w:rPr>
              <w:t>Stunden oder weniger, basierend auf dem Supportangebot</w:t>
            </w:r>
          </w:p>
          <w:p w:rsidR="00023FE7" w:rsidRPr="00BB5519" w:rsidRDefault="00023FE7" w:rsidP="00A40651">
            <w:pPr>
              <w:pStyle w:val="AppendixBodyText"/>
              <w:keepNext/>
              <w:keepLines/>
              <w:numPr>
                <w:ilvl w:val="0"/>
                <w:numId w:val="2"/>
              </w:numPr>
              <w:tabs>
                <w:tab w:val="num" w:pos="522"/>
              </w:tabs>
              <w:ind w:left="522"/>
            </w:pPr>
            <w:r w:rsidRPr="00BB5519">
              <w:rPr>
                <w:rFonts w:ascii="Tahoma" w:hAnsi="Tahoma" w:cs="Tahoma"/>
                <w:sz w:val="18"/>
                <w:szCs w:val="18"/>
              </w:rPr>
              <w:t xml:space="preserve">Bemühungen nur während der </w:t>
            </w:r>
            <w:r w:rsidRPr="00BB5519">
              <w:rPr>
                <w:rFonts w:ascii="Tahoma" w:hAnsi="Tahoma" w:cs="Tahoma"/>
                <w:bCs/>
                <w:sz w:val="18"/>
                <w:szCs w:val="18"/>
              </w:rPr>
              <w:t>Geschäftszeiten</w:t>
            </w:r>
            <w:r w:rsidRPr="00BB5519">
              <w:rPr>
                <w:rFonts w:ascii="Tahoma" w:hAnsi="Tahoma" w:cs="Tahoma"/>
                <w:sz w:val="18"/>
                <w:szCs w:val="18"/>
                <w:vertAlign w:val="superscript"/>
              </w:rPr>
              <w:t>1</w:t>
            </w:r>
          </w:p>
          <w:p w:rsidR="00023FE7" w:rsidRPr="00BB5519" w:rsidRDefault="00023FE7" w:rsidP="00A40651">
            <w:pPr>
              <w:pStyle w:val="AppendixBodyText"/>
              <w:keepNext/>
              <w:keepLines/>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A40651">
            <w:pPr>
              <w:pStyle w:val="AppendixBodyText"/>
              <w:keepNext/>
              <w:keepLines/>
              <w:numPr>
                <w:ilvl w:val="0"/>
                <w:numId w:val="2"/>
              </w:numPr>
              <w:tabs>
                <w:tab w:val="clear" w:pos="1440"/>
                <w:tab w:val="num" w:pos="432"/>
              </w:tabs>
              <w:ind w:left="432" w:hanging="270"/>
              <w:rPr>
                <w:lang w:val="de-DE"/>
              </w:rPr>
            </w:pPr>
            <w:r w:rsidRPr="00BB5519">
              <w:rPr>
                <w:rFonts w:ascii="Tahoma" w:hAnsi="Tahoma" w:cs="Tahoma"/>
                <w:sz w:val="18"/>
                <w:szCs w:val="18"/>
                <w:lang w:val="de-DE"/>
              </w:rPr>
              <w:t>Zuweisung geeigneter Ressourcen zur Aufrechterhaltung durchgehender Bemühungen während der Geschäftszeiten</w:t>
            </w:r>
            <w:r w:rsidRPr="00BB5519">
              <w:rPr>
                <w:rFonts w:ascii="Tahoma" w:hAnsi="Tahoma" w:cs="Tahoma"/>
                <w:sz w:val="18"/>
                <w:szCs w:val="18"/>
                <w:vertAlign w:val="superscript"/>
                <w:lang w:val="de-DE"/>
              </w:rPr>
              <w:t xml:space="preserve"> </w:t>
            </w:r>
          </w:p>
          <w:p w:rsidR="00023FE7" w:rsidRPr="00BB5519" w:rsidRDefault="00023FE7" w:rsidP="00A40651">
            <w:pPr>
              <w:pStyle w:val="AppendixBodyText"/>
              <w:keepNext/>
              <w:keepLines/>
              <w:numPr>
                <w:ilvl w:val="0"/>
                <w:numId w:val="2"/>
              </w:numPr>
              <w:tabs>
                <w:tab w:val="clear" w:pos="1440"/>
                <w:tab w:val="num" w:pos="432"/>
              </w:tabs>
              <w:ind w:left="432" w:hanging="274"/>
              <w:rPr>
                <w:rFonts w:ascii="Tahoma" w:hAnsi="Tahoma" w:cs="Tahoma"/>
                <w:sz w:val="18"/>
                <w:szCs w:val="18"/>
                <w:lang w:val="de-DE"/>
              </w:rPr>
            </w:pPr>
            <w:r w:rsidRPr="00BB5519">
              <w:rPr>
                <w:rFonts w:ascii="Tahoma" w:hAnsi="Tahoma" w:cs="Tahoma"/>
                <w:sz w:val="18"/>
                <w:szCs w:val="18"/>
                <w:lang w:val="de-DE"/>
              </w:rPr>
              <w:t>Zugriff und Reaktion von Änderungskontrollautorität innerhalb von 4 Geschäftsstunden</w:t>
            </w:r>
          </w:p>
        </w:tc>
      </w:tr>
      <w:tr w:rsidR="00023FE7" w:rsidRPr="00BB5519" w:rsidTr="003F26EA">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BB5519" w:rsidRDefault="00023FE7">
            <w:pPr>
              <w:pStyle w:val="AppendixBodyText"/>
              <w:rPr>
                <w:rFonts w:ascii="Tahoma" w:hAnsi="Tahoma" w:cs="Tahoma"/>
                <w:sz w:val="18"/>
                <w:szCs w:val="18"/>
                <w:lang w:val="de-DE"/>
              </w:rPr>
            </w:pPr>
            <w:r w:rsidRPr="00BB5519">
              <w:rPr>
                <w:rFonts w:ascii="Tahoma" w:hAnsi="Tahoma" w:cs="Tahoma"/>
                <w:sz w:val="18"/>
                <w:szCs w:val="18"/>
                <w:lang w:val="de-DE"/>
              </w:rPr>
              <w:t>C Einreichung per Telefon oder Web</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3F26EA">
            <w:pPr>
              <w:pStyle w:val="AppendixBodyText"/>
              <w:keepNext/>
              <w:keepLines/>
              <w:numPr>
                <w:ilvl w:val="0"/>
                <w:numId w:val="2"/>
              </w:numPr>
              <w:tabs>
                <w:tab w:val="clear" w:pos="1440"/>
                <w:tab w:val="num" w:pos="612"/>
              </w:tabs>
              <w:ind w:left="432"/>
              <w:rPr>
                <w:lang w:val="de-DE"/>
              </w:rPr>
            </w:pPr>
            <w:r w:rsidRPr="00BB5519">
              <w:rPr>
                <w:rFonts w:ascii="Tahoma" w:hAnsi="Tahoma" w:cs="Tahoma"/>
                <w:sz w:val="18"/>
                <w:szCs w:val="18"/>
                <w:lang w:val="de-DE"/>
              </w:rPr>
              <w:t xml:space="preserve">Minimale Auswirkungen auf das Geschäft: </w:t>
            </w:r>
          </w:p>
          <w:p w:rsidR="00023FE7" w:rsidRPr="00BB5519" w:rsidRDefault="00023FE7" w:rsidP="003F26EA">
            <w:pPr>
              <w:pStyle w:val="AppendixBodyText"/>
              <w:keepNext/>
              <w:keepLines/>
              <w:numPr>
                <w:ilvl w:val="0"/>
                <w:numId w:val="2"/>
              </w:numPr>
              <w:tabs>
                <w:tab w:val="clear" w:pos="1440"/>
                <w:tab w:val="num" w:pos="612"/>
              </w:tabs>
              <w:ind w:left="432"/>
              <w:rPr>
                <w:rFonts w:ascii="Tahoma" w:hAnsi="Tahoma" w:cs="Tahoma"/>
                <w:sz w:val="18"/>
                <w:szCs w:val="18"/>
                <w:lang w:val="de-DE"/>
              </w:rPr>
            </w:pPr>
            <w:r w:rsidRPr="00BB5519">
              <w:rPr>
                <w:rFonts w:ascii="Tahoma" w:hAnsi="Tahoma" w:cs="Tahoma"/>
                <w:sz w:val="18"/>
                <w:szCs w:val="18"/>
                <w:lang w:val="de-DE"/>
              </w:rPr>
              <w:t>Das Geschäft des Kunden ist im Wesentlichen funktionsfähig, mit</w:t>
            </w:r>
            <w:r w:rsidR="003F26EA">
              <w:rPr>
                <w:rFonts w:ascii="Tahoma" w:hAnsi="Tahoma" w:cs="Tahoma"/>
                <w:sz w:val="18"/>
                <w:szCs w:val="18"/>
                <w:lang w:val="de-DE"/>
              </w:rPr>
              <w:t> </w:t>
            </w:r>
            <w:r w:rsidRPr="00BB5519">
              <w:rPr>
                <w:rFonts w:ascii="Tahoma" w:hAnsi="Tahoma" w:cs="Tahoma"/>
                <w:sz w:val="18"/>
                <w:szCs w:val="18"/>
                <w:lang w:val="de-DE"/>
              </w:rPr>
              <w:t>geringen oder</w:t>
            </w:r>
            <w:r w:rsidR="003F26EA">
              <w:rPr>
                <w:rFonts w:ascii="Tahoma" w:hAnsi="Tahoma" w:cs="Tahoma"/>
                <w:sz w:val="18"/>
                <w:szCs w:val="18"/>
                <w:lang w:val="de-DE"/>
              </w:rPr>
              <w:t> </w:t>
            </w:r>
            <w:r w:rsidRPr="00BB5519">
              <w:rPr>
                <w:rFonts w:ascii="Tahoma" w:hAnsi="Tahoma" w:cs="Tahoma"/>
                <w:sz w:val="18"/>
                <w:szCs w:val="18"/>
                <w:lang w:val="de-DE"/>
              </w:rPr>
              <w:t>keinen Beeinträchtigungen von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27028A">
            <w:pPr>
              <w:pStyle w:val="AppendixBodyText"/>
              <w:numPr>
                <w:ilvl w:val="0"/>
                <w:numId w:val="2"/>
              </w:numPr>
              <w:tabs>
                <w:tab w:val="num" w:pos="522"/>
              </w:tabs>
              <w:ind w:left="522"/>
              <w:rPr>
                <w:lang w:val="de-DE"/>
              </w:rPr>
            </w:pPr>
            <w:r w:rsidRPr="00BB5519">
              <w:rPr>
                <w:rFonts w:ascii="Tahoma" w:hAnsi="Tahoma" w:cs="Tahoma"/>
                <w:sz w:val="18"/>
                <w:szCs w:val="18"/>
                <w:lang w:val="de-DE"/>
              </w:rPr>
              <w:t>1</w:t>
            </w:r>
            <w:r w:rsidRPr="00BB5519">
              <w:rPr>
                <w:rFonts w:ascii="Tahoma" w:hAnsi="Tahoma" w:cs="Tahoma"/>
                <w:sz w:val="18"/>
                <w:szCs w:val="18"/>
                <w:vertAlign w:val="superscript"/>
                <w:lang w:val="de-DE"/>
              </w:rPr>
              <w:t>.</w:t>
            </w:r>
            <w:r w:rsidRPr="00BB5519">
              <w:rPr>
                <w:rFonts w:ascii="Tahoma" w:hAnsi="Tahoma" w:cs="Tahoma"/>
                <w:sz w:val="18"/>
                <w:szCs w:val="18"/>
                <w:lang w:val="de-DE"/>
              </w:rPr>
              <w:t xml:space="preserve"> Reaktion auf Anruf innerhalb von einem Geschäftstag oder weniger, basierend auf dem Supportangebot</w:t>
            </w:r>
          </w:p>
          <w:p w:rsidR="00023FE7" w:rsidRPr="00BB5519" w:rsidRDefault="00023FE7" w:rsidP="0027028A">
            <w:pPr>
              <w:pStyle w:val="AppendixBodyText"/>
              <w:numPr>
                <w:ilvl w:val="0"/>
                <w:numId w:val="2"/>
              </w:numPr>
              <w:tabs>
                <w:tab w:val="num" w:pos="522"/>
              </w:tabs>
              <w:ind w:left="522"/>
            </w:pPr>
            <w:r w:rsidRPr="00BB5519">
              <w:rPr>
                <w:rFonts w:ascii="Tahoma" w:hAnsi="Tahoma" w:cs="Tahoma"/>
                <w:sz w:val="18"/>
                <w:szCs w:val="18"/>
              </w:rPr>
              <w:t xml:space="preserve">Bemühungen nur während der </w:t>
            </w:r>
            <w:r w:rsidRPr="00BB5519">
              <w:rPr>
                <w:rFonts w:ascii="Tahoma" w:hAnsi="Tahoma" w:cs="Tahoma"/>
                <w:bCs/>
                <w:sz w:val="18"/>
                <w:szCs w:val="18"/>
              </w:rPr>
              <w:t>Geschäftszeiten</w:t>
            </w:r>
          </w:p>
          <w:p w:rsidR="00023FE7" w:rsidRPr="00BB5519" w:rsidRDefault="00023FE7">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BB5519" w:rsidRDefault="00023FE7" w:rsidP="0027028A">
            <w:pPr>
              <w:pStyle w:val="AppendixBodyText"/>
              <w:numPr>
                <w:ilvl w:val="0"/>
                <w:numId w:val="2"/>
              </w:numPr>
              <w:tabs>
                <w:tab w:val="clear" w:pos="1440"/>
                <w:tab w:val="num" w:pos="432"/>
              </w:tabs>
              <w:ind w:left="432"/>
            </w:pPr>
            <w:r w:rsidRPr="00BB5519">
              <w:rPr>
                <w:rFonts w:ascii="Tahoma" w:hAnsi="Tahoma" w:cs="Tahoma"/>
                <w:sz w:val="18"/>
                <w:szCs w:val="18"/>
              </w:rPr>
              <w:t>Genaue Kontaktinformationen zum Fallinhaber</w:t>
            </w:r>
          </w:p>
          <w:p w:rsidR="00023FE7" w:rsidRPr="00BB5519" w:rsidRDefault="00023FE7" w:rsidP="0027028A">
            <w:pPr>
              <w:pStyle w:val="AppendixBodyText"/>
              <w:numPr>
                <w:ilvl w:val="0"/>
                <w:numId w:val="2"/>
              </w:numPr>
              <w:tabs>
                <w:tab w:val="clear" w:pos="1440"/>
                <w:tab w:val="num" w:pos="432"/>
              </w:tabs>
              <w:ind w:left="432"/>
              <w:rPr>
                <w:rFonts w:ascii="Tahoma" w:hAnsi="Tahoma" w:cs="Tahoma"/>
                <w:sz w:val="18"/>
                <w:szCs w:val="18"/>
              </w:rPr>
            </w:pPr>
            <w:r w:rsidRPr="00BB5519">
              <w:rPr>
                <w:rFonts w:ascii="Tahoma" w:hAnsi="Tahoma" w:cs="Tahoma"/>
                <w:sz w:val="18"/>
                <w:szCs w:val="18"/>
              </w:rPr>
              <w:t>Reaktion innerhalb eines Geschäftstages</w:t>
            </w:r>
          </w:p>
        </w:tc>
      </w:tr>
    </w:tbl>
    <w:p w:rsidR="00023FE7" w:rsidRPr="00BB5519" w:rsidRDefault="00023FE7" w:rsidP="00A40651">
      <w:pPr>
        <w:pStyle w:val="AppendixBodyText"/>
        <w:spacing w:before="20"/>
        <w:ind w:left="86" w:right="2160"/>
        <w:rPr>
          <w:lang w:val="de-DE"/>
        </w:rPr>
      </w:pPr>
      <w:r w:rsidRPr="00D244F0">
        <w:rPr>
          <w:rFonts w:ascii="Tahoma" w:hAnsi="Tahoma" w:cs="Tahoma"/>
          <w:i/>
          <w:sz w:val="16"/>
          <w:szCs w:val="16"/>
          <w:vertAlign w:val="superscript"/>
          <w:lang w:val="de-DE"/>
        </w:rPr>
        <w:t>1</w:t>
      </w:r>
      <w:r w:rsidRPr="00BB5519">
        <w:rPr>
          <w:rFonts w:ascii="Tahoma" w:hAnsi="Tahoma" w:cs="Tahoma"/>
          <w:i/>
          <w:sz w:val="16"/>
          <w:szCs w:val="16"/>
          <w:lang w:val="de-DE"/>
        </w:rPr>
        <w:t xml:space="preserve"> Wenden Sie sich bezüglich der örtlichen Geschäftszeiten an Ihren Microsoft-Vertreter.</w:t>
      </w:r>
    </w:p>
    <w:p w:rsidR="00023FE7" w:rsidRPr="00BB5519" w:rsidRDefault="00023FE7">
      <w:pPr>
        <w:pStyle w:val="AppendixBodyText"/>
        <w:ind w:left="90" w:right="2160"/>
        <w:rPr>
          <w:lang w:val="de-DE"/>
        </w:rPr>
      </w:pPr>
      <w:r w:rsidRPr="00D244F0">
        <w:rPr>
          <w:rFonts w:ascii="Tahoma" w:hAnsi="Tahoma" w:cs="Tahoma"/>
          <w:i/>
          <w:sz w:val="16"/>
          <w:szCs w:val="16"/>
          <w:vertAlign w:val="superscript"/>
          <w:lang w:val="de-DE"/>
        </w:rPr>
        <w:t>2</w:t>
      </w:r>
      <w:r w:rsidRPr="00BB5519">
        <w:rPr>
          <w:rFonts w:ascii="Tahoma" w:hAnsi="Tahoma" w:cs="Tahoma"/>
          <w:i/>
          <w:sz w:val="16"/>
          <w:szCs w:val="16"/>
          <w:lang w:val="de-DE"/>
        </w:rPr>
        <w:t xml:space="preserve"> Möglicherweise müssen wir den Schweregrad herunterstufen, falls der Kunde nicht in der Lage ist, angemessene Ressourcen oder Reaktionen bereitzustellen, um uns die Fortsetzung der Bemühungen zur Problembehebung zu ermöglichen.</w:t>
      </w:r>
    </w:p>
    <w:p w:rsidR="00023FE7" w:rsidRPr="00BB5519" w:rsidRDefault="00023FE7" w:rsidP="00F42FB8">
      <w:pPr>
        <w:pStyle w:val="AppendixBodyText"/>
        <w:spacing w:after="0"/>
        <w:ind w:right="2160"/>
        <w:rPr>
          <w:lang w:val="de-DE"/>
        </w:rPr>
      </w:pPr>
    </w:p>
    <w:p w:rsidR="00023FE7" w:rsidRPr="00BB5519" w:rsidRDefault="00023FE7" w:rsidP="00A62B4F">
      <w:pPr>
        <w:pStyle w:val="AppendixBodyText"/>
        <w:spacing w:after="0"/>
        <w:rPr>
          <w:lang w:val="de-DE"/>
        </w:rPr>
      </w:pPr>
      <w:r w:rsidRPr="00BB5519">
        <w:rPr>
          <w:rFonts w:ascii="Tahoma" w:hAnsi="Tahoma" w:cs="Tahoma"/>
          <w:bCs/>
          <w:sz w:val="18"/>
          <w:szCs w:val="18"/>
          <w:lang w:val="de-DE"/>
        </w:rPr>
        <w:t>Möglicherweise müssen die Kunden Aktivitäten zur Problembestimmung und -behebung ausführen, die von</w:t>
      </w:r>
      <w:r w:rsidR="00A62B4F">
        <w:rPr>
          <w:rFonts w:ascii="Tahoma" w:hAnsi="Tahoma" w:cs="Tahoma"/>
          <w:bCs/>
          <w:sz w:val="18"/>
          <w:szCs w:val="18"/>
          <w:lang w:val="de-DE"/>
        </w:rPr>
        <w:t> </w:t>
      </w:r>
      <w:r w:rsidRPr="00BB5519">
        <w:rPr>
          <w:rFonts w:ascii="Tahoma" w:hAnsi="Tahoma" w:cs="Tahoma"/>
          <w:bCs/>
          <w:sz w:val="18"/>
          <w:szCs w:val="18"/>
          <w:lang w:val="de-DE"/>
        </w:rPr>
        <w:t>uns</w:t>
      </w:r>
      <w:r w:rsidR="00A40651">
        <w:rPr>
          <w:rFonts w:ascii="Tahoma" w:hAnsi="Tahoma" w:cs="Tahoma"/>
          <w:bCs/>
          <w:sz w:val="18"/>
          <w:szCs w:val="18"/>
          <w:lang w:val="de-DE"/>
        </w:rPr>
        <w:t> </w:t>
      </w:r>
      <w:r w:rsidRPr="00BB5519">
        <w:rPr>
          <w:rFonts w:ascii="Tahoma" w:hAnsi="Tahoma" w:cs="Tahoma"/>
          <w:bCs/>
          <w:sz w:val="18"/>
          <w:szCs w:val="18"/>
          <w:lang w:val="de-DE"/>
        </w:rPr>
        <w:t>verlangt werden.</w:t>
      </w:r>
      <w:r w:rsidR="009E4976" w:rsidRPr="00BB5519">
        <w:rPr>
          <w:rFonts w:ascii="Tahoma" w:hAnsi="Tahoma" w:cs="Tahoma"/>
          <w:bCs/>
          <w:sz w:val="18"/>
          <w:szCs w:val="18"/>
          <w:lang w:val="de-DE"/>
        </w:rPr>
        <w:t xml:space="preserve"> </w:t>
      </w:r>
      <w:r w:rsidRPr="00BB5519">
        <w:rPr>
          <w:rFonts w:ascii="Tahoma" w:hAnsi="Tahoma" w:cs="Tahoma"/>
          <w:bCs/>
          <w:sz w:val="18"/>
          <w:szCs w:val="18"/>
          <w:lang w:val="de-DE"/>
        </w:rPr>
        <w:t>Aktivitäten zur Problembestimmung und -behebung können das Ausführen von Netzwerkverfolgungen, das Erfassen von Fehlermeldungen, das Sammeln von Konfigurationsinformationen, das</w:t>
      </w:r>
      <w:r w:rsidR="00A62B4F">
        <w:rPr>
          <w:rFonts w:ascii="Tahoma" w:hAnsi="Tahoma" w:cs="Tahoma"/>
          <w:bCs/>
          <w:sz w:val="18"/>
          <w:szCs w:val="18"/>
          <w:lang w:val="de-DE"/>
        </w:rPr>
        <w:t> </w:t>
      </w:r>
      <w:r w:rsidRPr="00BB5519">
        <w:rPr>
          <w:rFonts w:ascii="Tahoma" w:hAnsi="Tahoma" w:cs="Tahoma"/>
          <w:bCs/>
          <w:sz w:val="18"/>
          <w:szCs w:val="18"/>
          <w:lang w:val="de-DE"/>
        </w:rPr>
        <w:t>Ändern von Produktkonfigurationen, das Installieren neuer Softwareversionen oder neuer Komponenten oder das</w:t>
      </w:r>
      <w:r w:rsidR="00A62B4F">
        <w:rPr>
          <w:rFonts w:ascii="Tahoma" w:hAnsi="Tahoma" w:cs="Tahoma"/>
          <w:bCs/>
          <w:sz w:val="18"/>
          <w:szCs w:val="18"/>
          <w:lang w:val="de-DE"/>
        </w:rPr>
        <w:t> </w:t>
      </w:r>
      <w:r w:rsidRPr="00BB5519">
        <w:rPr>
          <w:rFonts w:ascii="Tahoma" w:hAnsi="Tahoma" w:cs="Tahoma"/>
          <w:bCs/>
          <w:sz w:val="18"/>
          <w:szCs w:val="18"/>
          <w:lang w:val="de-DE"/>
        </w:rPr>
        <w:t xml:space="preserve">Ändern von Prozessen umfassen. </w:t>
      </w:r>
    </w:p>
    <w:p w:rsidR="00077CE5" w:rsidRPr="00BB5519" w:rsidRDefault="00077CE5" w:rsidP="00F42FB8">
      <w:pPr>
        <w:pStyle w:val="AppendixBodyText"/>
        <w:spacing w:after="0"/>
        <w:rPr>
          <w:lang w:val="de-DE"/>
        </w:rPr>
      </w:pPr>
    </w:p>
    <w:p w:rsidR="00023FE7" w:rsidRPr="00BB5519" w:rsidRDefault="00023FE7" w:rsidP="00F42FB8">
      <w:pPr>
        <w:pStyle w:val="AppendixBodyText"/>
        <w:spacing w:after="0"/>
        <w:rPr>
          <w:lang w:val="de-DE"/>
        </w:rPr>
      </w:pPr>
      <w:r w:rsidRPr="00BB5519">
        <w:rPr>
          <w:rFonts w:ascii="Tahoma" w:hAnsi="Tahoma" w:cs="Tahoma"/>
          <w:bCs/>
          <w:sz w:val="18"/>
          <w:szCs w:val="18"/>
          <w:lang w:val="de-DE"/>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rsidR="00077CE5" w:rsidRPr="00BB5519" w:rsidRDefault="00077CE5" w:rsidP="00F42FB8">
      <w:pPr>
        <w:pStyle w:val="AppendixBodyText"/>
        <w:spacing w:after="0"/>
        <w:rPr>
          <w:lang w:val="de-DE"/>
        </w:rPr>
      </w:pPr>
    </w:p>
    <w:p w:rsidR="00023FE7" w:rsidRPr="00BB5519" w:rsidRDefault="00023FE7" w:rsidP="00A40651">
      <w:pPr>
        <w:pStyle w:val="AppendixBodyText"/>
        <w:spacing w:after="0"/>
        <w:rPr>
          <w:lang w:val="de-DE"/>
        </w:rPr>
      </w:pPr>
      <w:r w:rsidRPr="00BB5519">
        <w:rPr>
          <w:rFonts w:ascii="Tahoma" w:hAnsi="Tahoma" w:cs="Tahoma"/>
          <w:bCs/>
          <w:sz w:val="18"/>
          <w:szCs w:val="18"/>
          <w:lang w:val="de-DE"/>
        </w:rPr>
        <w:t>Diese Supportvergünstigung ist an die SA-Investition geknüpft, nicht an die Version. Kunden können die neueste Version erwerben, um eine ältere Version mit Downgraderechten zu nutzen, haben jedoch nur Anspruch auf Support</w:t>
      </w:r>
      <w:r w:rsidR="00A40651">
        <w:rPr>
          <w:rFonts w:ascii="Tahoma" w:hAnsi="Tahoma" w:cs="Tahoma"/>
          <w:bCs/>
          <w:sz w:val="18"/>
          <w:szCs w:val="18"/>
          <w:lang w:val="de-DE"/>
        </w:rPr>
        <w:t> </w:t>
      </w:r>
      <w:r w:rsidRPr="00BB5519">
        <w:rPr>
          <w:rFonts w:ascii="Tahoma" w:hAnsi="Tahoma" w:cs="Tahoma"/>
          <w:bCs/>
          <w:sz w:val="18"/>
          <w:szCs w:val="18"/>
          <w:lang w:val="de-DE"/>
        </w:rPr>
        <w:t>für dieses Produkt, wenn es als unterstütztes Produkt auf der Microsoft-Produktlebenszyklus-Website aufgeführt ist.</w:t>
      </w:r>
      <w:r w:rsidR="009E4976" w:rsidRPr="00BB5519">
        <w:rPr>
          <w:rFonts w:ascii="Tahoma" w:hAnsi="Tahoma" w:cs="Tahoma"/>
          <w:bCs/>
          <w:sz w:val="18"/>
          <w:szCs w:val="18"/>
          <w:lang w:val="de-DE"/>
        </w:rPr>
        <w:t xml:space="preserve"> </w:t>
      </w:r>
      <w:r w:rsidRPr="00BB5519">
        <w:rPr>
          <w:rFonts w:ascii="Tahoma" w:hAnsi="Tahoma" w:cs="Tahoma"/>
          <w:bCs/>
          <w:sz w:val="18"/>
          <w:szCs w:val="18"/>
          <w:lang w:val="de-DE"/>
        </w:rPr>
        <w:t xml:space="preserve">Die aktuelle Microsoft-Produktlebenszyklus-Website befindet sich unter </w:t>
      </w:r>
      <w:hyperlink r:id="rId29" w:history="1">
        <w:r w:rsidRPr="00BB5519">
          <w:rPr>
            <w:rStyle w:val="Hyperlink"/>
            <w:rFonts w:ascii="Tahoma" w:hAnsi="Tahoma" w:cs="Tahoma"/>
            <w:bCs/>
            <w:sz w:val="18"/>
            <w:szCs w:val="18"/>
            <w:lang w:val="de-DE"/>
          </w:rPr>
          <w:t>http://support.microsoft.com/common/international.aspx?rdpath=dm;en-us;lifecycle</w:t>
        </w:r>
      </w:hyperlink>
      <w:r w:rsidRPr="00BB5519">
        <w:rPr>
          <w:rFonts w:ascii="Tahoma" w:hAnsi="Tahoma" w:cs="Tahoma"/>
          <w:bCs/>
          <w:sz w:val="18"/>
          <w:szCs w:val="18"/>
          <w:lang w:val="de-DE"/>
        </w:rPr>
        <w:t xml:space="preserve">. </w:t>
      </w:r>
    </w:p>
    <w:p w:rsidR="00023FE7" w:rsidRPr="00BB5519" w:rsidRDefault="00023FE7" w:rsidP="00F42FB8">
      <w:pPr>
        <w:pStyle w:val="AppendixBodyText"/>
        <w:spacing w:after="0"/>
        <w:rPr>
          <w:lang w:val="de-DE"/>
        </w:rPr>
      </w:pPr>
    </w:p>
    <w:p w:rsidR="00077CE5" w:rsidRPr="00BB5519" w:rsidRDefault="00AF539A" w:rsidP="000E3562">
      <w:pPr>
        <w:pStyle w:val="AppendixBodyText"/>
        <w:keepNext/>
        <w:keepLines/>
        <w:rPr>
          <w:lang w:val="de-DE"/>
        </w:rPr>
      </w:pPr>
      <w:r w:rsidRPr="00BB5519">
        <w:rPr>
          <w:rFonts w:ascii="Tahoma" w:hAnsi="Tahoma" w:cs="Tahoma"/>
          <w:b/>
          <w:bCs/>
          <w:color w:val="000000"/>
          <w:sz w:val="18"/>
          <w:szCs w:val="18"/>
          <w:lang w:val="de-DE"/>
        </w:rPr>
        <w:t>Umwandlung von Software Assurance-24x7-Problembehebungssupport-Anfragen in Premier-Supportleistungen</w:t>
      </w:r>
    </w:p>
    <w:p w:rsidR="00077CE5" w:rsidRPr="00BB5519" w:rsidRDefault="00AF539A" w:rsidP="008113AB">
      <w:pPr>
        <w:pStyle w:val="AppendixBodyText"/>
        <w:spacing w:after="0"/>
        <w:rPr>
          <w:lang w:val="de-DE"/>
        </w:rPr>
      </w:pPr>
      <w:r w:rsidRPr="00BB5519">
        <w:rPr>
          <w:rFonts w:ascii="Tahoma" w:hAnsi="Tahoma" w:cs="Tahoma"/>
          <w:color w:val="000000"/>
          <w:sz w:val="18"/>
          <w:szCs w:val="18"/>
          <w:lang w:val="de-DE"/>
        </w:rPr>
        <w:t>Kunden können sich dafür entscheiden, Software Assurance-24x7-Problembehebungssupport-Anfragen umzuwandeln</w:t>
      </w:r>
      <w:r w:rsidR="008113AB">
        <w:rPr>
          <w:rFonts w:ascii="Tahoma" w:hAnsi="Tahoma" w:cs="Tahoma"/>
          <w:color w:val="000000"/>
          <w:sz w:val="18"/>
          <w:szCs w:val="18"/>
          <w:lang w:val="de-DE"/>
        </w:rPr>
        <w:t> </w:t>
      </w:r>
      <w:r w:rsidRPr="00BB5519">
        <w:rPr>
          <w:rFonts w:ascii="Tahoma" w:hAnsi="Tahoma" w:cs="Tahoma"/>
          <w:color w:val="000000"/>
          <w:sz w:val="18"/>
          <w:szCs w:val="18"/>
          <w:lang w:val="de-DE"/>
        </w:rPr>
        <w:t>in:</w:t>
      </w:r>
    </w:p>
    <w:p w:rsidR="00077CE5" w:rsidRPr="00A62B4F" w:rsidRDefault="00077CE5" w:rsidP="00DA2788">
      <w:pPr>
        <w:pStyle w:val="AppendixBodyText"/>
        <w:spacing w:after="0"/>
        <w:rPr>
          <w:rFonts w:ascii="Tahoma" w:hAnsi="Tahoma" w:cs="Tahoma"/>
          <w:sz w:val="18"/>
          <w:szCs w:val="18"/>
          <w:lang w:val="de-DE"/>
        </w:rPr>
      </w:pPr>
    </w:p>
    <w:p w:rsidR="00AF539A" w:rsidRPr="00BB5519" w:rsidRDefault="00AF539A" w:rsidP="001C20C9">
      <w:pPr>
        <w:pStyle w:val="AppendixBodyText"/>
        <w:numPr>
          <w:ilvl w:val="0"/>
          <w:numId w:val="31"/>
        </w:numPr>
        <w:tabs>
          <w:tab w:val="left" w:pos="1440"/>
        </w:tabs>
        <w:ind w:left="1440"/>
      </w:pPr>
      <w:r w:rsidRPr="00BB5519">
        <w:rPr>
          <w:rFonts w:ascii="Tahoma" w:hAnsi="Tahoma" w:cs="Tahoma"/>
          <w:color w:val="000000"/>
          <w:sz w:val="18"/>
          <w:szCs w:val="18"/>
        </w:rPr>
        <w:t>Premier-Problembehebungssupport-Stunden</w:t>
      </w:r>
    </w:p>
    <w:p w:rsidR="00AF539A" w:rsidRPr="00BB5519" w:rsidRDefault="00AF539A" w:rsidP="001C20C9">
      <w:pPr>
        <w:pStyle w:val="AppendixBodyText"/>
        <w:numPr>
          <w:ilvl w:val="0"/>
          <w:numId w:val="31"/>
        </w:numPr>
        <w:tabs>
          <w:tab w:val="left" w:pos="1440"/>
        </w:tabs>
        <w:ind w:left="1440"/>
      </w:pPr>
      <w:r w:rsidRPr="00BB5519">
        <w:rPr>
          <w:rFonts w:ascii="Tahoma" w:hAnsi="Tahoma" w:cs="Tahoma"/>
          <w:color w:val="000000"/>
          <w:sz w:val="18"/>
          <w:szCs w:val="18"/>
        </w:rPr>
        <w:t>Dedicated Support Engineer (DSE)-Stunden</w:t>
      </w:r>
    </w:p>
    <w:p w:rsidR="00AF539A" w:rsidRPr="00BB5519" w:rsidRDefault="00AF539A" w:rsidP="00A62B4F">
      <w:pPr>
        <w:ind w:right="-180"/>
        <w:rPr>
          <w:lang w:val="de-DE"/>
        </w:rPr>
      </w:pPr>
      <w:r w:rsidRPr="00BB5519">
        <w:rPr>
          <w:rFonts w:cs="Tahoma"/>
          <w:color w:val="000000"/>
          <w:szCs w:val="18"/>
          <w:lang w:val="de-DE"/>
        </w:rPr>
        <w:lastRenderedPageBreak/>
        <w:t>Diese Services sind zur Nutzung in Übereinstimmung mit ihrem Premier-Serviceplan zum Zeitpunkt der Übertragung</w:t>
      </w:r>
      <w:r w:rsidR="00A62B4F">
        <w:rPr>
          <w:rFonts w:cs="Tahoma"/>
          <w:color w:val="000000"/>
          <w:szCs w:val="18"/>
          <w:lang w:val="de-DE"/>
        </w:rPr>
        <w:t> </w:t>
      </w:r>
      <w:r w:rsidRPr="00BB5519">
        <w:rPr>
          <w:rFonts w:cs="Tahoma"/>
          <w:color w:val="000000"/>
          <w:szCs w:val="18"/>
          <w:lang w:val="de-DE"/>
        </w:rPr>
        <w:t xml:space="preserve">bestimmt. Die Umwandlung basiert auf einer Berechnung des örtlichen Tarifs, die von ihrem </w:t>
      </w:r>
      <w:r w:rsidR="00A62B4F">
        <w:rPr>
          <w:rFonts w:cs="Tahoma"/>
          <w:color w:val="000000"/>
          <w:szCs w:val="18"/>
          <w:lang w:val="de-DE"/>
        </w:rPr>
        <w:br/>
      </w:r>
      <w:r w:rsidRPr="00BB5519">
        <w:rPr>
          <w:rFonts w:cs="Tahoma"/>
          <w:color w:val="000000"/>
          <w:szCs w:val="18"/>
          <w:lang w:val="de-DE"/>
        </w:rPr>
        <w:t>Premier-Kundenteam bereitgestellt wird.</w:t>
      </w:r>
      <w:r w:rsidR="009E4976" w:rsidRPr="00BB5519">
        <w:rPr>
          <w:rFonts w:cs="Tahoma"/>
          <w:color w:val="000000"/>
          <w:szCs w:val="18"/>
          <w:lang w:val="de-DE"/>
        </w:rPr>
        <w:t xml:space="preserve"> </w:t>
      </w:r>
      <w:r w:rsidRPr="00BB5519">
        <w:rPr>
          <w:rFonts w:cs="Tahoma"/>
          <w:color w:val="000000"/>
          <w:szCs w:val="18"/>
          <w:lang w:val="de-DE"/>
        </w:rPr>
        <w:t>Möglicherweise müssen die Kunden vor der Umwandlung von Software Assurance-24x7-Problembehebungssupport-Stunden zusätzliche Supportaccountverwaltungs-Stunden erwerben.</w:t>
      </w:r>
      <w:r w:rsidR="009E4976" w:rsidRPr="00BB5519">
        <w:rPr>
          <w:rFonts w:cs="Tahoma"/>
          <w:color w:val="000000"/>
          <w:szCs w:val="18"/>
          <w:lang w:val="de-DE"/>
        </w:rPr>
        <w:t xml:space="preserve"> </w:t>
      </w:r>
      <w:r w:rsidR="00A62B4F">
        <w:rPr>
          <w:rFonts w:cs="Tahoma"/>
          <w:color w:val="000000"/>
          <w:szCs w:val="18"/>
          <w:lang w:val="de-DE"/>
        </w:rPr>
        <w:br/>
      </w:r>
      <w:r w:rsidRPr="00BB5519">
        <w:rPr>
          <w:rFonts w:cs="Tahoma"/>
          <w:color w:val="000000"/>
          <w:szCs w:val="18"/>
          <w:lang w:val="de-DE"/>
        </w:rPr>
        <w:t>SA-24x7-Problembehebungssupport-Anfragen, die in Premier umgewandelt werden, gelten als Premier-Problembehebungssupport-Stunden und unterliegen der Premier-Services-Beschreibung.</w:t>
      </w:r>
      <w:r w:rsidR="009E4976" w:rsidRPr="00BB5519">
        <w:rPr>
          <w:rFonts w:cs="Tahoma"/>
          <w:color w:val="000000"/>
          <w:szCs w:val="18"/>
          <w:lang w:val="de-DE"/>
        </w:rPr>
        <w:t xml:space="preserve"> </w:t>
      </w:r>
      <w:r w:rsidRPr="00BB5519">
        <w:rPr>
          <w:rFonts w:cs="Tahoma"/>
          <w:color w:val="000000"/>
          <w:szCs w:val="18"/>
          <w:lang w:val="de-DE"/>
        </w:rPr>
        <w:t>Nach der Umwandlung</w:t>
      </w:r>
      <w:r w:rsidR="00A62B4F">
        <w:rPr>
          <w:rFonts w:cs="Tahoma"/>
          <w:color w:val="000000"/>
          <w:szCs w:val="18"/>
          <w:lang w:val="de-DE"/>
        </w:rPr>
        <w:t> </w:t>
      </w:r>
      <w:r w:rsidRPr="00BB5519">
        <w:rPr>
          <w:rFonts w:cs="Tahoma"/>
          <w:color w:val="000000"/>
          <w:szCs w:val="18"/>
          <w:lang w:val="de-DE"/>
        </w:rPr>
        <w:t>können</w:t>
      </w:r>
      <w:r w:rsidR="00A40651">
        <w:rPr>
          <w:rFonts w:cs="Tahoma"/>
          <w:color w:val="000000"/>
          <w:szCs w:val="18"/>
          <w:lang w:val="de-DE"/>
        </w:rPr>
        <w:t> </w:t>
      </w:r>
      <w:r w:rsidRPr="00BB5519">
        <w:rPr>
          <w:rFonts w:cs="Tahoma"/>
          <w:color w:val="000000"/>
          <w:szCs w:val="18"/>
          <w:lang w:val="de-DE"/>
        </w:rPr>
        <w:t>Fälle nicht in die SA-Zuteilung eines Kunden zurückgeführt werden.</w:t>
      </w:r>
    </w:p>
    <w:p w:rsidR="00A62B4F" w:rsidRPr="00D15040" w:rsidRDefault="00A62B4F" w:rsidP="00A62B4F">
      <w:pPr>
        <w:pStyle w:val="AppendixBodyText"/>
        <w:spacing w:after="0"/>
        <w:rPr>
          <w:rFonts w:ascii="Tahoma" w:hAnsi="Tahoma" w:cs="Tahoma"/>
          <w:sz w:val="18"/>
          <w:szCs w:val="18"/>
          <w:lang w:val="de-DE"/>
        </w:rPr>
      </w:pPr>
    </w:p>
    <w:p w:rsidR="00077CE5" w:rsidRPr="00A62B4F" w:rsidRDefault="00077CE5" w:rsidP="00DA2788">
      <w:pPr>
        <w:pStyle w:val="AppendixBodyText"/>
        <w:rPr>
          <w:rFonts w:ascii="Tahoma" w:hAnsi="Tahoma" w:cs="Tahoma"/>
          <w:b/>
          <w:color w:val="000000"/>
          <w:sz w:val="18"/>
          <w:lang w:val="de-DE"/>
        </w:rPr>
      </w:pPr>
      <w:r w:rsidRPr="00A62B4F">
        <w:rPr>
          <w:rFonts w:ascii="Tahoma" w:hAnsi="Tahoma" w:cs="Tahoma"/>
          <w:b/>
          <w:color w:val="000000"/>
          <w:sz w:val="18"/>
          <w:lang w:val="de-DE"/>
        </w:rPr>
        <w:t>Zusätzliche Geschäftsbestimmungen</w:t>
      </w:r>
    </w:p>
    <w:p w:rsidR="00023FE7" w:rsidRPr="00BB5519" w:rsidRDefault="00023FE7" w:rsidP="00A62B4F">
      <w:pPr>
        <w:pStyle w:val="AppendixBodyText"/>
        <w:spacing w:after="0"/>
        <w:rPr>
          <w:lang w:val="de-DE"/>
        </w:rPr>
      </w:pPr>
      <w:r w:rsidRPr="00BB5519">
        <w:rPr>
          <w:rFonts w:ascii="Tahoma" w:hAnsi="Tahoma" w:cs="Tahoma"/>
          <w:sz w:val="18"/>
          <w:szCs w:val="18"/>
          <w:lang w:val="de-DE"/>
        </w:rPr>
        <w:t>SA-Ausgaben können nicht über Select- oder Konzernbeitritte, Select Plus-Registrierungen oder Open Value-Verträge</w:t>
      </w:r>
      <w:r w:rsidR="00A62B4F">
        <w:rPr>
          <w:rFonts w:ascii="Tahoma" w:hAnsi="Tahoma" w:cs="Tahoma"/>
          <w:sz w:val="18"/>
          <w:szCs w:val="18"/>
          <w:lang w:val="de-DE"/>
        </w:rPr>
        <w:t> </w:t>
      </w:r>
      <w:r w:rsidRPr="00BB5519">
        <w:rPr>
          <w:rFonts w:ascii="Tahoma" w:hAnsi="Tahoma" w:cs="Tahoma"/>
          <w:sz w:val="18"/>
          <w:szCs w:val="18"/>
          <w:lang w:val="de-DE"/>
        </w:rPr>
        <w:t>zur Qualifizierung für zusätzliche Gewährungen kombiniert werden.</w:t>
      </w:r>
      <w:r w:rsidR="009E4976" w:rsidRPr="00BB5519">
        <w:rPr>
          <w:rFonts w:ascii="Tahoma" w:hAnsi="Tahoma" w:cs="Tahoma"/>
          <w:sz w:val="18"/>
          <w:szCs w:val="18"/>
          <w:lang w:val="de-DE"/>
        </w:rPr>
        <w:t xml:space="preserve"> </w:t>
      </w:r>
      <w:r w:rsidRPr="00BB5519">
        <w:rPr>
          <w:rFonts w:ascii="Tahoma" w:hAnsi="Tahoma" w:cs="Tahoma"/>
          <w:sz w:val="18"/>
          <w:szCs w:val="18"/>
          <w:lang w:val="de-DE"/>
        </w:rPr>
        <w:t>Die Ausgaben innerhalb jedes Beitritts oder Vertrages werden zur Bestimmung der Gewährung für den betreffenden Beitritt oder Vertrag verwendet.</w:t>
      </w:r>
    </w:p>
    <w:p w:rsidR="00A62B4F" w:rsidRPr="00D15040" w:rsidRDefault="00A62B4F" w:rsidP="00A62B4F">
      <w:pPr>
        <w:pStyle w:val="AppendixBodyText"/>
        <w:spacing w:after="0"/>
        <w:rPr>
          <w:rFonts w:ascii="Tahoma" w:hAnsi="Tahoma" w:cs="Tahoma"/>
          <w:sz w:val="18"/>
          <w:szCs w:val="18"/>
          <w:lang w:val="de-DE"/>
        </w:rPr>
      </w:pPr>
    </w:p>
    <w:p w:rsidR="00023FE7" w:rsidRPr="00BB5519" w:rsidRDefault="00023FE7" w:rsidP="00F42FB8">
      <w:pPr>
        <w:pStyle w:val="AppendixBodyText"/>
        <w:tabs>
          <w:tab w:val="left" w:pos="1440"/>
        </w:tabs>
        <w:spacing w:after="0"/>
        <w:rPr>
          <w:lang w:val="de-DE"/>
        </w:rPr>
      </w:pPr>
      <w:r w:rsidRPr="00BB5519">
        <w:rPr>
          <w:rFonts w:ascii="Tahoma" w:hAnsi="Tahoma" w:cs="Tahoma"/>
          <w:sz w:val="18"/>
          <w:szCs w:val="18"/>
          <w:lang w:val="de-DE"/>
        </w:rPr>
        <w:t>Eine Verringerung d</w:t>
      </w:r>
      <w:r w:rsidRPr="00BB5519">
        <w:rPr>
          <w:rFonts w:ascii="Tahoma" w:hAnsi="Tahoma" w:cs="Tahoma"/>
          <w:bCs/>
          <w:sz w:val="18"/>
          <w:szCs w:val="18"/>
          <w:lang w:val="de-DE"/>
        </w:rPr>
        <w:t>er</w:t>
      </w:r>
      <w:r w:rsidRPr="00BB5519">
        <w:rPr>
          <w:rFonts w:ascii="Tahoma" w:hAnsi="Tahoma" w:cs="Tahoma"/>
          <w:sz w:val="18"/>
          <w:szCs w:val="18"/>
          <w:lang w:val="de-DE"/>
        </w:rPr>
        <w:t xml:space="preserve"> SA-Ausgaben infolge von Rückgaben und anderen Abrechnungsanpassungen,</w:t>
      </w:r>
      <w:r w:rsidRPr="00BB5519">
        <w:rPr>
          <w:rFonts w:ascii="Tahoma" w:hAnsi="Tahoma" w:cs="Tahoma"/>
          <w:bCs/>
          <w:sz w:val="18"/>
          <w:szCs w:val="18"/>
          <w:lang w:val="de-DE"/>
        </w:rPr>
        <w:t>,</w:t>
      </w:r>
      <w:r w:rsidRPr="00BB5519">
        <w:rPr>
          <w:rFonts w:ascii="Tahoma" w:hAnsi="Tahoma" w:cs="Tahoma"/>
          <w:sz w:val="18"/>
          <w:szCs w:val="18"/>
          <w:lang w:val="de-DE"/>
        </w:rPr>
        <w:t xml:space="preserve"> sofern zulässig, </w:t>
      </w:r>
      <w:r w:rsidRPr="00BB5519">
        <w:rPr>
          <w:rFonts w:ascii="Tahoma" w:hAnsi="Tahoma" w:cs="Tahoma"/>
          <w:bCs/>
          <w:sz w:val="18"/>
          <w:szCs w:val="18"/>
          <w:lang w:val="de-DE"/>
        </w:rPr>
        <w:t>kann</w:t>
      </w:r>
      <w:r w:rsidRPr="00BB5519">
        <w:rPr>
          <w:rFonts w:ascii="Tahoma" w:hAnsi="Tahoma" w:cs="Tahoma"/>
          <w:sz w:val="18"/>
          <w:szCs w:val="18"/>
          <w:lang w:val="de-DE"/>
        </w:rPr>
        <w:t xml:space="preserve"> zum Verlust der Support-Berechtigung oder von gewährten telefonischen Supportanfragen während des aktuellen Gewährungszeitraums oder künftiger Gewährungszeiträume führen. </w:t>
      </w:r>
    </w:p>
    <w:p w:rsidR="00A62B4F" w:rsidRPr="00D15040" w:rsidRDefault="00A62B4F" w:rsidP="00A62B4F">
      <w:pPr>
        <w:pStyle w:val="AppendixBodyText"/>
        <w:spacing w:after="0"/>
        <w:rPr>
          <w:rFonts w:ascii="Tahoma" w:hAnsi="Tahoma" w:cs="Tahoma"/>
          <w:sz w:val="18"/>
          <w:szCs w:val="18"/>
          <w:lang w:val="de-DE"/>
        </w:rPr>
      </w:pPr>
      <w:bookmarkStart w:id="808" w:name="_Toc336338237"/>
    </w:p>
    <w:p w:rsidR="00613BBB" w:rsidRPr="00EC2A0D" w:rsidRDefault="00613BBB" w:rsidP="00F0652C">
      <w:pPr>
        <w:pStyle w:val="Heading3"/>
        <w:spacing w:after="60"/>
        <w:rPr>
          <w:rFonts w:ascii="Tahoma" w:hAnsi="Tahoma" w:cs="Tahoma"/>
          <w:sz w:val="18"/>
          <w:lang w:val="de-DE"/>
        </w:rPr>
      </w:pPr>
      <w:bookmarkStart w:id="809" w:name="_Toc354054933"/>
      <w:r w:rsidRPr="00EC2A0D">
        <w:rPr>
          <w:rFonts w:ascii="Tahoma" w:hAnsi="Tahoma" w:cs="Tahoma"/>
          <w:sz w:val="18"/>
          <w:lang w:val="de-DE"/>
        </w:rPr>
        <w:t>Unbegrenzter 24x7-Problembehebungssupport</w:t>
      </w:r>
      <w:bookmarkEnd w:id="808"/>
      <w:bookmarkEnd w:id="809"/>
    </w:p>
    <w:p w:rsidR="00A17E03" w:rsidRPr="00BB5519" w:rsidRDefault="00A17E03" w:rsidP="00F42FB8">
      <w:pPr>
        <w:jc w:val="both"/>
        <w:rPr>
          <w:lang w:val="de-DE"/>
        </w:rPr>
      </w:pPr>
      <w:r w:rsidRPr="00BB5519">
        <w:rPr>
          <w:rFonts w:cs="Tahoma"/>
          <w:szCs w:val="18"/>
          <w:lang w:val="de-DE"/>
        </w:rPr>
        <w:t>Diese Vergünstigung ist nur über (1) den Beitritt zur Anwendungsplattform (EAP) zu einem Konzernvertrag und/oder (2) mit dem Erwerb von Lizenzen für Parallel Data Warehouse (PDW) über EA, EAP, Select Plus oder Select verfügbar.</w:t>
      </w:r>
    </w:p>
    <w:p w:rsidR="00A17E03" w:rsidRPr="00BB5519" w:rsidRDefault="00A17E03" w:rsidP="00F42FB8">
      <w:pPr>
        <w:jc w:val="both"/>
        <w:rPr>
          <w:lang w:val="de-DE"/>
        </w:rPr>
      </w:pPr>
    </w:p>
    <w:p w:rsidR="00894563" w:rsidRPr="00BB5519" w:rsidRDefault="00A17E03" w:rsidP="00DA2788">
      <w:pPr>
        <w:spacing w:line="276" w:lineRule="auto"/>
        <w:jc w:val="both"/>
        <w:rPr>
          <w:lang w:val="de-DE"/>
        </w:rPr>
      </w:pPr>
      <w:r w:rsidRPr="00BB5519">
        <w:rPr>
          <w:rFonts w:eastAsia="Calibri" w:cs="Tahoma"/>
          <w:szCs w:val="18"/>
          <w:lang w:val="de-DE"/>
        </w:rPr>
        <w:t>Kunden, die über einen Beitritt zur Anwendungsplattform mit durchschnittlichen Mindestausgaben für SA in Höhe von 250.000 US-Dollar pro Jahr für alle qualifizierenden Anwendungsplattform-Produkte und einen aktiven Premier-Servicevertrag verfügen, sind zu Anfragen im Rahmen von Unbegrenztem 24x7-Problembehebungssupport berechtigt. Die unten aufgeführten P</w:t>
      </w:r>
      <w:r w:rsidRPr="00BB5519">
        <w:rPr>
          <w:rFonts w:cs="Tahoma"/>
          <w:szCs w:val="18"/>
          <w:lang w:val="de-DE"/>
        </w:rPr>
        <w:t xml:space="preserve">rodukte, für die derzeit in Übereinstimmung mit dem Premier-Vertrag eines Kunden und wie in </w:t>
      </w:r>
      <w:hyperlink r:id="rId30" w:history="1">
        <w:r w:rsidRPr="00BB5519">
          <w:rPr>
            <w:rStyle w:val="Hyperlink"/>
            <w:rFonts w:cs="Tahoma"/>
            <w:szCs w:val="18"/>
            <w:lang w:val="de-DE"/>
          </w:rPr>
          <w:t>Microsoft's Support Lifecycle Policy</w:t>
        </w:r>
      </w:hyperlink>
      <w:r w:rsidRPr="00BB5519">
        <w:rPr>
          <w:rFonts w:cs="Tahoma"/>
          <w:szCs w:val="18"/>
          <w:lang w:val="de-DE"/>
        </w:rPr>
        <w:t xml:space="preserve"> </w:t>
      </w:r>
      <w:r w:rsidRPr="00BB5519">
        <w:rPr>
          <w:rFonts w:cs="Tahoma"/>
          <w:color w:val="000000"/>
          <w:szCs w:val="18"/>
          <w:lang w:val="de-DE"/>
        </w:rPr>
        <w:t>aufgeführt Mainstream- oder Erweiterter Support geleistet wird, sind in dieser Vergünstigung enthalten.</w:t>
      </w:r>
    </w:p>
    <w:p w:rsidR="00077CE5" w:rsidRPr="00BB5519" w:rsidRDefault="00077CE5" w:rsidP="00DA2788">
      <w:pPr>
        <w:spacing w:line="276" w:lineRule="auto"/>
        <w:jc w:val="both"/>
        <w:rPr>
          <w:lang w:val="de-DE"/>
        </w:rPr>
      </w:pPr>
    </w:p>
    <w:p w:rsidR="00A17E03" w:rsidRPr="00BB5519" w:rsidRDefault="00A17E03" w:rsidP="00F42FB8">
      <w:pPr>
        <w:spacing w:line="276" w:lineRule="auto"/>
        <w:jc w:val="both"/>
        <w:rPr>
          <w:lang w:val="de-DE"/>
        </w:rPr>
      </w:pPr>
      <w:r w:rsidRPr="00BB5519">
        <w:rPr>
          <w:rFonts w:eastAsia="Calibri" w:cs="Tahoma"/>
          <w:szCs w:val="18"/>
          <w:lang w:val="de-DE"/>
        </w:rPr>
        <w:t>Die qualifizierenden Anwendungsplattform-Produkte sind:</w:t>
      </w:r>
    </w:p>
    <w:p w:rsidR="00613BBB" w:rsidRPr="00BB5519" w:rsidRDefault="00613BBB" w:rsidP="00077CE5">
      <w:pPr>
        <w:rPr>
          <w:lang w:val="de-DE"/>
        </w:rPr>
      </w:pPr>
    </w:p>
    <w:p w:rsidR="00613BBB" w:rsidRPr="00BB5519" w:rsidRDefault="00613BBB" w:rsidP="002C1048">
      <w:pPr>
        <w:numPr>
          <w:ilvl w:val="0"/>
          <w:numId w:val="91"/>
        </w:numPr>
        <w:spacing w:after="60"/>
      </w:pPr>
      <w:r w:rsidRPr="00BB5519">
        <w:rPr>
          <w:rFonts w:cs="Tahoma"/>
          <w:szCs w:val="18"/>
        </w:rPr>
        <w:t>SQL-CAL</w:t>
      </w:r>
    </w:p>
    <w:p w:rsidR="00613BBB" w:rsidRPr="00BB5519" w:rsidRDefault="00613BBB" w:rsidP="002C1048">
      <w:pPr>
        <w:numPr>
          <w:ilvl w:val="0"/>
          <w:numId w:val="91"/>
        </w:numPr>
        <w:spacing w:after="60"/>
      </w:pPr>
      <w:r w:rsidRPr="00BB5519">
        <w:rPr>
          <w:rFonts w:cs="Tahoma"/>
          <w:szCs w:val="18"/>
        </w:rPr>
        <w:t>SQL Server Standard</w:t>
      </w:r>
    </w:p>
    <w:p w:rsidR="00613BBB" w:rsidRPr="00BB5519" w:rsidRDefault="00613BBB" w:rsidP="002C1048">
      <w:pPr>
        <w:numPr>
          <w:ilvl w:val="0"/>
          <w:numId w:val="91"/>
        </w:numPr>
        <w:spacing w:after="60"/>
      </w:pPr>
      <w:r w:rsidRPr="00BB5519">
        <w:rPr>
          <w:rFonts w:cs="Tahoma"/>
          <w:szCs w:val="18"/>
        </w:rPr>
        <w:t>SQL Server Standard pro Core/pro Prozessor</w:t>
      </w:r>
    </w:p>
    <w:p w:rsidR="00613BBB" w:rsidRPr="00BB5519" w:rsidRDefault="00613BBB" w:rsidP="002C1048">
      <w:pPr>
        <w:numPr>
          <w:ilvl w:val="0"/>
          <w:numId w:val="91"/>
        </w:numPr>
        <w:spacing w:after="60"/>
      </w:pPr>
      <w:r w:rsidRPr="00BB5519">
        <w:rPr>
          <w:rFonts w:cs="Tahoma"/>
          <w:szCs w:val="18"/>
        </w:rPr>
        <w:t>SQL Server Enterprise</w:t>
      </w:r>
    </w:p>
    <w:p w:rsidR="00613BBB" w:rsidRPr="00BB5519" w:rsidRDefault="00613BBB" w:rsidP="002C1048">
      <w:pPr>
        <w:numPr>
          <w:ilvl w:val="0"/>
          <w:numId w:val="91"/>
        </w:numPr>
        <w:spacing w:after="60"/>
        <w:rPr>
          <w:lang w:val="it-IT"/>
        </w:rPr>
      </w:pPr>
      <w:r w:rsidRPr="00BB5519">
        <w:rPr>
          <w:rFonts w:cs="Tahoma"/>
          <w:szCs w:val="18"/>
          <w:lang w:val="it-IT"/>
        </w:rPr>
        <w:t>SQL Server Enterprise pro Core/pro Prozessor</w:t>
      </w:r>
    </w:p>
    <w:p w:rsidR="00894563" w:rsidRPr="00BB5519" w:rsidRDefault="00894563" w:rsidP="002C1048">
      <w:pPr>
        <w:numPr>
          <w:ilvl w:val="0"/>
          <w:numId w:val="91"/>
        </w:numPr>
        <w:spacing w:after="60"/>
      </w:pPr>
      <w:r w:rsidRPr="00BB5519">
        <w:rPr>
          <w:rFonts w:cs="Tahoma"/>
          <w:szCs w:val="18"/>
        </w:rPr>
        <w:t>SQL Server Business Intelligence</w:t>
      </w:r>
    </w:p>
    <w:p w:rsidR="00EB42F3" w:rsidRPr="00BB5519" w:rsidRDefault="00EB42F3" w:rsidP="002C1048">
      <w:pPr>
        <w:numPr>
          <w:ilvl w:val="0"/>
          <w:numId w:val="91"/>
        </w:numPr>
        <w:spacing w:after="60"/>
      </w:pPr>
      <w:r w:rsidRPr="00BB5519">
        <w:rPr>
          <w:rFonts w:cs="Tahoma"/>
          <w:szCs w:val="18"/>
        </w:rPr>
        <w:t>SQL Server Datacenter pro Prozessor</w:t>
      </w:r>
    </w:p>
    <w:p w:rsidR="00613BBB" w:rsidRPr="00BB5519" w:rsidRDefault="00613BBB" w:rsidP="002C1048">
      <w:pPr>
        <w:numPr>
          <w:ilvl w:val="0"/>
          <w:numId w:val="91"/>
        </w:numPr>
        <w:spacing w:after="60"/>
      </w:pPr>
      <w:r w:rsidRPr="00BB5519">
        <w:rPr>
          <w:rFonts w:cs="Tahoma"/>
          <w:szCs w:val="18"/>
        </w:rPr>
        <w:t>BizTalk Server Standard pro Prozessor</w:t>
      </w:r>
    </w:p>
    <w:p w:rsidR="00613BBB" w:rsidRPr="00BB5519" w:rsidRDefault="00613BBB" w:rsidP="002C1048">
      <w:pPr>
        <w:numPr>
          <w:ilvl w:val="0"/>
          <w:numId w:val="91"/>
        </w:numPr>
        <w:spacing w:after="60"/>
      </w:pPr>
      <w:r w:rsidRPr="00BB5519">
        <w:rPr>
          <w:rFonts w:cs="Tahoma"/>
          <w:szCs w:val="18"/>
        </w:rPr>
        <w:t>BizTalk Server Enterprise pro Prozessor</w:t>
      </w:r>
    </w:p>
    <w:p w:rsidR="00613BBB" w:rsidRPr="00BB5519" w:rsidRDefault="00613BBB" w:rsidP="002C1048">
      <w:pPr>
        <w:numPr>
          <w:ilvl w:val="0"/>
          <w:numId w:val="91"/>
        </w:numPr>
        <w:spacing w:after="60"/>
      </w:pPr>
      <w:r w:rsidRPr="00BB5519">
        <w:rPr>
          <w:rFonts w:cs="Tahoma"/>
          <w:szCs w:val="18"/>
        </w:rPr>
        <w:t>BizTalk Server Branch pro Prozessor</w:t>
      </w:r>
    </w:p>
    <w:p w:rsidR="00613BBB" w:rsidRPr="00BB5519" w:rsidRDefault="00613BBB" w:rsidP="002C1048">
      <w:pPr>
        <w:numPr>
          <w:ilvl w:val="0"/>
          <w:numId w:val="91"/>
        </w:numPr>
        <w:spacing w:after="60"/>
      </w:pPr>
      <w:r w:rsidRPr="00BB5519">
        <w:rPr>
          <w:rFonts w:cs="Tahoma"/>
          <w:szCs w:val="18"/>
        </w:rPr>
        <w:t>Office SharePoint Server</w:t>
      </w:r>
    </w:p>
    <w:p w:rsidR="00613BBB" w:rsidRPr="00BB5519" w:rsidRDefault="00613BBB" w:rsidP="002C1048">
      <w:pPr>
        <w:numPr>
          <w:ilvl w:val="0"/>
          <w:numId w:val="91"/>
        </w:numPr>
        <w:spacing w:after="60"/>
      </w:pPr>
      <w:r w:rsidRPr="00BB5519">
        <w:rPr>
          <w:rFonts w:cs="Tahoma"/>
          <w:szCs w:val="18"/>
        </w:rPr>
        <w:t>SharePoint for Internet</w:t>
      </w:r>
    </w:p>
    <w:p w:rsidR="00894563" w:rsidRPr="00BB5519" w:rsidRDefault="00894563" w:rsidP="002C1048">
      <w:pPr>
        <w:numPr>
          <w:ilvl w:val="0"/>
          <w:numId w:val="91"/>
        </w:numPr>
        <w:spacing w:after="60"/>
      </w:pPr>
      <w:r w:rsidRPr="00BB5519">
        <w:rPr>
          <w:rFonts w:cs="Tahoma"/>
          <w:szCs w:val="18"/>
        </w:rPr>
        <w:t>FAST für SharePoint/SharePoint Internet</w:t>
      </w:r>
    </w:p>
    <w:p w:rsidR="00613BBB" w:rsidRPr="00BB5519" w:rsidRDefault="00613BBB" w:rsidP="00077CE5"/>
    <w:p w:rsidR="00613BBB" w:rsidRPr="00BB5519" w:rsidRDefault="00613BBB" w:rsidP="00FF1B2B">
      <w:pPr>
        <w:pStyle w:val="AppendixBodyText"/>
        <w:spacing w:after="0"/>
        <w:jc w:val="both"/>
        <w:rPr>
          <w:lang w:val="de-DE"/>
        </w:rPr>
      </w:pPr>
      <w:r w:rsidRPr="00BB5519">
        <w:rPr>
          <w:rFonts w:ascii="Tahoma" w:hAnsi="Tahoma" w:cs="Tahoma"/>
          <w:sz w:val="18"/>
          <w:szCs w:val="18"/>
          <w:lang w:val="de-DE"/>
        </w:rPr>
        <w:t>Die folgende Tabelle enthält die umgerechneten Schwellenwerte für SA-Ausgaben für Verträge, die nicht auf US-Dollar lauten.</w:t>
      </w:r>
      <w:r w:rsidR="009E4976" w:rsidRPr="00BB5519">
        <w:rPr>
          <w:rFonts w:ascii="Tahoma" w:hAnsi="Tahoma" w:cs="Tahoma"/>
          <w:sz w:val="18"/>
          <w:szCs w:val="18"/>
          <w:lang w:val="de-DE"/>
        </w:rPr>
        <w:t xml:space="preserve"> </w:t>
      </w:r>
      <w:r w:rsidRPr="00BB5519">
        <w:rPr>
          <w:rFonts w:ascii="Tahoma" w:hAnsi="Tahoma" w:cs="Tahoma"/>
          <w:sz w:val="18"/>
          <w:szCs w:val="18"/>
          <w:lang w:val="de-DE"/>
        </w:rPr>
        <w:t>Aufgrund der Wechselkursschwankungen kann diese Tabelle ohne Ankündigung geändert werden.</w:t>
      </w:r>
    </w:p>
    <w:p w:rsidR="00E74270" w:rsidRPr="00A62B4F" w:rsidRDefault="00E74270" w:rsidP="00FF1B2B">
      <w:pPr>
        <w:pStyle w:val="AppendixBodyText"/>
        <w:spacing w:after="0"/>
        <w:jc w:val="both"/>
        <w:rPr>
          <w:b/>
          <w:bCs/>
          <w:lang w:val="de-DE"/>
        </w:rPr>
      </w:pPr>
    </w:p>
    <w:tbl>
      <w:tblPr>
        <w:tblW w:w="64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816"/>
        <w:gridCol w:w="1697"/>
        <w:gridCol w:w="2915"/>
      </w:tblGrid>
      <w:tr w:rsidR="00E74270" w:rsidRPr="006F21F8" w:rsidTr="00A62B4F">
        <w:trPr>
          <w:trHeight w:val="178"/>
          <w:tblHeader/>
          <w:jc w:val="center"/>
        </w:trPr>
        <w:tc>
          <w:tcPr>
            <w:tcW w:w="1816"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BB5519" w:rsidRDefault="00E74270" w:rsidP="00E74270">
            <w:pPr>
              <w:pStyle w:val="AppendixBodyText"/>
              <w:jc w:val="center"/>
              <w:rPr>
                <w:rFonts w:ascii="Tahoma" w:hAnsi="Tahoma" w:cs="Tahoma"/>
                <w:b/>
                <w:bCs/>
              </w:rPr>
            </w:pPr>
            <w:r w:rsidRPr="00BB5519">
              <w:rPr>
                <w:rFonts w:ascii="Tahoma" w:hAnsi="Tahoma" w:cs="Tahoma"/>
                <w:b/>
                <w:bCs/>
              </w:rPr>
              <w:lastRenderedPageBreak/>
              <w:t>Währung</w:t>
            </w:r>
          </w:p>
        </w:tc>
        <w:tc>
          <w:tcPr>
            <w:tcW w:w="169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BB5519" w:rsidRDefault="00E74270" w:rsidP="00E74270">
            <w:pPr>
              <w:pStyle w:val="AppendixBodyText"/>
              <w:jc w:val="center"/>
              <w:rPr>
                <w:rFonts w:ascii="Tahoma" w:hAnsi="Tahoma" w:cs="Tahoma"/>
                <w:b/>
                <w:bCs/>
              </w:rPr>
            </w:pPr>
            <w:r w:rsidRPr="00BB5519">
              <w:rPr>
                <w:rFonts w:ascii="Tahoma" w:hAnsi="Tahoma" w:cs="Tahoma"/>
                <w:b/>
                <w:bCs/>
              </w:rPr>
              <w:t>Währungscode</w:t>
            </w:r>
          </w:p>
        </w:tc>
        <w:tc>
          <w:tcPr>
            <w:tcW w:w="2915"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BB5519" w:rsidRDefault="00E74270" w:rsidP="00E74270">
            <w:pPr>
              <w:pStyle w:val="AppendixBodyText"/>
              <w:jc w:val="center"/>
              <w:rPr>
                <w:rFonts w:ascii="Tahoma" w:hAnsi="Tahoma" w:cs="Tahoma"/>
                <w:b/>
                <w:bCs/>
                <w:lang w:val="de-DE"/>
              </w:rPr>
            </w:pPr>
            <w:r w:rsidRPr="00BB5519">
              <w:rPr>
                <w:rFonts w:ascii="Tahoma" w:hAnsi="Tahoma" w:cs="Tahoma"/>
                <w:b/>
                <w:bCs/>
                <w:lang w:val="de-DE"/>
              </w:rPr>
              <w:t>Durchschnittliche Mindestausgaben für SA pro Jahr zur Qualifizierung für Unbegrenzten 24x7-Problembehebungssupport</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US-Dollar</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USD</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250</w:t>
            </w:r>
            <w:r w:rsidR="000E3562">
              <w:rPr>
                <w:rFonts w:ascii="Tahoma" w:hAnsi="Tahoma" w:cs="Tahoma"/>
                <w:color w:val="000000"/>
                <w:sz w:val="18"/>
                <w:szCs w:val="18"/>
              </w:rPr>
              <w:t>.</w:t>
            </w:r>
            <w:r w:rsidRPr="00BB5519">
              <w:rPr>
                <w:rFonts w:ascii="Tahoma" w:hAnsi="Tahoma" w:cs="Tahoma"/>
                <w:color w:val="000000"/>
                <w:sz w:val="18"/>
                <w:szCs w:val="18"/>
              </w:rPr>
              <w:t xml:space="preserve">000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Australischer Dollar</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AUD</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375</w:t>
            </w:r>
            <w:r w:rsidR="000E3562">
              <w:rPr>
                <w:rFonts w:ascii="Tahoma" w:hAnsi="Tahoma" w:cs="Tahoma"/>
                <w:color w:val="000000"/>
                <w:sz w:val="18"/>
                <w:szCs w:val="18"/>
              </w:rPr>
              <w:t>.</w:t>
            </w:r>
            <w:r w:rsidRPr="00BB5519">
              <w:rPr>
                <w:rFonts w:ascii="Tahoma" w:hAnsi="Tahoma" w:cs="Tahoma"/>
                <w:color w:val="000000"/>
                <w:sz w:val="18"/>
                <w:szCs w:val="18"/>
              </w:rPr>
              <w:t xml:space="preserve">000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Kanadischer Dollar</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CAD</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337</w:t>
            </w:r>
            <w:r w:rsidR="000E3562">
              <w:rPr>
                <w:rFonts w:ascii="Tahoma" w:hAnsi="Tahoma" w:cs="Tahoma"/>
                <w:color w:val="000000"/>
                <w:sz w:val="18"/>
                <w:szCs w:val="18"/>
              </w:rPr>
              <w:t>.</w:t>
            </w:r>
            <w:r w:rsidRPr="00BB5519">
              <w:rPr>
                <w:rFonts w:ascii="Tahoma" w:hAnsi="Tahoma" w:cs="Tahoma"/>
                <w:color w:val="000000"/>
                <w:sz w:val="18"/>
                <w:szCs w:val="18"/>
              </w:rPr>
              <w:t xml:space="preserve">500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Schweizer Franken</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CHF</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412</w:t>
            </w:r>
            <w:r w:rsidR="000E3562">
              <w:rPr>
                <w:rFonts w:ascii="Tahoma" w:hAnsi="Tahoma" w:cs="Tahoma"/>
                <w:color w:val="000000"/>
                <w:sz w:val="18"/>
                <w:szCs w:val="18"/>
              </w:rPr>
              <w:t>.</w:t>
            </w:r>
            <w:r w:rsidRPr="00BB5519">
              <w:rPr>
                <w:rFonts w:ascii="Tahoma" w:hAnsi="Tahoma" w:cs="Tahoma"/>
                <w:color w:val="000000"/>
                <w:sz w:val="18"/>
                <w:szCs w:val="18"/>
              </w:rPr>
              <w:t xml:space="preserve">500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Chinesischer Renminbi</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CNY</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2</w:t>
            </w:r>
            <w:r w:rsidR="000E3562">
              <w:rPr>
                <w:rFonts w:ascii="Tahoma" w:hAnsi="Tahoma" w:cs="Tahoma"/>
                <w:color w:val="000000"/>
                <w:sz w:val="18"/>
                <w:szCs w:val="18"/>
              </w:rPr>
              <w:t>.</w:t>
            </w:r>
            <w:r w:rsidRPr="00BB5519">
              <w:rPr>
                <w:rFonts w:ascii="Tahoma" w:hAnsi="Tahoma" w:cs="Tahoma"/>
                <w:color w:val="000000"/>
                <w:sz w:val="18"/>
                <w:szCs w:val="18"/>
              </w:rPr>
              <w:t>062</w:t>
            </w:r>
            <w:r w:rsidR="000E3562">
              <w:rPr>
                <w:rFonts w:ascii="Tahoma" w:hAnsi="Tahoma" w:cs="Tahoma"/>
                <w:color w:val="000000"/>
                <w:sz w:val="18"/>
                <w:szCs w:val="18"/>
              </w:rPr>
              <w:t>.</w:t>
            </w:r>
            <w:r w:rsidRPr="00BB5519">
              <w:rPr>
                <w:rFonts w:ascii="Tahoma" w:hAnsi="Tahoma" w:cs="Tahoma"/>
                <w:color w:val="000000"/>
                <w:sz w:val="18"/>
                <w:szCs w:val="18"/>
              </w:rPr>
              <w:t xml:space="preserve">500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Dänische Krone</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DKK</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2</w:t>
            </w:r>
            <w:r w:rsidR="000E3562">
              <w:rPr>
                <w:rFonts w:ascii="Tahoma" w:hAnsi="Tahoma" w:cs="Tahoma"/>
                <w:color w:val="000000"/>
                <w:sz w:val="18"/>
                <w:szCs w:val="18"/>
              </w:rPr>
              <w:t>.</w:t>
            </w:r>
            <w:r w:rsidRPr="00BB5519">
              <w:rPr>
                <w:rFonts w:ascii="Tahoma" w:hAnsi="Tahoma" w:cs="Tahoma"/>
                <w:color w:val="000000"/>
                <w:sz w:val="18"/>
                <w:szCs w:val="18"/>
              </w:rPr>
              <w:t>000</w:t>
            </w:r>
            <w:r w:rsidR="000E3562">
              <w:rPr>
                <w:rFonts w:ascii="Tahoma" w:hAnsi="Tahoma" w:cs="Tahoma"/>
                <w:color w:val="000000"/>
                <w:sz w:val="18"/>
                <w:szCs w:val="18"/>
              </w:rPr>
              <w:t>.</w:t>
            </w:r>
            <w:r w:rsidRPr="00BB5519">
              <w:rPr>
                <w:rFonts w:ascii="Tahoma" w:hAnsi="Tahoma" w:cs="Tahoma"/>
                <w:color w:val="000000"/>
                <w:sz w:val="18"/>
                <w:szCs w:val="18"/>
              </w:rPr>
              <w:t xml:space="preserve">000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EURO</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EUR</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268</w:t>
            </w:r>
            <w:r w:rsidR="000E3562">
              <w:rPr>
                <w:rFonts w:ascii="Tahoma" w:hAnsi="Tahoma" w:cs="Tahoma"/>
                <w:color w:val="000000"/>
                <w:sz w:val="18"/>
                <w:szCs w:val="18"/>
              </w:rPr>
              <w:t>.</w:t>
            </w:r>
            <w:r w:rsidRPr="00BB5519">
              <w:rPr>
                <w:rFonts w:ascii="Tahoma" w:hAnsi="Tahoma" w:cs="Tahoma"/>
                <w:color w:val="000000"/>
                <w:sz w:val="18"/>
                <w:szCs w:val="18"/>
              </w:rPr>
              <w:t xml:space="preserve">750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Britisches Pfund</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GBP</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168</w:t>
            </w:r>
            <w:r w:rsidR="000E3562">
              <w:rPr>
                <w:rFonts w:ascii="Tahoma" w:hAnsi="Tahoma" w:cs="Tahoma"/>
                <w:color w:val="000000"/>
                <w:sz w:val="18"/>
                <w:szCs w:val="18"/>
              </w:rPr>
              <w:t>.</w:t>
            </w:r>
            <w:r w:rsidRPr="00BB5519">
              <w:rPr>
                <w:rFonts w:ascii="Tahoma" w:hAnsi="Tahoma" w:cs="Tahoma"/>
                <w:color w:val="000000"/>
                <w:sz w:val="18"/>
                <w:szCs w:val="18"/>
              </w:rPr>
              <w:t xml:space="preserve">750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Japanischer Yen</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JPY</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30</w:t>
            </w:r>
            <w:r w:rsidR="000E3562">
              <w:rPr>
                <w:rFonts w:ascii="Tahoma" w:hAnsi="Tahoma" w:cs="Tahoma"/>
                <w:color w:val="000000"/>
                <w:sz w:val="18"/>
                <w:szCs w:val="18"/>
              </w:rPr>
              <w:t>.</w:t>
            </w:r>
            <w:r w:rsidRPr="00BB5519">
              <w:rPr>
                <w:rFonts w:ascii="Tahoma" w:hAnsi="Tahoma" w:cs="Tahoma"/>
                <w:color w:val="000000"/>
                <w:sz w:val="18"/>
                <w:szCs w:val="18"/>
              </w:rPr>
              <w:t>000</w:t>
            </w:r>
            <w:r w:rsidR="000E3562">
              <w:rPr>
                <w:rFonts w:ascii="Tahoma" w:hAnsi="Tahoma" w:cs="Tahoma"/>
                <w:color w:val="000000"/>
                <w:sz w:val="18"/>
                <w:szCs w:val="18"/>
              </w:rPr>
              <w:t>.</w:t>
            </w:r>
            <w:r w:rsidRPr="00BB5519">
              <w:rPr>
                <w:rFonts w:ascii="Tahoma" w:hAnsi="Tahoma" w:cs="Tahoma"/>
                <w:color w:val="000000"/>
                <w:sz w:val="18"/>
                <w:szCs w:val="18"/>
              </w:rPr>
              <w:t xml:space="preserve">000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Koreanischer Won</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KRW</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300</w:t>
            </w:r>
            <w:r w:rsidR="000E3562">
              <w:rPr>
                <w:rFonts w:ascii="Tahoma" w:hAnsi="Tahoma" w:cs="Tahoma"/>
                <w:color w:val="000000"/>
                <w:sz w:val="18"/>
                <w:szCs w:val="18"/>
              </w:rPr>
              <w:t>.</w:t>
            </w:r>
            <w:r w:rsidRPr="00BB5519">
              <w:rPr>
                <w:rFonts w:ascii="Tahoma" w:hAnsi="Tahoma" w:cs="Tahoma"/>
                <w:color w:val="000000"/>
                <w:sz w:val="18"/>
                <w:szCs w:val="18"/>
              </w:rPr>
              <w:t>000</w:t>
            </w:r>
            <w:r w:rsidR="000E3562">
              <w:rPr>
                <w:rFonts w:ascii="Tahoma" w:hAnsi="Tahoma" w:cs="Tahoma"/>
                <w:color w:val="000000"/>
                <w:sz w:val="18"/>
                <w:szCs w:val="18"/>
              </w:rPr>
              <w:t>.</w:t>
            </w:r>
            <w:r w:rsidRPr="00BB5519">
              <w:rPr>
                <w:rFonts w:ascii="Tahoma" w:hAnsi="Tahoma" w:cs="Tahoma"/>
                <w:color w:val="000000"/>
                <w:sz w:val="18"/>
                <w:szCs w:val="18"/>
              </w:rPr>
              <w:t xml:space="preserve">000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Norwegische Krone</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NOK</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2</w:t>
            </w:r>
            <w:r w:rsidR="000E3562">
              <w:rPr>
                <w:rFonts w:ascii="Tahoma" w:hAnsi="Tahoma" w:cs="Tahoma"/>
                <w:color w:val="000000"/>
                <w:sz w:val="18"/>
                <w:szCs w:val="18"/>
              </w:rPr>
              <w:t>.</w:t>
            </w:r>
            <w:r w:rsidRPr="00BB5519">
              <w:rPr>
                <w:rFonts w:ascii="Tahoma" w:hAnsi="Tahoma" w:cs="Tahoma"/>
                <w:color w:val="000000"/>
                <w:sz w:val="18"/>
                <w:szCs w:val="18"/>
              </w:rPr>
              <w:t>062</w:t>
            </w:r>
            <w:r w:rsidR="000E3562">
              <w:rPr>
                <w:rFonts w:ascii="Tahoma" w:hAnsi="Tahoma" w:cs="Tahoma"/>
                <w:color w:val="000000"/>
                <w:sz w:val="18"/>
                <w:szCs w:val="18"/>
              </w:rPr>
              <w:t>.</w:t>
            </w:r>
            <w:r w:rsidRPr="00BB5519">
              <w:rPr>
                <w:rFonts w:ascii="Tahoma" w:hAnsi="Tahoma" w:cs="Tahoma"/>
                <w:color w:val="000000"/>
                <w:sz w:val="18"/>
                <w:szCs w:val="18"/>
              </w:rPr>
              <w:t xml:space="preserve">500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Neuseeländischer Dollar</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NZD</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437</w:t>
            </w:r>
            <w:r w:rsidR="000E3562">
              <w:rPr>
                <w:rFonts w:ascii="Tahoma" w:hAnsi="Tahoma" w:cs="Tahoma"/>
                <w:color w:val="000000"/>
                <w:sz w:val="18"/>
                <w:szCs w:val="18"/>
              </w:rPr>
              <w:t>.</w:t>
            </w:r>
            <w:r w:rsidRPr="00BB5519">
              <w:rPr>
                <w:rFonts w:ascii="Tahoma" w:hAnsi="Tahoma" w:cs="Tahoma"/>
                <w:color w:val="000000"/>
                <w:sz w:val="18"/>
                <w:szCs w:val="18"/>
              </w:rPr>
              <w:t xml:space="preserve">500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Schwedische Krone</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SEK</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2</w:t>
            </w:r>
            <w:r w:rsidR="000E3562">
              <w:rPr>
                <w:rFonts w:ascii="Tahoma" w:hAnsi="Tahoma" w:cs="Tahoma"/>
                <w:color w:val="000000"/>
                <w:sz w:val="18"/>
                <w:szCs w:val="18"/>
              </w:rPr>
              <w:t>.</w:t>
            </w:r>
            <w:r w:rsidRPr="00BB5519">
              <w:rPr>
                <w:rFonts w:ascii="Tahoma" w:hAnsi="Tahoma" w:cs="Tahoma"/>
                <w:color w:val="000000"/>
                <w:sz w:val="18"/>
                <w:szCs w:val="18"/>
              </w:rPr>
              <w:t>500</w:t>
            </w:r>
            <w:r w:rsidR="000E3562">
              <w:rPr>
                <w:rFonts w:ascii="Tahoma" w:hAnsi="Tahoma" w:cs="Tahoma"/>
                <w:color w:val="000000"/>
                <w:sz w:val="18"/>
                <w:szCs w:val="18"/>
              </w:rPr>
              <w:t>.</w:t>
            </w:r>
            <w:r w:rsidRPr="00BB5519">
              <w:rPr>
                <w:rFonts w:ascii="Tahoma" w:hAnsi="Tahoma" w:cs="Tahoma"/>
                <w:color w:val="000000"/>
                <w:sz w:val="18"/>
                <w:szCs w:val="18"/>
              </w:rPr>
              <w:t xml:space="preserve">000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Neuer Taiwan-Dollar</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TWD</w:t>
            </w:r>
          </w:p>
        </w:tc>
        <w:tc>
          <w:tcPr>
            <w:tcW w:w="2915" w:type="dxa"/>
            <w:vAlign w:val="bottom"/>
          </w:tcPr>
          <w:p w:rsidR="00E74270" w:rsidRPr="00BB5519" w:rsidRDefault="00E74270" w:rsidP="000E3562">
            <w:pPr>
              <w:pStyle w:val="AppendixBodyText"/>
              <w:jc w:val="right"/>
              <w:rPr>
                <w:rFonts w:ascii="Tahoma" w:hAnsi="Tahoma" w:cs="Tahoma"/>
                <w:sz w:val="18"/>
                <w:szCs w:val="18"/>
              </w:rPr>
            </w:pPr>
            <w:r w:rsidRPr="00BB5519">
              <w:rPr>
                <w:rFonts w:ascii="Tahoma" w:hAnsi="Tahoma" w:cs="Tahoma"/>
                <w:color w:val="000000"/>
                <w:sz w:val="18"/>
                <w:szCs w:val="18"/>
              </w:rPr>
              <w:t>8</w:t>
            </w:r>
            <w:r w:rsidR="000E3562">
              <w:rPr>
                <w:rFonts w:ascii="Tahoma" w:hAnsi="Tahoma" w:cs="Tahoma"/>
                <w:color w:val="000000"/>
                <w:sz w:val="18"/>
                <w:szCs w:val="18"/>
              </w:rPr>
              <w:t>.</w:t>
            </w:r>
            <w:r w:rsidRPr="00BB5519">
              <w:rPr>
                <w:rFonts w:ascii="Tahoma" w:hAnsi="Tahoma" w:cs="Tahoma"/>
                <w:color w:val="000000"/>
                <w:sz w:val="18"/>
                <w:szCs w:val="18"/>
              </w:rPr>
              <w:t>750</w:t>
            </w:r>
            <w:r w:rsidR="000E3562">
              <w:rPr>
                <w:rFonts w:ascii="Tahoma" w:hAnsi="Tahoma" w:cs="Tahoma"/>
                <w:color w:val="000000"/>
                <w:sz w:val="18"/>
                <w:szCs w:val="18"/>
              </w:rPr>
              <w:t>.</w:t>
            </w:r>
            <w:r w:rsidRPr="00BB5519">
              <w:rPr>
                <w:rFonts w:ascii="Tahoma" w:hAnsi="Tahoma" w:cs="Tahoma"/>
                <w:color w:val="000000"/>
                <w:sz w:val="18"/>
                <w:szCs w:val="18"/>
              </w:rPr>
              <w:t xml:space="preserve">000 </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Indische Rupie</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INR</w:t>
            </w:r>
          </w:p>
        </w:tc>
        <w:tc>
          <w:tcPr>
            <w:tcW w:w="2915" w:type="dxa"/>
            <w:vAlign w:val="bottom"/>
          </w:tcPr>
          <w:p w:rsidR="00E74270" w:rsidRPr="00BB5519" w:rsidRDefault="00E74270" w:rsidP="000E3562">
            <w:pPr>
              <w:pStyle w:val="AppendixBodyText"/>
              <w:jc w:val="right"/>
              <w:rPr>
                <w:rFonts w:ascii="Tahoma" w:hAnsi="Tahoma" w:cs="Tahoma"/>
                <w:color w:val="000000"/>
                <w:sz w:val="18"/>
                <w:szCs w:val="18"/>
              </w:rPr>
            </w:pPr>
            <w:r w:rsidRPr="00BB5519">
              <w:rPr>
                <w:rFonts w:ascii="Tahoma" w:hAnsi="Tahoma" w:cs="Tahoma"/>
                <w:sz w:val="18"/>
                <w:szCs w:val="18"/>
              </w:rPr>
              <w:t>12</w:t>
            </w:r>
            <w:r w:rsidR="000E3562">
              <w:rPr>
                <w:rFonts w:ascii="Tahoma" w:hAnsi="Tahoma" w:cs="Tahoma"/>
                <w:sz w:val="18"/>
                <w:szCs w:val="18"/>
              </w:rPr>
              <w:t>.</w:t>
            </w:r>
            <w:r w:rsidRPr="00BB5519">
              <w:rPr>
                <w:rFonts w:ascii="Tahoma" w:hAnsi="Tahoma" w:cs="Tahoma"/>
                <w:sz w:val="18"/>
                <w:szCs w:val="18"/>
              </w:rPr>
              <w:t>500</w:t>
            </w:r>
            <w:r w:rsidR="000E3562">
              <w:rPr>
                <w:rFonts w:ascii="Tahoma" w:hAnsi="Tahoma" w:cs="Tahoma"/>
                <w:sz w:val="18"/>
                <w:szCs w:val="18"/>
              </w:rPr>
              <w:t>.</w:t>
            </w:r>
            <w:r w:rsidRPr="00BB5519">
              <w:rPr>
                <w:rFonts w:ascii="Tahoma" w:hAnsi="Tahoma" w:cs="Tahoma"/>
                <w:sz w:val="18"/>
                <w:szCs w:val="18"/>
              </w:rPr>
              <w:t>000</w:t>
            </w:r>
          </w:p>
        </w:tc>
      </w:tr>
      <w:tr w:rsidR="00E74270" w:rsidRPr="00BB5519" w:rsidTr="00A62B4F">
        <w:trPr>
          <w:trHeight w:val="236"/>
          <w:jc w:val="center"/>
        </w:trPr>
        <w:tc>
          <w:tcPr>
            <w:tcW w:w="1816" w:type="dxa"/>
            <w:vAlign w:val="bottom"/>
          </w:tcPr>
          <w:p w:rsidR="00E74270" w:rsidRPr="00BB5519" w:rsidRDefault="00E74270" w:rsidP="00E74270">
            <w:pPr>
              <w:pStyle w:val="AppendixBodyText"/>
              <w:rPr>
                <w:rFonts w:ascii="Tahoma" w:hAnsi="Tahoma" w:cs="Tahoma"/>
                <w:sz w:val="18"/>
                <w:szCs w:val="18"/>
              </w:rPr>
            </w:pPr>
            <w:r w:rsidRPr="00BB5519">
              <w:rPr>
                <w:rFonts w:ascii="Tahoma" w:hAnsi="Tahoma" w:cs="Tahoma"/>
                <w:sz w:val="18"/>
                <w:szCs w:val="18"/>
              </w:rPr>
              <w:t>Russischer Rubel</w:t>
            </w:r>
          </w:p>
        </w:tc>
        <w:tc>
          <w:tcPr>
            <w:tcW w:w="1697" w:type="dxa"/>
            <w:vAlign w:val="bottom"/>
          </w:tcPr>
          <w:p w:rsidR="00E74270" w:rsidRPr="00BB5519" w:rsidRDefault="00E74270" w:rsidP="00E74270">
            <w:pPr>
              <w:pStyle w:val="AppendixBodyText"/>
              <w:jc w:val="center"/>
              <w:rPr>
                <w:rFonts w:ascii="Tahoma" w:hAnsi="Tahoma" w:cs="Tahoma"/>
                <w:sz w:val="18"/>
                <w:szCs w:val="18"/>
              </w:rPr>
            </w:pPr>
            <w:r w:rsidRPr="00BB5519">
              <w:rPr>
                <w:rFonts w:ascii="Tahoma" w:hAnsi="Tahoma" w:cs="Tahoma"/>
                <w:sz w:val="18"/>
                <w:szCs w:val="18"/>
              </w:rPr>
              <w:t>RUB</w:t>
            </w:r>
          </w:p>
        </w:tc>
        <w:tc>
          <w:tcPr>
            <w:tcW w:w="2915" w:type="dxa"/>
            <w:vAlign w:val="bottom"/>
          </w:tcPr>
          <w:p w:rsidR="00E74270" w:rsidRPr="00BB5519" w:rsidRDefault="00E74270" w:rsidP="000E3562">
            <w:pPr>
              <w:pStyle w:val="AppendixBodyText"/>
              <w:jc w:val="right"/>
              <w:rPr>
                <w:rFonts w:ascii="Tahoma" w:hAnsi="Tahoma" w:cs="Tahoma"/>
                <w:color w:val="000000"/>
                <w:sz w:val="18"/>
                <w:szCs w:val="18"/>
              </w:rPr>
            </w:pPr>
            <w:r w:rsidRPr="00BB5519">
              <w:rPr>
                <w:rFonts w:ascii="Tahoma" w:hAnsi="Tahoma" w:cs="Tahoma"/>
                <w:sz w:val="18"/>
                <w:szCs w:val="18"/>
              </w:rPr>
              <w:t>8</w:t>
            </w:r>
            <w:r w:rsidR="000E3562">
              <w:rPr>
                <w:rFonts w:ascii="Tahoma" w:hAnsi="Tahoma" w:cs="Tahoma"/>
                <w:sz w:val="18"/>
                <w:szCs w:val="18"/>
              </w:rPr>
              <w:t>.</w:t>
            </w:r>
            <w:r w:rsidRPr="00BB5519">
              <w:rPr>
                <w:rFonts w:ascii="Tahoma" w:hAnsi="Tahoma" w:cs="Tahoma"/>
                <w:sz w:val="18"/>
                <w:szCs w:val="18"/>
              </w:rPr>
              <w:t>250</w:t>
            </w:r>
            <w:r w:rsidR="000E3562">
              <w:rPr>
                <w:rFonts w:ascii="Tahoma" w:hAnsi="Tahoma" w:cs="Tahoma"/>
                <w:sz w:val="18"/>
                <w:szCs w:val="18"/>
              </w:rPr>
              <w:t>.</w:t>
            </w:r>
            <w:r w:rsidRPr="00BB5519">
              <w:rPr>
                <w:rFonts w:ascii="Tahoma" w:hAnsi="Tahoma" w:cs="Tahoma"/>
                <w:sz w:val="18"/>
                <w:szCs w:val="18"/>
              </w:rPr>
              <w:t>000</w:t>
            </w:r>
          </w:p>
        </w:tc>
      </w:tr>
    </w:tbl>
    <w:p w:rsidR="00613BBB" w:rsidRPr="00BB5519" w:rsidRDefault="00613BBB" w:rsidP="00A62B4F">
      <w:pPr>
        <w:spacing w:before="20"/>
        <w:jc w:val="both"/>
        <w:rPr>
          <w:lang w:val="de-DE"/>
        </w:rPr>
      </w:pPr>
      <w:r w:rsidRPr="00BB5519">
        <w:rPr>
          <w:rFonts w:cs="Tahoma"/>
          <w:szCs w:val="18"/>
          <w:lang w:val="de-DE"/>
        </w:rPr>
        <w:t>Wenn die verpflichtenden durchschnittlichen SA-Ausgaben pro Jahr für qualifizierende Anwendungsplattform-Produkte,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w:t>
      </w:r>
      <w:r w:rsidR="009E4976" w:rsidRPr="00BB5519">
        <w:rPr>
          <w:rFonts w:cs="Tahoma"/>
          <w:szCs w:val="18"/>
          <w:lang w:val="de-DE"/>
        </w:rPr>
        <w:t xml:space="preserve"> </w:t>
      </w:r>
      <w:r w:rsidRPr="00BB5519">
        <w:rPr>
          <w:rFonts w:cs="Tahoma"/>
          <w:szCs w:val="18"/>
          <w:lang w:val="de-DE"/>
        </w:rPr>
        <w:t xml:space="preserve">Anfragen im Rahmen von Unbegrenztem 24x7-Problembehebungssupport können nicht in Premier-Problembehebungssupport-Stunden oder -Anfragen umgewandelt werden. </w:t>
      </w:r>
    </w:p>
    <w:p w:rsidR="00613BBB" w:rsidRPr="00BB5519" w:rsidRDefault="00613BBB" w:rsidP="00F42FB8">
      <w:pPr>
        <w:rPr>
          <w:lang w:val="de-DE"/>
        </w:rPr>
      </w:pPr>
    </w:p>
    <w:p w:rsidR="00613BBB" w:rsidRPr="00BB5519" w:rsidRDefault="00613BBB" w:rsidP="00F42FB8">
      <w:pPr>
        <w:jc w:val="both"/>
        <w:rPr>
          <w:lang w:val="de-DE"/>
        </w:rPr>
      </w:pPr>
      <w:r w:rsidRPr="00BB5519">
        <w:rPr>
          <w:rFonts w:cs="Tahoma"/>
          <w:szCs w:val="18"/>
          <w:lang w:val="de-DE"/>
        </w:rPr>
        <w:t xml:space="preserve">Kunden, die über </w:t>
      </w:r>
      <w:r w:rsidRPr="00BB5519">
        <w:rPr>
          <w:rFonts w:cs="Tahoma"/>
          <w:color w:val="000000"/>
          <w:szCs w:val="18"/>
          <w:lang w:val="de-DE"/>
        </w:rPr>
        <w:t xml:space="preserve">Anwendungsplattformverträge mit einem Wirksamkeitsdatum vor dem 1. Juli 2009 mit durchschnittlichen SA-Ausgaben von über 250.000 US-Dollar pro Jahr für qualifizierende Anwendungsplattform-Produkte und einen aktiven Premier-Servicevertrag verfügen, sind ab dem ersten Jahrestag des Wirksamkeitsdatums des Anwendungsplattformvertrages zu Unbegrenztem 24x7-Problembehebungssupport berechtigt. </w:t>
      </w:r>
    </w:p>
    <w:p w:rsidR="00613BBB" w:rsidRPr="00BB5519" w:rsidRDefault="00613BBB" w:rsidP="00F42FB8">
      <w:pPr>
        <w:rPr>
          <w:lang w:val="de-DE"/>
        </w:rPr>
      </w:pPr>
    </w:p>
    <w:p w:rsidR="00A17E03" w:rsidRPr="00BB5519" w:rsidRDefault="00A17E03" w:rsidP="00F42FB8">
      <w:pPr>
        <w:spacing w:line="276" w:lineRule="auto"/>
        <w:rPr>
          <w:lang w:val="de-DE"/>
        </w:rPr>
      </w:pPr>
      <w:r w:rsidRPr="00BB5519">
        <w:rPr>
          <w:rFonts w:eastAsia="Calibri" w:cs="Tahoma"/>
          <w:szCs w:val="18"/>
          <w:lang w:val="de-DE"/>
        </w:rPr>
        <w:t>(2) Kunden, die Lizenzen für Parallel Data Warehouse (PDW) erwerben und über einen aktiven Premier-Servicevertrag verfügen, sind zu Anfragen im Rahmen von Unbegrenztem 24x7-Problembehebungssupport berechtigt.</w:t>
      </w:r>
    </w:p>
    <w:p w:rsidR="00FF1B2B" w:rsidRPr="00BB5519" w:rsidRDefault="00FF1B2B" w:rsidP="00F42FB8">
      <w:pPr>
        <w:spacing w:line="276" w:lineRule="auto"/>
        <w:rPr>
          <w:lang w:val="de-DE"/>
        </w:rPr>
      </w:pPr>
    </w:p>
    <w:p w:rsidR="00A17E03" w:rsidRPr="00BB5519" w:rsidRDefault="00A17E03" w:rsidP="00A62B4F">
      <w:pPr>
        <w:spacing w:line="276" w:lineRule="auto"/>
        <w:jc w:val="both"/>
        <w:rPr>
          <w:lang w:val="de-DE"/>
        </w:rPr>
      </w:pPr>
      <w:r w:rsidRPr="00BB5519">
        <w:rPr>
          <w:rFonts w:eastAsia="Calibri" w:cs="Tahoma"/>
          <w:szCs w:val="18"/>
          <w:lang w:val="de-DE"/>
        </w:rPr>
        <w:t>Wenn Kunden Lizenzen für Parallel Data Warehouse (PDW) erwerben, gewährt Microsoft Anfragen</w:t>
      </w:r>
      <w:r w:rsidR="00A62B4F">
        <w:rPr>
          <w:rFonts w:eastAsia="Calibri" w:cs="Tahoma"/>
          <w:szCs w:val="18"/>
          <w:lang w:val="de-DE"/>
        </w:rPr>
        <w:t> </w:t>
      </w:r>
      <w:r w:rsidRPr="00BB5519">
        <w:rPr>
          <w:rFonts w:eastAsia="Calibri" w:cs="Tahoma"/>
          <w:szCs w:val="18"/>
          <w:lang w:val="de-DE"/>
        </w:rPr>
        <w:t>nicht</w:t>
      </w:r>
      <w:r w:rsidR="00A62B4F">
        <w:rPr>
          <w:rFonts w:eastAsia="Calibri" w:cs="Tahoma"/>
          <w:szCs w:val="18"/>
          <w:lang w:val="de-DE"/>
        </w:rPr>
        <w:t> </w:t>
      </w:r>
      <w:r w:rsidRPr="00BB5519">
        <w:rPr>
          <w:rFonts w:eastAsia="Calibri" w:cs="Tahoma"/>
          <w:szCs w:val="18"/>
          <w:lang w:val="de-DE"/>
        </w:rPr>
        <w:t>auf</w:t>
      </w:r>
      <w:r w:rsidR="00A62B4F">
        <w:rPr>
          <w:rFonts w:eastAsia="Calibri" w:cs="Tahoma"/>
          <w:szCs w:val="18"/>
          <w:lang w:val="de-DE"/>
        </w:rPr>
        <w:t> </w:t>
      </w:r>
      <w:r w:rsidRPr="00BB5519">
        <w:rPr>
          <w:rFonts w:eastAsia="Calibri" w:cs="Tahoma"/>
          <w:szCs w:val="18"/>
          <w:lang w:val="de-DE"/>
        </w:rPr>
        <w:t xml:space="preserve">Grundlage tatsächlicher SA-Ausgaben für dieses Produkt. Anfragen im Rahmen von Unbegrenztem 24x7-Problembehebungssupport können nicht in Premier-Problembehebungssupport-Stunden oder -Anfragen umgewandelt werden. </w:t>
      </w:r>
    </w:p>
    <w:p w:rsidR="00FF1B2B" w:rsidRPr="00BB5519" w:rsidRDefault="00FF1B2B" w:rsidP="00F42FB8">
      <w:pPr>
        <w:spacing w:line="276" w:lineRule="auto"/>
        <w:jc w:val="both"/>
        <w:rPr>
          <w:lang w:val="de-DE"/>
        </w:rPr>
      </w:pPr>
    </w:p>
    <w:p w:rsidR="00A17E03" w:rsidRPr="00BB5519" w:rsidRDefault="00A17E03" w:rsidP="002228CB">
      <w:pPr>
        <w:keepNext/>
        <w:keepLines/>
        <w:jc w:val="both"/>
        <w:rPr>
          <w:lang w:val="de-DE"/>
        </w:rPr>
      </w:pPr>
      <w:r w:rsidRPr="00BB5519">
        <w:rPr>
          <w:rFonts w:cs="Tahoma"/>
          <w:color w:val="000000"/>
          <w:szCs w:val="18"/>
          <w:lang w:val="de-DE"/>
        </w:rPr>
        <w:lastRenderedPageBreak/>
        <w:t xml:space="preserve">Während die Anzahl der gewährten Anfragen im Rahmen des 24x7-Problembehebungssuports </w:t>
      </w:r>
      <w:r w:rsidRPr="00BB5519">
        <w:rPr>
          <w:rFonts w:cs="Tahoma"/>
          <w:i/>
          <w:color w:val="000000"/>
          <w:szCs w:val="18"/>
          <w:lang w:val="de-DE"/>
        </w:rPr>
        <w:t>n</w:t>
      </w:r>
      <w:r w:rsidRPr="00BB5519">
        <w:rPr>
          <w:rFonts w:cs="Tahoma"/>
          <w:color w:val="000000"/>
          <w:szCs w:val="18"/>
          <w:lang w:val="de-DE"/>
        </w:rPr>
        <w:t>icht durch die SA-Ausgaben bestimmt wird, hängt die Anzahl von zulässigen Supportkontaktpersonen zur Verwaltung von Unbegrenztem 24x7-Problembehebungssupport vom Umfang der SA-Ausgaben ab. Alle berechtigten Kunden haben Anspruch auf mindestens vier autorisierte Kontaktpersonen plus eine weitere Kontaktperson pro 125.000 US-Dollar an zusätzlichen SA-Ausgaben im Rahmen des Beitritts zur Anwendungsplattform oder zu einem VL-Programm oder mehreren VL-Programmen, unter dem oder denen sie Lizenzen für Parallel Data Warehouse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w:t>
      </w:r>
      <w:r w:rsidR="009E4976" w:rsidRPr="00BB5519">
        <w:rPr>
          <w:rFonts w:cs="Tahoma"/>
          <w:color w:val="000000"/>
          <w:szCs w:val="18"/>
          <w:lang w:val="de-DE"/>
        </w:rPr>
        <w:t xml:space="preserve"> </w:t>
      </w:r>
      <w:r w:rsidRPr="00BB5519">
        <w:rPr>
          <w:rFonts w:cs="Tahoma"/>
          <w:color w:val="000000"/>
          <w:szCs w:val="18"/>
          <w:lang w:val="de-DE"/>
        </w:rPr>
        <w:t>Siehe folgende</w:t>
      </w:r>
      <w:r w:rsidR="00A62B4F">
        <w:rPr>
          <w:rFonts w:cs="Tahoma"/>
          <w:color w:val="000000"/>
          <w:szCs w:val="18"/>
          <w:lang w:val="de-DE"/>
        </w:rPr>
        <w:t> </w:t>
      </w:r>
      <w:r w:rsidRPr="00BB5519">
        <w:rPr>
          <w:rFonts w:cs="Tahoma"/>
          <w:color w:val="000000"/>
          <w:szCs w:val="18"/>
          <w:lang w:val="de-DE"/>
        </w:rPr>
        <w:t>Tabelle:</w:t>
      </w:r>
    </w:p>
    <w:p w:rsidR="00FF1B2B" w:rsidRPr="00BB5519" w:rsidRDefault="00FF1B2B" w:rsidP="00F42FB8">
      <w:pPr>
        <w:jc w:val="both"/>
        <w:rPr>
          <w:lang w:val="de-DE"/>
        </w:rPr>
      </w:pPr>
    </w:p>
    <w:p w:rsidR="00A17E03" w:rsidRPr="00BB5519" w:rsidRDefault="00A17E03" w:rsidP="00F42FB8">
      <w:pPr>
        <w:jc w:val="both"/>
        <w:rPr>
          <w:lang w:val="de-DE"/>
        </w:rPr>
      </w:pPr>
      <w:r w:rsidRPr="00BB5519">
        <w:rPr>
          <w:rFonts w:cs="Tahoma"/>
          <w:color w:val="000000"/>
          <w:szCs w:val="18"/>
          <w:lang w:val="de-DE"/>
        </w:rPr>
        <w:t>Die folgende Tabelle gilt für Kunden, die über einen Beitritt zur Anwendungsplattform (EAP) oder einen Anwendungsplattformvertrag (APA) verfügen:</w:t>
      </w:r>
    </w:p>
    <w:p w:rsidR="00613BBB" w:rsidRPr="00BB5519" w:rsidRDefault="00613BBB" w:rsidP="00613BBB">
      <w:pPr>
        <w:rPr>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9"/>
        <w:gridCol w:w="2520"/>
      </w:tblGrid>
      <w:tr w:rsidR="00613BBB" w:rsidRPr="00BB5519" w:rsidTr="00A62B4F">
        <w:tc>
          <w:tcPr>
            <w:tcW w:w="2399" w:type="dxa"/>
            <w:shd w:val="clear" w:color="auto" w:fill="FABF8F"/>
          </w:tcPr>
          <w:p w:rsidR="00613BBB" w:rsidRPr="00BB5519" w:rsidRDefault="00613BBB" w:rsidP="00613BBB">
            <w:pPr>
              <w:jc w:val="center"/>
              <w:rPr>
                <w:rFonts w:cs="Tahoma"/>
                <w:color w:val="000000"/>
                <w:szCs w:val="18"/>
                <w:lang w:val="de-DE"/>
              </w:rPr>
            </w:pPr>
            <w:r w:rsidRPr="00BB5519">
              <w:rPr>
                <w:rFonts w:cs="Tahoma"/>
                <w:b/>
                <w:bCs/>
                <w:color w:val="000000"/>
                <w:szCs w:val="18"/>
                <w:lang w:val="de-DE"/>
              </w:rPr>
              <w:t>Durchschnittliche SA-Ausgaben pro Jahr</w:t>
            </w:r>
          </w:p>
        </w:tc>
        <w:tc>
          <w:tcPr>
            <w:tcW w:w="2520" w:type="dxa"/>
            <w:shd w:val="clear" w:color="auto" w:fill="FABF8F"/>
          </w:tcPr>
          <w:p w:rsidR="00613BBB" w:rsidRPr="00BB5519" w:rsidRDefault="00A17E03" w:rsidP="00613BBB">
            <w:pPr>
              <w:jc w:val="center"/>
              <w:rPr>
                <w:rFonts w:cs="Tahoma"/>
                <w:color w:val="000000"/>
                <w:szCs w:val="18"/>
              </w:rPr>
            </w:pPr>
            <w:r w:rsidRPr="00BB5519">
              <w:rPr>
                <w:rFonts w:cs="Tahoma"/>
                <w:b/>
                <w:bCs/>
                <w:color w:val="000000"/>
                <w:szCs w:val="18"/>
              </w:rPr>
              <w:t>Zulässige Supportkontaktpersonen</w:t>
            </w:r>
          </w:p>
        </w:tc>
      </w:tr>
      <w:tr w:rsidR="00613BBB" w:rsidRPr="00BB5519" w:rsidTr="00A62B4F">
        <w:tc>
          <w:tcPr>
            <w:tcW w:w="2399" w:type="dxa"/>
          </w:tcPr>
          <w:p w:rsidR="00613BBB" w:rsidRPr="00BB5519" w:rsidRDefault="00613BBB" w:rsidP="002228CB">
            <w:pPr>
              <w:jc w:val="center"/>
              <w:rPr>
                <w:rFonts w:cs="Tahoma"/>
                <w:color w:val="000000"/>
                <w:szCs w:val="18"/>
              </w:rPr>
            </w:pPr>
            <w:r w:rsidRPr="00BB5519">
              <w:rPr>
                <w:rFonts w:cs="Tahoma"/>
                <w:color w:val="000000"/>
                <w:szCs w:val="18"/>
              </w:rPr>
              <w:t>$250</w:t>
            </w:r>
            <w:r w:rsidR="002228CB">
              <w:rPr>
                <w:rFonts w:cs="Tahoma"/>
                <w:color w:val="000000"/>
                <w:szCs w:val="18"/>
              </w:rPr>
              <w:t>.</w:t>
            </w:r>
            <w:r w:rsidRPr="00BB5519">
              <w:rPr>
                <w:rFonts w:cs="Tahoma"/>
                <w:color w:val="000000"/>
                <w:szCs w:val="18"/>
              </w:rPr>
              <w:t>000 - $374</w:t>
            </w:r>
            <w:r w:rsidR="002228CB">
              <w:rPr>
                <w:rFonts w:cs="Tahoma"/>
                <w:color w:val="000000"/>
                <w:szCs w:val="18"/>
              </w:rPr>
              <w:t>.</w:t>
            </w:r>
            <w:r w:rsidRPr="00BB5519">
              <w:rPr>
                <w:rFonts w:cs="Tahoma"/>
                <w:color w:val="000000"/>
                <w:szCs w:val="18"/>
              </w:rPr>
              <w:t>999</w:t>
            </w:r>
          </w:p>
        </w:tc>
        <w:tc>
          <w:tcPr>
            <w:tcW w:w="2520" w:type="dxa"/>
          </w:tcPr>
          <w:p w:rsidR="00613BBB" w:rsidRPr="00BB5519" w:rsidRDefault="00613BBB" w:rsidP="00613BBB">
            <w:pPr>
              <w:jc w:val="center"/>
              <w:rPr>
                <w:rFonts w:cs="Tahoma"/>
                <w:color w:val="000000"/>
                <w:szCs w:val="18"/>
              </w:rPr>
            </w:pPr>
            <w:r w:rsidRPr="00BB5519">
              <w:rPr>
                <w:rFonts w:cs="Tahoma"/>
                <w:color w:val="000000"/>
                <w:szCs w:val="18"/>
              </w:rPr>
              <w:t>4</w:t>
            </w:r>
          </w:p>
        </w:tc>
      </w:tr>
      <w:tr w:rsidR="00613BBB" w:rsidRPr="00BB5519" w:rsidTr="00A62B4F">
        <w:tc>
          <w:tcPr>
            <w:tcW w:w="2399" w:type="dxa"/>
          </w:tcPr>
          <w:p w:rsidR="00613BBB" w:rsidRPr="00BB5519" w:rsidRDefault="00613BBB" w:rsidP="002228CB">
            <w:pPr>
              <w:jc w:val="center"/>
              <w:rPr>
                <w:rFonts w:cs="Tahoma"/>
                <w:szCs w:val="18"/>
              </w:rPr>
            </w:pPr>
            <w:r w:rsidRPr="00BB5519">
              <w:rPr>
                <w:rFonts w:cs="Tahoma"/>
                <w:szCs w:val="18"/>
              </w:rPr>
              <w:t>$375</w:t>
            </w:r>
            <w:r w:rsidR="002228CB">
              <w:rPr>
                <w:rFonts w:cs="Tahoma"/>
                <w:szCs w:val="18"/>
              </w:rPr>
              <w:t>.</w:t>
            </w:r>
            <w:r w:rsidRPr="00BB5519">
              <w:rPr>
                <w:rFonts w:cs="Tahoma"/>
                <w:szCs w:val="18"/>
              </w:rPr>
              <w:t>000 - $499</w:t>
            </w:r>
            <w:r w:rsidR="002228CB">
              <w:rPr>
                <w:rFonts w:cs="Tahoma"/>
                <w:szCs w:val="18"/>
              </w:rPr>
              <w:t>.</w:t>
            </w:r>
            <w:r w:rsidRPr="00BB5519">
              <w:rPr>
                <w:rFonts w:cs="Tahoma"/>
                <w:szCs w:val="18"/>
              </w:rPr>
              <w:t>999</w:t>
            </w:r>
          </w:p>
        </w:tc>
        <w:tc>
          <w:tcPr>
            <w:tcW w:w="2520" w:type="dxa"/>
          </w:tcPr>
          <w:p w:rsidR="00613BBB" w:rsidRPr="00BB5519" w:rsidRDefault="00613BBB" w:rsidP="00613BBB">
            <w:pPr>
              <w:jc w:val="center"/>
              <w:rPr>
                <w:rFonts w:cs="Tahoma"/>
                <w:szCs w:val="18"/>
              </w:rPr>
            </w:pPr>
            <w:r w:rsidRPr="00BB5519">
              <w:rPr>
                <w:rFonts w:cs="Tahoma"/>
                <w:szCs w:val="18"/>
              </w:rPr>
              <w:t>5</w:t>
            </w:r>
          </w:p>
        </w:tc>
      </w:tr>
      <w:tr w:rsidR="00613BBB" w:rsidRPr="00BB5519" w:rsidTr="00A62B4F">
        <w:tc>
          <w:tcPr>
            <w:tcW w:w="2399" w:type="dxa"/>
          </w:tcPr>
          <w:p w:rsidR="00613BBB" w:rsidRPr="00BB5519" w:rsidRDefault="00613BBB" w:rsidP="002228CB">
            <w:pPr>
              <w:jc w:val="center"/>
              <w:rPr>
                <w:rFonts w:cs="Tahoma"/>
                <w:szCs w:val="18"/>
              </w:rPr>
            </w:pPr>
            <w:r w:rsidRPr="00BB5519">
              <w:rPr>
                <w:rFonts w:cs="Tahoma"/>
                <w:szCs w:val="18"/>
              </w:rPr>
              <w:t>$500</w:t>
            </w:r>
            <w:r w:rsidR="002228CB">
              <w:rPr>
                <w:rFonts w:cs="Tahoma"/>
                <w:szCs w:val="18"/>
              </w:rPr>
              <w:t>.</w:t>
            </w:r>
            <w:r w:rsidRPr="00BB5519">
              <w:rPr>
                <w:rFonts w:cs="Tahoma"/>
                <w:szCs w:val="18"/>
              </w:rPr>
              <w:t>000 - $624</w:t>
            </w:r>
            <w:r w:rsidR="002228CB">
              <w:rPr>
                <w:rFonts w:cs="Tahoma"/>
                <w:szCs w:val="18"/>
              </w:rPr>
              <w:t>.</w:t>
            </w:r>
            <w:r w:rsidRPr="00BB5519">
              <w:rPr>
                <w:rFonts w:cs="Tahoma"/>
                <w:szCs w:val="18"/>
              </w:rPr>
              <w:t>999</w:t>
            </w:r>
          </w:p>
        </w:tc>
        <w:tc>
          <w:tcPr>
            <w:tcW w:w="2520" w:type="dxa"/>
          </w:tcPr>
          <w:p w:rsidR="00613BBB" w:rsidRPr="00BB5519" w:rsidRDefault="00613BBB" w:rsidP="00613BBB">
            <w:pPr>
              <w:jc w:val="center"/>
              <w:rPr>
                <w:rFonts w:cs="Tahoma"/>
                <w:szCs w:val="18"/>
              </w:rPr>
            </w:pPr>
            <w:r w:rsidRPr="00BB5519">
              <w:rPr>
                <w:rFonts w:cs="Tahoma"/>
                <w:szCs w:val="18"/>
              </w:rPr>
              <w:t>6</w:t>
            </w:r>
          </w:p>
        </w:tc>
      </w:tr>
      <w:tr w:rsidR="00613BBB" w:rsidRPr="00BB5519" w:rsidTr="00A62B4F">
        <w:tc>
          <w:tcPr>
            <w:tcW w:w="2399" w:type="dxa"/>
          </w:tcPr>
          <w:p w:rsidR="00613BBB" w:rsidRPr="00BB5519" w:rsidRDefault="00613BBB" w:rsidP="002228CB">
            <w:pPr>
              <w:jc w:val="center"/>
              <w:rPr>
                <w:rFonts w:cs="Tahoma"/>
                <w:szCs w:val="18"/>
              </w:rPr>
            </w:pPr>
            <w:r w:rsidRPr="00BB5519">
              <w:rPr>
                <w:rFonts w:cs="Tahoma"/>
                <w:szCs w:val="18"/>
              </w:rPr>
              <w:t>$625</w:t>
            </w:r>
            <w:r w:rsidR="002228CB">
              <w:rPr>
                <w:rFonts w:cs="Tahoma"/>
                <w:szCs w:val="18"/>
              </w:rPr>
              <w:t>.</w:t>
            </w:r>
            <w:r w:rsidRPr="00BB5519">
              <w:rPr>
                <w:rFonts w:cs="Tahoma"/>
                <w:szCs w:val="18"/>
              </w:rPr>
              <w:t>000 - $749</w:t>
            </w:r>
            <w:r w:rsidR="002228CB">
              <w:rPr>
                <w:rFonts w:cs="Tahoma"/>
                <w:szCs w:val="18"/>
              </w:rPr>
              <w:t>.</w:t>
            </w:r>
            <w:r w:rsidRPr="00BB5519">
              <w:rPr>
                <w:rFonts w:cs="Tahoma"/>
                <w:szCs w:val="18"/>
              </w:rPr>
              <w:t>999</w:t>
            </w:r>
          </w:p>
        </w:tc>
        <w:tc>
          <w:tcPr>
            <w:tcW w:w="2520" w:type="dxa"/>
          </w:tcPr>
          <w:p w:rsidR="00613BBB" w:rsidRPr="00BB5519" w:rsidRDefault="00613BBB" w:rsidP="00613BBB">
            <w:pPr>
              <w:jc w:val="center"/>
              <w:rPr>
                <w:rFonts w:cs="Tahoma"/>
                <w:szCs w:val="18"/>
              </w:rPr>
            </w:pPr>
            <w:r w:rsidRPr="00BB5519">
              <w:rPr>
                <w:rFonts w:cs="Tahoma"/>
                <w:szCs w:val="18"/>
              </w:rPr>
              <w:t>7</w:t>
            </w:r>
          </w:p>
        </w:tc>
      </w:tr>
      <w:tr w:rsidR="00613BBB" w:rsidRPr="00BB5519" w:rsidTr="00A62B4F">
        <w:tc>
          <w:tcPr>
            <w:tcW w:w="2399" w:type="dxa"/>
          </w:tcPr>
          <w:p w:rsidR="00613BBB" w:rsidRPr="00BB5519" w:rsidRDefault="00613BBB" w:rsidP="002228CB">
            <w:pPr>
              <w:jc w:val="center"/>
              <w:rPr>
                <w:rFonts w:cs="Tahoma"/>
                <w:szCs w:val="18"/>
              </w:rPr>
            </w:pPr>
            <w:r w:rsidRPr="00BB5519">
              <w:rPr>
                <w:rFonts w:cs="Tahoma"/>
                <w:szCs w:val="18"/>
              </w:rPr>
              <w:t>$750</w:t>
            </w:r>
            <w:r w:rsidR="002228CB">
              <w:rPr>
                <w:rFonts w:cs="Tahoma"/>
                <w:szCs w:val="18"/>
              </w:rPr>
              <w:t>.</w:t>
            </w:r>
            <w:r w:rsidRPr="00BB5519">
              <w:rPr>
                <w:rFonts w:cs="Tahoma"/>
                <w:szCs w:val="18"/>
              </w:rPr>
              <w:t>000 - $874</w:t>
            </w:r>
            <w:r w:rsidR="002228CB">
              <w:rPr>
                <w:rFonts w:cs="Tahoma"/>
                <w:szCs w:val="18"/>
              </w:rPr>
              <w:t>.</w:t>
            </w:r>
            <w:r w:rsidRPr="00BB5519">
              <w:rPr>
                <w:rFonts w:cs="Tahoma"/>
                <w:szCs w:val="18"/>
              </w:rPr>
              <w:t>999</w:t>
            </w:r>
          </w:p>
        </w:tc>
        <w:tc>
          <w:tcPr>
            <w:tcW w:w="2520" w:type="dxa"/>
          </w:tcPr>
          <w:p w:rsidR="00613BBB" w:rsidRPr="00BB5519" w:rsidRDefault="00613BBB" w:rsidP="00613BBB">
            <w:pPr>
              <w:jc w:val="center"/>
              <w:rPr>
                <w:rFonts w:cs="Tahoma"/>
                <w:szCs w:val="18"/>
              </w:rPr>
            </w:pPr>
            <w:r w:rsidRPr="00BB5519">
              <w:rPr>
                <w:rFonts w:cs="Tahoma"/>
                <w:szCs w:val="18"/>
              </w:rPr>
              <w:t>8</w:t>
            </w:r>
          </w:p>
        </w:tc>
      </w:tr>
    </w:tbl>
    <w:p w:rsidR="00613BBB" w:rsidRPr="00BB5519" w:rsidRDefault="00613BBB" w:rsidP="00613BBB"/>
    <w:p w:rsidR="00A17E03" w:rsidRPr="00BB5519" w:rsidRDefault="00A17E03" w:rsidP="00FF1B2B">
      <w:pPr>
        <w:rPr>
          <w:lang w:val="de-DE"/>
        </w:rPr>
      </w:pPr>
      <w:r w:rsidRPr="00BB5519">
        <w:rPr>
          <w:rFonts w:cs="Tahoma"/>
          <w:szCs w:val="18"/>
          <w:lang w:val="de-DE"/>
        </w:rPr>
        <w:t>Die folgende Tabelle gilt für Kunden, die über Lizenzen für Parallel Data Warehouse (PDW) verfügen:</w:t>
      </w:r>
    </w:p>
    <w:p w:rsidR="00A17E03" w:rsidRPr="00BB5519" w:rsidRDefault="00A17E03" w:rsidP="00A17E03">
      <w:pPr>
        <w:rPr>
          <w:lang w:val="de-D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1"/>
        <w:gridCol w:w="2520"/>
      </w:tblGrid>
      <w:tr w:rsidR="00A17E03" w:rsidRPr="00BB5519" w:rsidTr="00A62B4F">
        <w:tc>
          <w:tcPr>
            <w:tcW w:w="2381" w:type="dxa"/>
            <w:shd w:val="clear" w:color="auto" w:fill="FABF8F"/>
          </w:tcPr>
          <w:p w:rsidR="00A17E03" w:rsidRPr="00BB5519" w:rsidRDefault="00A17E03" w:rsidP="00A17E03">
            <w:pPr>
              <w:jc w:val="center"/>
              <w:rPr>
                <w:rFonts w:cs="Tahoma"/>
                <w:color w:val="000000"/>
                <w:szCs w:val="18"/>
                <w:lang w:val="de-DE"/>
              </w:rPr>
            </w:pPr>
            <w:r w:rsidRPr="00BB5519">
              <w:rPr>
                <w:rFonts w:cs="Tahoma"/>
                <w:b/>
                <w:bCs/>
                <w:color w:val="000000"/>
                <w:szCs w:val="18"/>
                <w:lang w:val="de-DE"/>
              </w:rPr>
              <w:t>Durchschnittliche SA-Ausgaben pro Jahr</w:t>
            </w:r>
          </w:p>
        </w:tc>
        <w:tc>
          <w:tcPr>
            <w:tcW w:w="2520" w:type="dxa"/>
            <w:shd w:val="clear" w:color="auto" w:fill="FABF8F"/>
          </w:tcPr>
          <w:p w:rsidR="00A17E03" w:rsidRPr="00BB5519" w:rsidRDefault="00A17E03" w:rsidP="00A17E03">
            <w:pPr>
              <w:jc w:val="center"/>
              <w:rPr>
                <w:rFonts w:cs="Tahoma"/>
                <w:color w:val="000000"/>
                <w:szCs w:val="18"/>
              </w:rPr>
            </w:pPr>
            <w:r w:rsidRPr="00BB5519">
              <w:rPr>
                <w:rFonts w:cs="Tahoma"/>
                <w:b/>
                <w:bCs/>
                <w:color w:val="000000"/>
                <w:szCs w:val="18"/>
              </w:rPr>
              <w:t>Zulässige Supportkontaktpersonen</w:t>
            </w:r>
          </w:p>
        </w:tc>
      </w:tr>
      <w:tr w:rsidR="00A17E03" w:rsidRPr="00BB5519" w:rsidTr="00A62B4F">
        <w:tc>
          <w:tcPr>
            <w:tcW w:w="2381" w:type="dxa"/>
          </w:tcPr>
          <w:p w:rsidR="00A17E03" w:rsidRPr="00BB5519" w:rsidRDefault="00A17E03" w:rsidP="002228CB">
            <w:pPr>
              <w:jc w:val="center"/>
              <w:rPr>
                <w:rFonts w:cs="Tahoma"/>
                <w:color w:val="000000"/>
                <w:szCs w:val="18"/>
              </w:rPr>
            </w:pPr>
            <w:r w:rsidRPr="00BB5519">
              <w:rPr>
                <w:rFonts w:cs="Tahoma"/>
                <w:color w:val="000000"/>
                <w:szCs w:val="18"/>
              </w:rPr>
              <w:t>$0 - $374</w:t>
            </w:r>
            <w:r w:rsidR="002228CB">
              <w:rPr>
                <w:rFonts w:cs="Tahoma"/>
                <w:color w:val="000000"/>
                <w:szCs w:val="18"/>
              </w:rPr>
              <w:t>.</w:t>
            </w:r>
            <w:r w:rsidRPr="00BB5519">
              <w:rPr>
                <w:rFonts w:cs="Tahoma"/>
                <w:color w:val="000000"/>
                <w:szCs w:val="18"/>
              </w:rPr>
              <w:t>999</w:t>
            </w:r>
          </w:p>
        </w:tc>
        <w:tc>
          <w:tcPr>
            <w:tcW w:w="2520" w:type="dxa"/>
          </w:tcPr>
          <w:p w:rsidR="00A17E03" w:rsidRPr="00BB5519" w:rsidRDefault="00A17E03" w:rsidP="00A17E03">
            <w:pPr>
              <w:jc w:val="center"/>
              <w:rPr>
                <w:rFonts w:cs="Tahoma"/>
                <w:color w:val="000000"/>
                <w:szCs w:val="18"/>
              </w:rPr>
            </w:pPr>
            <w:r w:rsidRPr="00BB5519">
              <w:rPr>
                <w:rFonts w:cs="Tahoma"/>
                <w:color w:val="000000"/>
                <w:szCs w:val="18"/>
              </w:rPr>
              <w:t>4</w:t>
            </w:r>
          </w:p>
        </w:tc>
      </w:tr>
      <w:tr w:rsidR="00A17E03" w:rsidRPr="00BB5519" w:rsidTr="00A62B4F">
        <w:tc>
          <w:tcPr>
            <w:tcW w:w="2381" w:type="dxa"/>
          </w:tcPr>
          <w:p w:rsidR="00A17E03" w:rsidRPr="00BB5519" w:rsidRDefault="00A17E03" w:rsidP="002228CB">
            <w:pPr>
              <w:jc w:val="center"/>
              <w:rPr>
                <w:rFonts w:cs="Tahoma"/>
                <w:szCs w:val="18"/>
              </w:rPr>
            </w:pPr>
            <w:r w:rsidRPr="00BB5519">
              <w:rPr>
                <w:rFonts w:cs="Tahoma"/>
                <w:szCs w:val="18"/>
              </w:rPr>
              <w:t>$375</w:t>
            </w:r>
            <w:r w:rsidR="002228CB">
              <w:rPr>
                <w:rFonts w:cs="Tahoma"/>
                <w:szCs w:val="18"/>
              </w:rPr>
              <w:t>.</w:t>
            </w:r>
            <w:r w:rsidRPr="00BB5519">
              <w:rPr>
                <w:rFonts w:cs="Tahoma"/>
                <w:szCs w:val="18"/>
              </w:rPr>
              <w:t>000 - $499</w:t>
            </w:r>
            <w:r w:rsidR="002228CB">
              <w:rPr>
                <w:rFonts w:cs="Tahoma"/>
                <w:szCs w:val="18"/>
              </w:rPr>
              <w:t>.</w:t>
            </w:r>
            <w:r w:rsidRPr="00BB5519">
              <w:rPr>
                <w:rFonts w:cs="Tahoma"/>
                <w:szCs w:val="18"/>
              </w:rPr>
              <w:t>999</w:t>
            </w:r>
          </w:p>
        </w:tc>
        <w:tc>
          <w:tcPr>
            <w:tcW w:w="2520" w:type="dxa"/>
          </w:tcPr>
          <w:p w:rsidR="00A17E03" w:rsidRPr="00BB5519" w:rsidRDefault="00A17E03" w:rsidP="00A17E03">
            <w:pPr>
              <w:jc w:val="center"/>
              <w:rPr>
                <w:rFonts w:cs="Tahoma"/>
                <w:szCs w:val="18"/>
              </w:rPr>
            </w:pPr>
            <w:r w:rsidRPr="00BB5519">
              <w:rPr>
                <w:rFonts w:cs="Tahoma"/>
                <w:szCs w:val="18"/>
              </w:rPr>
              <w:t>5</w:t>
            </w:r>
          </w:p>
        </w:tc>
      </w:tr>
      <w:tr w:rsidR="00A17E03" w:rsidRPr="00BB5519" w:rsidTr="00A62B4F">
        <w:tc>
          <w:tcPr>
            <w:tcW w:w="2381" w:type="dxa"/>
          </w:tcPr>
          <w:p w:rsidR="00A17E03" w:rsidRPr="00BB5519" w:rsidRDefault="00A17E03" w:rsidP="002228CB">
            <w:pPr>
              <w:jc w:val="center"/>
              <w:rPr>
                <w:rFonts w:cs="Tahoma"/>
                <w:szCs w:val="18"/>
              </w:rPr>
            </w:pPr>
            <w:r w:rsidRPr="00BB5519">
              <w:rPr>
                <w:rFonts w:cs="Tahoma"/>
                <w:szCs w:val="18"/>
              </w:rPr>
              <w:t>$500</w:t>
            </w:r>
            <w:r w:rsidR="002228CB">
              <w:rPr>
                <w:rFonts w:cs="Tahoma"/>
                <w:szCs w:val="18"/>
              </w:rPr>
              <w:t>.</w:t>
            </w:r>
            <w:r w:rsidRPr="00BB5519">
              <w:rPr>
                <w:rFonts w:cs="Tahoma"/>
                <w:szCs w:val="18"/>
              </w:rPr>
              <w:t>000 - $624</w:t>
            </w:r>
            <w:r w:rsidR="002228CB">
              <w:rPr>
                <w:rFonts w:cs="Tahoma"/>
                <w:szCs w:val="18"/>
              </w:rPr>
              <w:t>.</w:t>
            </w:r>
            <w:r w:rsidRPr="00BB5519">
              <w:rPr>
                <w:rFonts w:cs="Tahoma"/>
                <w:szCs w:val="18"/>
              </w:rPr>
              <w:t>999</w:t>
            </w:r>
          </w:p>
        </w:tc>
        <w:tc>
          <w:tcPr>
            <w:tcW w:w="2520" w:type="dxa"/>
          </w:tcPr>
          <w:p w:rsidR="00A17E03" w:rsidRPr="00BB5519" w:rsidRDefault="00A17E03" w:rsidP="00A17E03">
            <w:pPr>
              <w:jc w:val="center"/>
              <w:rPr>
                <w:rFonts w:cs="Tahoma"/>
                <w:szCs w:val="18"/>
              </w:rPr>
            </w:pPr>
            <w:r w:rsidRPr="00BB5519">
              <w:rPr>
                <w:rFonts w:cs="Tahoma"/>
                <w:szCs w:val="18"/>
              </w:rPr>
              <w:t>6</w:t>
            </w:r>
          </w:p>
        </w:tc>
      </w:tr>
      <w:tr w:rsidR="00A17E03" w:rsidRPr="00BB5519" w:rsidTr="00A62B4F">
        <w:tc>
          <w:tcPr>
            <w:tcW w:w="2381" w:type="dxa"/>
          </w:tcPr>
          <w:p w:rsidR="00A17E03" w:rsidRPr="00BB5519" w:rsidRDefault="00A17E03" w:rsidP="002228CB">
            <w:pPr>
              <w:jc w:val="center"/>
              <w:rPr>
                <w:rFonts w:cs="Tahoma"/>
                <w:szCs w:val="18"/>
              </w:rPr>
            </w:pPr>
            <w:r w:rsidRPr="00BB5519">
              <w:rPr>
                <w:rFonts w:cs="Tahoma"/>
                <w:szCs w:val="18"/>
              </w:rPr>
              <w:t>$625</w:t>
            </w:r>
            <w:r w:rsidR="002228CB">
              <w:rPr>
                <w:rFonts w:cs="Tahoma"/>
                <w:szCs w:val="18"/>
              </w:rPr>
              <w:t>.</w:t>
            </w:r>
            <w:r w:rsidRPr="00BB5519">
              <w:rPr>
                <w:rFonts w:cs="Tahoma"/>
                <w:szCs w:val="18"/>
              </w:rPr>
              <w:t>000 - $749</w:t>
            </w:r>
            <w:r w:rsidR="002228CB">
              <w:rPr>
                <w:rFonts w:cs="Tahoma"/>
                <w:szCs w:val="18"/>
              </w:rPr>
              <w:t>.</w:t>
            </w:r>
            <w:r w:rsidRPr="00BB5519">
              <w:rPr>
                <w:rFonts w:cs="Tahoma"/>
                <w:szCs w:val="18"/>
              </w:rPr>
              <w:t>999</w:t>
            </w:r>
          </w:p>
        </w:tc>
        <w:tc>
          <w:tcPr>
            <w:tcW w:w="2520" w:type="dxa"/>
          </w:tcPr>
          <w:p w:rsidR="00A17E03" w:rsidRPr="00BB5519" w:rsidRDefault="00A17E03" w:rsidP="00A17E03">
            <w:pPr>
              <w:jc w:val="center"/>
              <w:rPr>
                <w:rFonts w:cs="Tahoma"/>
                <w:szCs w:val="18"/>
              </w:rPr>
            </w:pPr>
            <w:r w:rsidRPr="00BB5519">
              <w:rPr>
                <w:rFonts w:cs="Tahoma"/>
                <w:szCs w:val="18"/>
              </w:rPr>
              <w:t>7</w:t>
            </w:r>
          </w:p>
        </w:tc>
      </w:tr>
      <w:tr w:rsidR="00A17E03" w:rsidRPr="00BB5519" w:rsidTr="00A62B4F">
        <w:tc>
          <w:tcPr>
            <w:tcW w:w="2381" w:type="dxa"/>
          </w:tcPr>
          <w:p w:rsidR="00A17E03" w:rsidRPr="00BB5519" w:rsidRDefault="00A17E03" w:rsidP="002228CB">
            <w:pPr>
              <w:jc w:val="center"/>
              <w:rPr>
                <w:rFonts w:cs="Tahoma"/>
                <w:szCs w:val="18"/>
              </w:rPr>
            </w:pPr>
            <w:r w:rsidRPr="00BB5519">
              <w:rPr>
                <w:rFonts w:cs="Tahoma"/>
                <w:szCs w:val="18"/>
              </w:rPr>
              <w:t>$750</w:t>
            </w:r>
            <w:r w:rsidR="002228CB">
              <w:rPr>
                <w:rFonts w:cs="Tahoma"/>
                <w:szCs w:val="18"/>
              </w:rPr>
              <w:t>.</w:t>
            </w:r>
            <w:r w:rsidRPr="00BB5519">
              <w:rPr>
                <w:rFonts w:cs="Tahoma"/>
                <w:szCs w:val="18"/>
              </w:rPr>
              <w:t>000 - $874</w:t>
            </w:r>
            <w:r w:rsidR="002228CB">
              <w:rPr>
                <w:rFonts w:cs="Tahoma"/>
                <w:szCs w:val="18"/>
              </w:rPr>
              <w:t>.</w:t>
            </w:r>
            <w:r w:rsidRPr="00BB5519">
              <w:rPr>
                <w:rFonts w:cs="Tahoma"/>
                <w:szCs w:val="18"/>
              </w:rPr>
              <w:t>999</w:t>
            </w:r>
          </w:p>
        </w:tc>
        <w:tc>
          <w:tcPr>
            <w:tcW w:w="2520" w:type="dxa"/>
          </w:tcPr>
          <w:p w:rsidR="00A17E03" w:rsidRPr="00BB5519" w:rsidRDefault="00A17E03" w:rsidP="00A17E03">
            <w:pPr>
              <w:jc w:val="center"/>
              <w:rPr>
                <w:rFonts w:cs="Tahoma"/>
                <w:szCs w:val="18"/>
              </w:rPr>
            </w:pPr>
            <w:r w:rsidRPr="00BB5519">
              <w:rPr>
                <w:rFonts w:cs="Tahoma"/>
                <w:szCs w:val="18"/>
              </w:rPr>
              <w:t>8</w:t>
            </w:r>
          </w:p>
        </w:tc>
      </w:tr>
    </w:tbl>
    <w:p w:rsidR="00A17E03" w:rsidRPr="00BB5519" w:rsidRDefault="00A17E03" w:rsidP="00F530ED">
      <w:pPr>
        <w:jc w:val="both"/>
      </w:pPr>
    </w:p>
    <w:p w:rsidR="00A17E03" w:rsidRPr="00BB5519" w:rsidRDefault="00A17E03" w:rsidP="00F42FB8">
      <w:pPr>
        <w:jc w:val="both"/>
        <w:rPr>
          <w:lang w:val="de-DE"/>
        </w:rPr>
      </w:pPr>
      <w:r w:rsidRPr="00BB5519">
        <w:rPr>
          <w:rFonts w:cs="Tahoma"/>
          <w:szCs w:val="18"/>
          <w:lang w:val="de-DE"/>
        </w:rPr>
        <w:t xml:space="preserve">Supportanfragen sollten von einer benannten Kontaktperson des Kunden telefonisch oder über die Website und nach der Vorgehensweise veranlasst werden, die im Premier-Servicevertrag des Kunden beschrieben ist.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rsidR="00023FE7" w:rsidRPr="00BB5519" w:rsidRDefault="00023FE7" w:rsidP="00F42FB8">
      <w:pPr>
        <w:pStyle w:val="Heading3"/>
        <w:rPr>
          <w:lang w:val="de-DE"/>
        </w:rPr>
      </w:pPr>
    </w:p>
    <w:p w:rsidR="00620185" w:rsidRPr="00BB5519" w:rsidRDefault="00620185" w:rsidP="00F42FB8">
      <w:pPr>
        <w:pStyle w:val="Heading3"/>
        <w:rPr>
          <w:lang w:val="de-DE"/>
        </w:rPr>
      </w:pPr>
      <w:bookmarkStart w:id="810" w:name="_Toc336338238"/>
      <w:bookmarkStart w:id="811" w:name="_Toc354054934"/>
      <w:r w:rsidRPr="00BB5519">
        <w:rPr>
          <w:rFonts w:ascii="Tahoma" w:hAnsi="Tahoma" w:cs="Tahoma"/>
          <w:color w:val="000000"/>
          <w:sz w:val="24"/>
          <w:szCs w:val="18"/>
          <w:lang w:val="de-DE"/>
        </w:rPr>
        <w:t>System Center Advisor</w:t>
      </w:r>
      <w:bookmarkEnd w:id="810"/>
      <w:bookmarkEnd w:id="811"/>
    </w:p>
    <w:p w:rsidR="00620185" w:rsidRPr="00BB5519" w:rsidRDefault="00620185" w:rsidP="00F42FB8">
      <w:pPr>
        <w:rPr>
          <w:lang w:val="de-DE"/>
        </w:rPr>
      </w:pPr>
    </w:p>
    <w:p w:rsidR="001C1727" w:rsidRPr="00BB5519" w:rsidRDefault="00F56FC9">
      <w:pPr>
        <w:rPr>
          <w:lang w:val="de-DE"/>
        </w:rPr>
      </w:pPr>
      <w:r w:rsidRPr="00BB5519">
        <w:rPr>
          <w:rFonts w:cs="Tahoma"/>
          <w:szCs w:val="18"/>
          <w:lang w:val="de-DE"/>
        </w:rPr>
        <w:t xml:space="preserve">Kunden mit aktiver Software Assurance für Softwarelizenzen für die Editionen von Windows Server, SQL Server, Exchange Server und SharePoint Server, die in der Tabelle unten angegeben sind, sind berechtigt, System Center Advisor wie in den Produktbenutzungsrechten dargelegt zu verwenden. </w:t>
      </w:r>
    </w:p>
    <w:p w:rsidR="003479E5" w:rsidRPr="00BB5519" w:rsidRDefault="003479E5" w:rsidP="00792D1E">
      <w:pPr>
        <w:outlineLvl w:val="2"/>
        <w:rPr>
          <w:lang w:val="de-D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BB5519" w:rsidTr="00A62B4F">
        <w:trPr>
          <w:tblHeader/>
        </w:trPr>
        <w:tc>
          <w:tcPr>
            <w:tcW w:w="3760" w:type="dxa"/>
            <w:gridSpan w:val="2"/>
            <w:shd w:val="clear" w:color="auto" w:fill="FABF8F"/>
          </w:tcPr>
          <w:p w:rsidR="00A13BC3" w:rsidRPr="00BB5519" w:rsidRDefault="00A13BC3" w:rsidP="007E466C">
            <w:pPr>
              <w:spacing w:before="120" w:after="120" w:line="276" w:lineRule="auto"/>
              <w:jc w:val="center"/>
              <w:rPr>
                <w:rFonts w:cs="Tahoma"/>
                <w:b/>
                <w:bCs/>
                <w:color w:val="000000"/>
                <w:szCs w:val="18"/>
                <w:lang w:eastAsia="ja-JP"/>
              </w:rPr>
            </w:pPr>
            <w:r w:rsidRPr="00BB5519">
              <w:rPr>
                <w:rFonts w:cs="Tahoma"/>
                <w:b/>
                <w:bCs/>
                <w:color w:val="000000"/>
                <w:szCs w:val="18"/>
              </w:rPr>
              <w:t>Qualifizierende Serversoftware*</w:t>
            </w:r>
          </w:p>
        </w:tc>
        <w:tc>
          <w:tcPr>
            <w:tcW w:w="1774" w:type="dxa"/>
            <w:shd w:val="clear" w:color="auto" w:fill="FABF8F"/>
          </w:tcPr>
          <w:p w:rsidR="00A13BC3" w:rsidRPr="00BB5519"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BB5519"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BB5519" w:rsidRDefault="00A13BC3" w:rsidP="003479E5">
            <w:pPr>
              <w:spacing w:after="200" w:line="276" w:lineRule="auto"/>
              <w:jc w:val="center"/>
              <w:rPr>
                <w:rFonts w:cs="Tahoma"/>
                <w:b/>
                <w:bCs/>
                <w:color w:val="000000"/>
                <w:szCs w:val="18"/>
                <w:lang w:eastAsia="ja-JP"/>
              </w:rPr>
            </w:pPr>
          </w:p>
        </w:tc>
      </w:tr>
      <w:tr w:rsidR="00A13BC3" w:rsidRPr="00BB5519" w:rsidTr="00A62B4F">
        <w:trPr>
          <w:tblHeader/>
        </w:trPr>
        <w:tc>
          <w:tcPr>
            <w:tcW w:w="1912" w:type="dxa"/>
            <w:shd w:val="clear" w:color="auto" w:fill="FABF8F"/>
            <w:vAlign w:val="center"/>
          </w:tcPr>
          <w:p w:rsidR="00A13BC3" w:rsidRPr="00BB5519" w:rsidRDefault="00A13BC3" w:rsidP="007E466C">
            <w:pPr>
              <w:spacing w:before="120" w:after="120" w:line="276" w:lineRule="auto"/>
              <w:jc w:val="center"/>
              <w:rPr>
                <w:rFonts w:cs="Tahoma"/>
                <w:color w:val="000000"/>
                <w:szCs w:val="18"/>
                <w:lang w:eastAsia="ja-JP"/>
              </w:rPr>
            </w:pPr>
            <w:r w:rsidRPr="00BB5519">
              <w:rPr>
                <w:rFonts w:cs="Tahoma"/>
                <w:b/>
                <w:bCs/>
                <w:color w:val="000000"/>
                <w:szCs w:val="18"/>
              </w:rPr>
              <w:t>Windows Server</w:t>
            </w:r>
          </w:p>
        </w:tc>
        <w:tc>
          <w:tcPr>
            <w:tcW w:w="1848" w:type="dxa"/>
            <w:shd w:val="clear" w:color="auto" w:fill="FABF8F"/>
            <w:vAlign w:val="center"/>
          </w:tcPr>
          <w:p w:rsidR="00A13BC3" w:rsidRPr="00BB5519" w:rsidRDefault="00A13BC3" w:rsidP="007E466C">
            <w:pPr>
              <w:spacing w:before="120" w:after="120" w:line="276" w:lineRule="auto"/>
              <w:jc w:val="center"/>
              <w:rPr>
                <w:rFonts w:cs="Tahoma"/>
                <w:color w:val="000000"/>
                <w:szCs w:val="18"/>
                <w:lang w:eastAsia="ja-JP"/>
              </w:rPr>
            </w:pPr>
            <w:r w:rsidRPr="00BB5519">
              <w:rPr>
                <w:rFonts w:cs="Tahoma"/>
                <w:b/>
                <w:bCs/>
                <w:color w:val="000000"/>
                <w:szCs w:val="18"/>
              </w:rPr>
              <w:t>SQL Server</w:t>
            </w:r>
          </w:p>
        </w:tc>
        <w:tc>
          <w:tcPr>
            <w:tcW w:w="1774" w:type="dxa"/>
            <w:shd w:val="clear" w:color="auto" w:fill="FABF8F"/>
            <w:vAlign w:val="center"/>
          </w:tcPr>
          <w:p w:rsidR="00A13BC3" w:rsidRPr="00BB5519" w:rsidRDefault="00A13BC3" w:rsidP="007E466C">
            <w:pPr>
              <w:spacing w:before="120" w:after="120" w:line="276" w:lineRule="auto"/>
              <w:jc w:val="center"/>
              <w:rPr>
                <w:rFonts w:cs="Tahoma"/>
                <w:b/>
                <w:bCs/>
                <w:color w:val="000000"/>
                <w:szCs w:val="18"/>
                <w:lang w:eastAsia="ja-JP"/>
              </w:rPr>
            </w:pPr>
            <w:r w:rsidRPr="00BB5519">
              <w:rPr>
                <w:rFonts w:cs="Tahoma"/>
                <w:b/>
                <w:bCs/>
                <w:color w:val="000000"/>
                <w:szCs w:val="18"/>
              </w:rPr>
              <w:t>Exchange Server</w:t>
            </w:r>
          </w:p>
        </w:tc>
        <w:tc>
          <w:tcPr>
            <w:tcW w:w="1913" w:type="dxa"/>
            <w:shd w:val="clear" w:color="auto" w:fill="FABF8F"/>
            <w:vAlign w:val="center"/>
          </w:tcPr>
          <w:p w:rsidR="00A13BC3" w:rsidRPr="00BB5519" w:rsidRDefault="00A13BC3" w:rsidP="007E466C">
            <w:pPr>
              <w:spacing w:before="120" w:after="120" w:line="276" w:lineRule="auto"/>
              <w:jc w:val="center"/>
              <w:rPr>
                <w:rFonts w:cs="Tahoma"/>
                <w:b/>
                <w:bCs/>
                <w:color w:val="000000"/>
                <w:szCs w:val="18"/>
                <w:lang w:eastAsia="ja-JP"/>
              </w:rPr>
            </w:pPr>
            <w:r w:rsidRPr="00BB5519">
              <w:rPr>
                <w:rFonts w:cs="Tahoma"/>
                <w:b/>
                <w:bCs/>
                <w:color w:val="000000"/>
                <w:szCs w:val="18"/>
              </w:rPr>
              <w:t>SharePoint Server</w:t>
            </w:r>
          </w:p>
        </w:tc>
        <w:tc>
          <w:tcPr>
            <w:tcW w:w="1391" w:type="dxa"/>
            <w:shd w:val="clear" w:color="auto" w:fill="FABF8F"/>
            <w:vAlign w:val="center"/>
          </w:tcPr>
          <w:p w:rsidR="00A13BC3" w:rsidRPr="00BB5519" w:rsidRDefault="00A13BC3" w:rsidP="007E466C">
            <w:pPr>
              <w:spacing w:before="120" w:after="120" w:line="276" w:lineRule="auto"/>
              <w:jc w:val="center"/>
              <w:rPr>
                <w:rFonts w:cs="Tahoma"/>
                <w:b/>
                <w:bCs/>
                <w:color w:val="000000"/>
                <w:szCs w:val="18"/>
                <w:lang w:eastAsia="ja-JP"/>
              </w:rPr>
            </w:pPr>
            <w:r w:rsidRPr="00BB5519">
              <w:rPr>
                <w:rFonts w:cs="Tahoma"/>
                <w:b/>
                <w:bCs/>
                <w:color w:val="000000"/>
                <w:szCs w:val="18"/>
              </w:rPr>
              <w:t>Lync Server</w:t>
            </w:r>
          </w:p>
        </w:tc>
      </w:tr>
      <w:tr w:rsidR="00A13BC3" w:rsidRPr="00BB5519" w:rsidTr="007E466C">
        <w:tc>
          <w:tcPr>
            <w:tcW w:w="1912" w:type="dxa"/>
          </w:tcPr>
          <w:p w:rsidR="00A13BC3" w:rsidRPr="00BB5519" w:rsidRDefault="00A13BC3" w:rsidP="003479E5">
            <w:pPr>
              <w:spacing w:after="200" w:line="276" w:lineRule="auto"/>
              <w:jc w:val="center"/>
              <w:rPr>
                <w:rFonts w:cs="Tahoma"/>
                <w:color w:val="000000"/>
                <w:szCs w:val="18"/>
                <w:lang w:eastAsia="ja-JP"/>
              </w:rPr>
            </w:pPr>
            <w:r w:rsidRPr="00BB5519">
              <w:rPr>
                <w:rFonts w:cs="Tahoma"/>
                <w:color w:val="000000"/>
                <w:szCs w:val="18"/>
              </w:rPr>
              <w:t>Windows Server Datacenter</w:t>
            </w:r>
          </w:p>
        </w:tc>
        <w:tc>
          <w:tcPr>
            <w:tcW w:w="1848" w:type="dxa"/>
          </w:tcPr>
          <w:p w:rsidR="00A13BC3" w:rsidRPr="00BB5519" w:rsidRDefault="00A13BC3" w:rsidP="003479E5">
            <w:pPr>
              <w:spacing w:after="200" w:line="276" w:lineRule="auto"/>
              <w:jc w:val="center"/>
              <w:rPr>
                <w:rFonts w:cs="Tahoma"/>
                <w:color w:val="000000"/>
                <w:szCs w:val="18"/>
                <w:lang w:eastAsia="ja-JP"/>
              </w:rPr>
            </w:pPr>
            <w:r w:rsidRPr="00BB5519">
              <w:rPr>
                <w:rFonts w:cs="Tahoma"/>
                <w:color w:val="000000"/>
                <w:szCs w:val="18"/>
              </w:rPr>
              <w:t xml:space="preserve">SQL Server Parallel Data Warehouse </w:t>
            </w:r>
          </w:p>
        </w:tc>
        <w:tc>
          <w:tcPr>
            <w:tcW w:w="1774" w:type="dxa"/>
          </w:tcPr>
          <w:p w:rsidR="00A13BC3" w:rsidRPr="00BB5519" w:rsidRDefault="00A13BC3" w:rsidP="003479E5">
            <w:pPr>
              <w:spacing w:after="200" w:line="276" w:lineRule="auto"/>
              <w:jc w:val="center"/>
              <w:rPr>
                <w:rFonts w:cs="Tahoma"/>
                <w:color w:val="000000"/>
                <w:szCs w:val="18"/>
                <w:lang w:eastAsia="ja-JP"/>
              </w:rPr>
            </w:pPr>
            <w:r w:rsidRPr="00BB5519">
              <w:rPr>
                <w:rFonts w:cs="Tahoma"/>
                <w:color w:val="000000"/>
                <w:szCs w:val="18"/>
              </w:rPr>
              <w:t>Exchange Small Business Server</w:t>
            </w:r>
          </w:p>
        </w:tc>
        <w:tc>
          <w:tcPr>
            <w:tcW w:w="1913" w:type="dxa"/>
          </w:tcPr>
          <w:p w:rsidR="00A13BC3" w:rsidRPr="00BB5519" w:rsidRDefault="00A13BC3" w:rsidP="003479E5">
            <w:pPr>
              <w:spacing w:after="200" w:line="276" w:lineRule="auto"/>
              <w:jc w:val="center"/>
              <w:rPr>
                <w:rFonts w:cs="Tahoma"/>
                <w:color w:val="000000"/>
                <w:szCs w:val="18"/>
                <w:lang w:eastAsia="ja-JP"/>
              </w:rPr>
            </w:pPr>
            <w:r w:rsidRPr="00BB5519">
              <w:rPr>
                <w:rFonts w:cs="Tahoma"/>
                <w:color w:val="000000"/>
                <w:szCs w:val="18"/>
              </w:rPr>
              <w:t>SharePoint for Internet Sites Server Enterprise</w:t>
            </w:r>
          </w:p>
        </w:tc>
        <w:tc>
          <w:tcPr>
            <w:tcW w:w="1391" w:type="dxa"/>
          </w:tcPr>
          <w:p w:rsidR="00A13BC3" w:rsidRPr="00BB5519" w:rsidRDefault="00A13BC3" w:rsidP="003479E5">
            <w:pPr>
              <w:spacing w:after="200" w:line="276" w:lineRule="auto"/>
              <w:jc w:val="center"/>
              <w:rPr>
                <w:rFonts w:cs="Tahoma"/>
                <w:color w:val="000000"/>
                <w:szCs w:val="18"/>
                <w:lang w:eastAsia="ja-JP"/>
              </w:rPr>
            </w:pPr>
            <w:r w:rsidRPr="00BB5519">
              <w:rPr>
                <w:rFonts w:cs="Tahoma"/>
                <w:color w:val="000000"/>
                <w:szCs w:val="18"/>
              </w:rPr>
              <w:t>Lync Server 2010 Enterprise Edition</w:t>
            </w:r>
          </w:p>
        </w:tc>
      </w:tr>
      <w:tr w:rsidR="00A13BC3" w:rsidRPr="00BB5519" w:rsidTr="007E466C">
        <w:tc>
          <w:tcPr>
            <w:tcW w:w="1912" w:type="dxa"/>
          </w:tcPr>
          <w:p w:rsidR="00A13BC3" w:rsidRPr="00BB5519" w:rsidRDefault="00A13BC3" w:rsidP="00A62B4F">
            <w:pPr>
              <w:keepNext/>
              <w:keepLines/>
              <w:spacing w:after="200" w:line="276" w:lineRule="auto"/>
              <w:jc w:val="center"/>
              <w:rPr>
                <w:rFonts w:cs="Tahoma"/>
                <w:szCs w:val="18"/>
              </w:rPr>
            </w:pPr>
            <w:r w:rsidRPr="00BB5519">
              <w:rPr>
                <w:rFonts w:cs="Tahoma"/>
                <w:color w:val="000000"/>
                <w:szCs w:val="18"/>
              </w:rPr>
              <w:lastRenderedPageBreak/>
              <w:t>Windows Server Enterprise</w:t>
            </w:r>
          </w:p>
        </w:tc>
        <w:tc>
          <w:tcPr>
            <w:tcW w:w="1848" w:type="dxa"/>
          </w:tcPr>
          <w:p w:rsidR="00A13BC3" w:rsidRPr="00BB5519" w:rsidRDefault="00A13BC3" w:rsidP="00A62B4F">
            <w:pPr>
              <w:keepNext/>
              <w:keepLines/>
              <w:spacing w:after="200" w:line="276" w:lineRule="auto"/>
              <w:jc w:val="center"/>
              <w:rPr>
                <w:rFonts w:cs="Tahoma"/>
                <w:szCs w:val="18"/>
                <w:lang w:eastAsia="ja-JP"/>
              </w:rPr>
            </w:pPr>
            <w:r w:rsidRPr="00BB5519">
              <w:rPr>
                <w:rFonts w:cs="Tahoma"/>
                <w:color w:val="000000"/>
                <w:szCs w:val="18"/>
              </w:rPr>
              <w:t>SQL Server Datacenter</w:t>
            </w:r>
          </w:p>
        </w:tc>
        <w:tc>
          <w:tcPr>
            <w:tcW w:w="1774" w:type="dxa"/>
          </w:tcPr>
          <w:p w:rsidR="00A13BC3" w:rsidRPr="00BB5519" w:rsidRDefault="00A13BC3" w:rsidP="00A62B4F">
            <w:pPr>
              <w:keepNext/>
              <w:keepLines/>
              <w:spacing w:after="200" w:line="276" w:lineRule="auto"/>
              <w:jc w:val="center"/>
              <w:rPr>
                <w:rFonts w:cs="Tahoma"/>
                <w:color w:val="000000"/>
                <w:szCs w:val="18"/>
                <w:lang w:eastAsia="ja-JP"/>
              </w:rPr>
            </w:pPr>
            <w:r w:rsidRPr="00BB5519">
              <w:rPr>
                <w:rFonts w:cs="Tahoma"/>
                <w:color w:val="000000"/>
                <w:szCs w:val="18"/>
              </w:rPr>
              <w:t>Exchange Server Enterprise</w:t>
            </w:r>
          </w:p>
        </w:tc>
        <w:tc>
          <w:tcPr>
            <w:tcW w:w="1913" w:type="dxa"/>
          </w:tcPr>
          <w:p w:rsidR="00A13BC3" w:rsidRPr="00BB5519" w:rsidRDefault="00A13BC3" w:rsidP="00A62B4F">
            <w:pPr>
              <w:keepNext/>
              <w:keepLines/>
              <w:spacing w:after="200" w:line="276" w:lineRule="auto"/>
              <w:jc w:val="center"/>
              <w:rPr>
                <w:rFonts w:cs="Tahoma"/>
                <w:color w:val="000000"/>
                <w:szCs w:val="18"/>
                <w:lang w:eastAsia="ja-JP"/>
              </w:rPr>
            </w:pPr>
            <w:r w:rsidRPr="00BB5519">
              <w:rPr>
                <w:rFonts w:cs="Tahoma"/>
                <w:color w:val="000000"/>
                <w:szCs w:val="18"/>
              </w:rPr>
              <w:t>SharePoint for Internet Sites Server Standard</w:t>
            </w:r>
          </w:p>
        </w:tc>
        <w:tc>
          <w:tcPr>
            <w:tcW w:w="1391" w:type="dxa"/>
          </w:tcPr>
          <w:p w:rsidR="00A13BC3" w:rsidRPr="00BB5519" w:rsidRDefault="00A13BC3" w:rsidP="00A62B4F">
            <w:pPr>
              <w:keepNext/>
              <w:keepLines/>
              <w:spacing w:after="200" w:line="276" w:lineRule="auto"/>
              <w:jc w:val="center"/>
              <w:rPr>
                <w:rFonts w:cs="Tahoma"/>
                <w:color w:val="000000"/>
                <w:szCs w:val="18"/>
                <w:lang w:eastAsia="ja-JP"/>
              </w:rPr>
            </w:pPr>
            <w:r w:rsidRPr="00BB5519">
              <w:rPr>
                <w:rFonts w:cs="Tahoma"/>
                <w:color w:val="000000"/>
                <w:szCs w:val="18"/>
              </w:rPr>
              <w:t>Lync Server 2010 Standard Edition</w:t>
            </w:r>
          </w:p>
        </w:tc>
      </w:tr>
      <w:tr w:rsidR="00A13BC3" w:rsidRPr="00BB5519" w:rsidTr="007E466C">
        <w:tc>
          <w:tcPr>
            <w:tcW w:w="1912" w:type="dxa"/>
          </w:tcPr>
          <w:p w:rsidR="00A13BC3" w:rsidRPr="00BB5519" w:rsidRDefault="00A13BC3" w:rsidP="003479E5">
            <w:pPr>
              <w:spacing w:after="200" w:line="276" w:lineRule="auto"/>
              <w:jc w:val="center"/>
              <w:rPr>
                <w:rFonts w:cs="Tahoma"/>
                <w:szCs w:val="18"/>
                <w:lang w:eastAsia="ja-JP"/>
              </w:rPr>
            </w:pPr>
            <w:r w:rsidRPr="00BB5519">
              <w:rPr>
                <w:rFonts w:cs="Tahoma"/>
                <w:color w:val="000000"/>
                <w:szCs w:val="18"/>
              </w:rPr>
              <w:t>Windows Server Standard</w:t>
            </w:r>
          </w:p>
        </w:tc>
        <w:tc>
          <w:tcPr>
            <w:tcW w:w="1848" w:type="dxa"/>
          </w:tcPr>
          <w:p w:rsidR="00A13BC3" w:rsidRPr="00BB5519" w:rsidRDefault="00A13BC3" w:rsidP="003479E5">
            <w:pPr>
              <w:spacing w:after="200" w:line="276" w:lineRule="auto"/>
              <w:jc w:val="center"/>
              <w:rPr>
                <w:rFonts w:cs="Tahoma"/>
                <w:szCs w:val="18"/>
                <w:lang w:eastAsia="ja-JP"/>
              </w:rPr>
            </w:pPr>
            <w:r w:rsidRPr="00BB5519">
              <w:rPr>
                <w:rFonts w:cs="Tahoma"/>
                <w:szCs w:val="18"/>
              </w:rPr>
              <w:t>SQL Server Enterprise</w:t>
            </w:r>
          </w:p>
        </w:tc>
        <w:tc>
          <w:tcPr>
            <w:tcW w:w="1774" w:type="dxa"/>
          </w:tcPr>
          <w:p w:rsidR="00A13BC3" w:rsidRPr="00BB5519" w:rsidRDefault="00A13BC3" w:rsidP="003479E5">
            <w:pPr>
              <w:spacing w:after="200" w:line="276" w:lineRule="auto"/>
              <w:jc w:val="center"/>
              <w:rPr>
                <w:rFonts w:cs="Tahoma"/>
                <w:color w:val="000000"/>
                <w:szCs w:val="18"/>
                <w:lang w:eastAsia="ja-JP"/>
              </w:rPr>
            </w:pPr>
            <w:r w:rsidRPr="00BB5519">
              <w:rPr>
                <w:rFonts w:cs="Tahoma"/>
                <w:color w:val="000000"/>
                <w:szCs w:val="18"/>
              </w:rPr>
              <w:t>Exchange Server Standard</w:t>
            </w:r>
          </w:p>
        </w:tc>
        <w:tc>
          <w:tcPr>
            <w:tcW w:w="1913" w:type="dxa"/>
          </w:tcPr>
          <w:p w:rsidR="00A13BC3" w:rsidRPr="00BB5519" w:rsidRDefault="00A13BC3" w:rsidP="003479E5">
            <w:pPr>
              <w:spacing w:after="200" w:line="276" w:lineRule="auto"/>
              <w:jc w:val="center"/>
              <w:rPr>
                <w:rFonts w:cs="Tahoma"/>
                <w:color w:val="000000"/>
                <w:szCs w:val="18"/>
                <w:lang w:eastAsia="ja-JP"/>
              </w:rPr>
            </w:pPr>
            <w:r w:rsidRPr="00BB5519">
              <w:rPr>
                <w:rFonts w:cs="Tahoma"/>
                <w:color w:val="000000"/>
                <w:szCs w:val="18"/>
              </w:rPr>
              <w:t>SharePoint Server</w:t>
            </w:r>
          </w:p>
        </w:tc>
        <w:tc>
          <w:tcPr>
            <w:tcW w:w="1391" w:type="dxa"/>
          </w:tcPr>
          <w:p w:rsidR="00A13BC3" w:rsidRPr="00BB5519" w:rsidRDefault="00A13BC3" w:rsidP="003479E5">
            <w:pPr>
              <w:spacing w:after="200" w:line="276" w:lineRule="auto"/>
              <w:jc w:val="center"/>
              <w:rPr>
                <w:rFonts w:cs="Tahoma"/>
                <w:color w:val="000000"/>
                <w:szCs w:val="18"/>
                <w:lang w:eastAsia="ja-JP"/>
              </w:rPr>
            </w:pPr>
          </w:p>
        </w:tc>
      </w:tr>
      <w:tr w:rsidR="00A13BC3" w:rsidRPr="00BB5519" w:rsidTr="007E466C">
        <w:tc>
          <w:tcPr>
            <w:tcW w:w="1912" w:type="dxa"/>
          </w:tcPr>
          <w:p w:rsidR="00A13BC3" w:rsidRPr="00BB5519" w:rsidRDefault="00A13BC3" w:rsidP="003479E5">
            <w:pPr>
              <w:spacing w:after="200" w:line="276" w:lineRule="auto"/>
              <w:jc w:val="center"/>
              <w:rPr>
                <w:rFonts w:cs="Tahoma"/>
                <w:szCs w:val="18"/>
                <w:lang w:eastAsia="ja-JP"/>
              </w:rPr>
            </w:pPr>
            <w:r w:rsidRPr="00BB5519">
              <w:rPr>
                <w:rFonts w:cs="Tahoma"/>
                <w:szCs w:val="18"/>
              </w:rPr>
              <w:t>Windows Small Business Server Premium Add-On</w:t>
            </w:r>
          </w:p>
        </w:tc>
        <w:tc>
          <w:tcPr>
            <w:tcW w:w="1848" w:type="dxa"/>
          </w:tcPr>
          <w:p w:rsidR="00A13BC3" w:rsidRPr="00BB5519" w:rsidRDefault="00A13BC3" w:rsidP="003479E5">
            <w:pPr>
              <w:spacing w:after="200" w:line="276" w:lineRule="auto"/>
              <w:jc w:val="center"/>
              <w:rPr>
                <w:rFonts w:cs="Tahoma"/>
                <w:szCs w:val="18"/>
                <w:lang w:eastAsia="ja-JP"/>
              </w:rPr>
            </w:pPr>
            <w:r w:rsidRPr="00BB5519">
              <w:rPr>
                <w:rFonts w:cs="Tahoma"/>
                <w:szCs w:val="18"/>
              </w:rPr>
              <w:t>SQL Server Standard</w:t>
            </w:r>
          </w:p>
        </w:tc>
        <w:tc>
          <w:tcPr>
            <w:tcW w:w="1774" w:type="dxa"/>
          </w:tcPr>
          <w:p w:rsidR="00A13BC3" w:rsidRPr="00BB5519" w:rsidRDefault="00A13BC3" w:rsidP="003479E5">
            <w:pPr>
              <w:spacing w:after="200" w:line="276" w:lineRule="auto"/>
              <w:jc w:val="center"/>
              <w:rPr>
                <w:rFonts w:cs="Tahoma"/>
                <w:szCs w:val="18"/>
                <w:lang w:eastAsia="ja-JP"/>
              </w:rPr>
            </w:pPr>
          </w:p>
        </w:tc>
        <w:tc>
          <w:tcPr>
            <w:tcW w:w="1913" w:type="dxa"/>
          </w:tcPr>
          <w:p w:rsidR="00A13BC3" w:rsidRPr="00BB5519" w:rsidRDefault="00A13BC3" w:rsidP="003479E5">
            <w:pPr>
              <w:spacing w:after="200" w:line="276" w:lineRule="auto"/>
              <w:jc w:val="center"/>
              <w:rPr>
                <w:rFonts w:cs="Tahoma"/>
                <w:szCs w:val="18"/>
                <w:lang w:eastAsia="ja-JP"/>
              </w:rPr>
            </w:pPr>
          </w:p>
        </w:tc>
        <w:tc>
          <w:tcPr>
            <w:tcW w:w="1391" w:type="dxa"/>
          </w:tcPr>
          <w:p w:rsidR="00A13BC3" w:rsidRPr="00BB5519" w:rsidRDefault="00A13BC3" w:rsidP="003479E5">
            <w:pPr>
              <w:spacing w:after="200" w:line="276" w:lineRule="auto"/>
              <w:jc w:val="center"/>
              <w:rPr>
                <w:rFonts w:cs="Tahoma"/>
                <w:szCs w:val="18"/>
                <w:lang w:eastAsia="ja-JP"/>
              </w:rPr>
            </w:pPr>
          </w:p>
        </w:tc>
      </w:tr>
      <w:tr w:rsidR="00A13BC3" w:rsidRPr="00BB5519" w:rsidTr="007E466C">
        <w:tc>
          <w:tcPr>
            <w:tcW w:w="1912" w:type="dxa"/>
          </w:tcPr>
          <w:p w:rsidR="00A13BC3" w:rsidRPr="00BB5519" w:rsidRDefault="00A13BC3" w:rsidP="003479E5">
            <w:pPr>
              <w:spacing w:after="200" w:line="276" w:lineRule="auto"/>
              <w:jc w:val="center"/>
              <w:rPr>
                <w:rFonts w:cs="Tahoma"/>
                <w:szCs w:val="18"/>
                <w:lang w:eastAsia="ja-JP"/>
              </w:rPr>
            </w:pPr>
            <w:r w:rsidRPr="00BB5519">
              <w:rPr>
                <w:rFonts w:cs="Tahoma"/>
                <w:szCs w:val="18"/>
              </w:rPr>
              <w:t>Windows Small Business Server Standard</w:t>
            </w:r>
          </w:p>
        </w:tc>
        <w:tc>
          <w:tcPr>
            <w:tcW w:w="1848" w:type="dxa"/>
          </w:tcPr>
          <w:p w:rsidR="00A13BC3" w:rsidRPr="00BB5519" w:rsidRDefault="00A13BC3" w:rsidP="003479E5">
            <w:pPr>
              <w:spacing w:after="200" w:line="276" w:lineRule="auto"/>
              <w:jc w:val="center"/>
              <w:rPr>
                <w:rFonts w:cs="Tahoma"/>
                <w:szCs w:val="18"/>
                <w:lang w:eastAsia="ja-JP"/>
              </w:rPr>
            </w:pPr>
            <w:r w:rsidRPr="00BB5519">
              <w:rPr>
                <w:rFonts w:cs="Tahoma"/>
                <w:szCs w:val="18"/>
              </w:rPr>
              <w:t>SQL Server Workgroup</w:t>
            </w:r>
          </w:p>
        </w:tc>
        <w:tc>
          <w:tcPr>
            <w:tcW w:w="1774" w:type="dxa"/>
          </w:tcPr>
          <w:p w:rsidR="00A13BC3" w:rsidRPr="00BB5519" w:rsidRDefault="00A13BC3" w:rsidP="003479E5">
            <w:pPr>
              <w:spacing w:after="200" w:line="276" w:lineRule="auto"/>
              <w:jc w:val="center"/>
              <w:rPr>
                <w:rFonts w:cs="Tahoma"/>
                <w:szCs w:val="18"/>
                <w:lang w:eastAsia="ja-JP"/>
              </w:rPr>
            </w:pPr>
          </w:p>
        </w:tc>
        <w:tc>
          <w:tcPr>
            <w:tcW w:w="1913" w:type="dxa"/>
          </w:tcPr>
          <w:p w:rsidR="00A13BC3" w:rsidRPr="00BB5519" w:rsidRDefault="00A13BC3" w:rsidP="003479E5">
            <w:pPr>
              <w:spacing w:after="200" w:line="276" w:lineRule="auto"/>
              <w:jc w:val="center"/>
              <w:rPr>
                <w:rFonts w:cs="Tahoma"/>
                <w:szCs w:val="18"/>
                <w:lang w:eastAsia="ja-JP"/>
              </w:rPr>
            </w:pPr>
          </w:p>
        </w:tc>
        <w:tc>
          <w:tcPr>
            <w:tcW w:w="1391" w:type="dxa"/>
          </w:tcPr>
          <w:p w:rsidR="00A13BC3" w:rsidRPr="00BB5519" w:rsidRDefault="00A13BC3" w:rsidP="003479E5">
            <w:pPr>
              <w:spacing w:after="200" w:line="276" w:lineRule="auto"/>
              <w:jc w:val="center"/>
              <w:rPr>
                <w:rFonts w:cs="Tahoma"/>
                <w:szCs w:val="18"/>
                <w:lang w:eastAsia="ja-JP"/>
              </w:rPr>
            </w:pPr>
          </w:p>
        </w:tc>
      </w:tr>
      <w:tr w:rsidR="00A13BC3" w:rsidRPr="00BB5519" w:rsidTr="007E466C">
        <w:tc>
          <w:tcPr>
            <w:tcW w:w="1912" w:type="dxa"/>
          </w:tcPr>
          <w:p w:rsidR="00A13BC3" w:rsidRPr="00BB5519" w:rsidRDefault="00A13BC3" w:rsidP="003479E5">
            <w:pPr>
              <w:spacing w:after="200" w:line="276" w:lineRule="auto"/>
              <w:jc w:val="center"/>
              <w:rPr>
                <w:rFonts w:cs="Tahoma"/>
                <w:szCs w:val="18"/>
                <w:lang w:eastAsia="ja-JP"/>
              </w:rPr>
            </w:pPr>
            <w:r w:rsidRPr="00BB5519">
              <w:rPr>
                <w:rFonts w:cs="Tahoma"/>
                <w:szCs w:val="18"/>
              </w:rPr>
              <w:t>Windows Small Business Server Essentials</w:t>
            </w:r>
          </w:p>
        </w:tc>
        <w:tc>
          <w:tcPr>
            <w:tcW w:w="1848" w:type="dxa"/>
          </w:tcPr>
          <w:p w:rsidR="00A13BC3" w:rsidRPr="00BB5519" w:rsidRDefault="00A13BC3" w:rsidP="003479E5">
            <w:pPr>
              <w:spacing w:after="200" w:line="276" w:lineRule="auto"/>
              <w:jc w:val="center"/>
              <w:rPr>
                <w:rFonts w:cs="Tahoma"/>
                <w:szCs w:val="18"/>
                <w:lang w:eastAsia="ja-JP"/>
              </w:rPr>
            </w:pPr>
            <w:r w:rsidRPr="00BB5519">
              <w:rPr>
                <w:rFonts w:cs="Tahoma"/>
                <w:szCs w:val="18"/>
              </w:rPr>
              <w:t>SQL Server Small Business</w:t>
            </w:r>
          </w:p>
        </w:tc>
        <w:tc>
          <w:tcPr>
            <w:tcW w:w="1774" w:type="dxa"/>
          </w:tcPr>
          <w:p w:rsidR="00A13BC3" w:rsidRPr="00BB5519" w:rsidRDefault="00A13BC3" w:rsidP="003479E5">
            <w:pPr>
              <w:spacing w:after="200" w:line="276" w:lineRule="auto"/>
              <w:jc w:val="center"/>
              <w:rPr>
                <w:rFonts w:cs="Tahoma"/>
                <w:szCs w:val="18"/>
                <w:lang w:eastAsia="ja-JP"/>
              </w:rPr>
            </w:pPr>
          </w:p>
        </w:tc>
        <w:tc>
          <w:tcPr>
            <w:tcW w:w="1913" w:type="dxa"/>
          </w:tcPr>
          <w:p w:rsidR="00A13BC3" w:rsidRPr="00BB5519" w:rsidRDefault="00A13BC3" w:rsidP="003479E5">
            <w:pPr>
              <w:spacing w:after="200" w:line="276" w:lineRule="auto"/>
              <w:jc w:val="center"/>
              <w:rPr>
                <w:rFonts w:cs="Tahoma"/>
                <w:szCs w:val="18"/>
                <w:lang w:eastAsia="ja-JP"/>
              </w:rPr>
            </w:pPr>
          </w:p>
        </w:tc>
        <w:tc>
          <w:tcPr>
            <w:tcW w:w="1391" w:type="dxa"/>
          </w:tcPr>
          <w:p w:rsidR="00A13BC3" w:rsidRPr="00BB5519" w:rsidRDefault="00A13BC3" w:rsidP="003479E5">
            <w:pPr>
              <w:spacing w:after="200" w:line="276" w:lineRule="auto"/>
              <w:jc w:val="center"/>
              <w:rPr>
                <w:rFonts w:cs="Tahoma"/>
                <w:szCs w:val="18"/>
                <w:lang w:eastAsia="ja-JP"/>
              </w:rPr>
            </w:pPr>
          </w:p>
        </w:tc>
      </w:tr>
      <w:tr w:rsidR="00A13BC3" w:rsidRPr="00BB5519" w:rsidTr="007E466C">
        <w:tc>
          <w:tcPr>
            <w:tcW w:w="1912" w:type="dxa"/>
          </w:tcPr>
          <w:p w:rsidR="00A13BC3" w:rsidRPr="00BB5519" w:rsidRDefault="00A13BC3" w:rsidP="003479E5">
            <w:pPr>
              <w:spacing w:after="200" w:line="276" w:lineRule="auto"/>
              <w:jc w:val="center"/>
              <w:rPr>
                <w:rFonts w:cs="Tahoma"/>
                <w:szCs w:val="18"/>
                <w:lang w:eastAsia="ja-JP"/>
              </w:rPr>
            </w:pPr>
            <w:r w:rsidRPr="00BB5519">
              <w:rPr>
                <w:rFonts w:cs="Tahoma"/>
                <w:szCs w:val="18"/>
              </w:rPr>
              <w:t>Windows Web Server</w:t>
            </w:r>
          </w:p>
        </w:tc>
        <w:tc>
          <w:tcPr>
            <w:tcW w:w="1848" w:type="dxa"/>
          </w:tcPr>
          <w:p w:rsidR="00A13BC3" w:rsidRPr="00BB5519" w:rsidRDefault="00A13BC3" w:rsidP="003479E5">
            <w:pPr>
              <w:spacing w:after="200" w:line="276" w:lineRule="auto"/>
              <w:jc w:val="center"/>
              <w:rPr>
                <w:rFonts w:cs="Tahoma"/>
                <w:szCs w:val="18"/>
                <w:lang w:eastAsia="ja-JP"/>
              </w:rPr>
            </w:pPr>
            <w:r w:rsidRPr="00BB5519">
              <w:rPr>
                <w:rFonts w:cs="Tahoma"/>
                <w:szCs w:val="18"/>
              </w:rPr>
              <w:t>SQL Server Web</w:t>
            </w:r>
          </w:p>
        </w:tc>
        <w:tc>
          <w:tcPr>
            <w:tcW w:w="1774" w:type="dxa"/>
          </w:tcPr>
          <w:p w:rsidR="00A13BC3" w:rsidRPr="00BB5519" w:rsidRDefault="00A13BC3" w:rsidP="003479E5">
            <w:pPr>
              <w:spacing w:after="200" w:line="276" w:lineRule="auto"/>
              <w:jc w:val="center"/>
              <w:rPr>
                <w:rFonts w:cs="Tahoma"/>
                <w:szCs w:val="18"/>
                <w:lang w:eastAsia="ja-JP"/>
              </w:rPr>
            </w:pPr>
          </w:p>
        </w:tc>
        <w:tc>
          <w:tcPr>
            <w:tcW w:w="1913" w:type="dxa"/>
          </w:tcPr>
          <w:p w:rsidR="00A13BC3" w:rsidRPr="00BB5519" w:rsidRDefault="00A13BC3" w:rsidP="003479E5">
            <w:pPr>
              <w:spacing w:after="200" w:line="276" w:lineRule="auto"/>
              <w:jc w:val="center"/>
              <w:rPr>
                <w:rFonts w:cs="Tahoma"/>
                <w:szCs w:val="18"/>
                <w:lang w:eastAsia="ja-JP"/>
              </w:rPr>
            </w:pPr>
          </w:p>
        </w:tc>
        <w:tc>
          <w:tcPr>
            <w:tcW w:w="1391" w:type="dxa"/>
          </w:tcPr>
          <w:p w:rsidR="00A13BC3" w:rsidRPr="00BB5519" w:rsidRDefault="00A13BC3" w:rsidP="003479E5">
            <w:pPr>
              <w:spacing w:after="200" w:line="276" w:lineRule="auto"/>
              <w:jc w:val="center"/>
              <w:rPr>
                <w:rFonts w:cs="Tahoma"/>
                <w:szCs w:val="18"/>
                <w:lang w:eastAsia="ja-JP"/>
              </w:rPr>
            </w:pPr>
          </w:p>
        </w:tc>
      </w:tr>
      <w:tr w:rsidR="00A13BC3" w:rsidRPr="00BB5519" w:rsidTr="007E466C">
        <w:tc>
          <w:tcPr>
            <w:tcW w:w="1912" w:type="dxa"/>
          </w:tcPr>
          <w:p w:rsidR="00A13BC3" w:rsidRPr="00BB5519" w:rsidRDefault="00A13BC3" w:rsidP="00A62B4F">
            <w:pPr>
              <w:spacing w:after="200" w:line="276" w:lineRule="auto"/>
              <w:jc w:val="center"/>
              <w:rPr>
                <w:rFonts w:cs="Tahoma"/>
                <w:szCs w:val="18"/>
                <w:lang w:eastAsia="ja-JP"/>
              </w:rPr>
            </w:pPr>
            <w:r w:rsidRPr="00BB5519">
              <w:rPr>
                <w:rFonts w:cs="Tahoma"/>
                <w:szCs w:val="18"/>
              </w:rPr>
              <w:t>Windows HPC Server</w:t>
            </w:r>
            <w:r w:rsidR="00A62B4F">
              <w:rPr>
                <w:rFonts w:cs="Tahoma"/>
                <w:szCs w:val="18"/>
              </w:rPr>
              <w:t> </w:t>
            </w:r>
            <w:r w:rsidRPr="00BB5519">
              <w:rPr>
                <w:rFonts w:cs="Tahoma"/>
                <w:szCs w:val="18"/>
              </w:rPr>
              <w:t>Suite</w:t>
            </w:r>
          </w:p>
        </w:tc>
        <w:tc>
          <w:tcPr>
            <w:tcW w:w="1848" w:type="dxa"/>
          </w:tcPr>
          <w:p w:rsidR="00A13BC3" w:rsidRPr="00BB5519" w:rsidRDefault="00A13BC3" w:rsidP="003479E5">
            <w:pPr>
              <w:spacing w:after="200" w:line="276" w:lineRule="auto"/>
              <w:jc w:val="center"/>
              <w:rPr>
                <w:rFonts w:cs="Tahoma"/>
                <w:szCs w:val="18"/>
                <w:lang w:eastAsia="ja-JP"/>
              </w:rPr>
            </w:pPr>
            <w:r w:rsidRPr="00BB5519">
              <w:rPr>
                <w:rFonts w:cs="Tahoma"/>
                <w:szCs w:val="18"/>
              </w:rPr>
              <w:t>SQL Server Developer</w:t>
            </w:r>
          </w:p>
        </w:tc>
        <w:tc>
          <w:tcPr>
            <w:tcW w:w="1774" w:type="dxa"/>
          </w:tcPr>
          <w:p w:rsidR="00A13BC3" w:rsidRPr="00BB5519" w:rsidRDefault="00A13BC3" w:rsidP="003479E5">
            <w:pPr>
              <w:spacing w:after="200" w:line="276" w:lineRule="auto"/>
              <w:jc w:val="center"/>
              <w:rPr>
                <w:rFonts w:cs="Tahoma"/>
                <w:szCs w:val="18"/>
                <w:lang w:eastAsia="ja-JP"/>
              </w:rPr>
            </w:pPr>
          </w:p>
        </w:tc>
        <w:tc>
          <w:tcPr>
            <w:tcW w:w="1913" w:type="dxa"/>
          </w:tcPr>
          <w:p w:rsidR="00A13BC3" w:rsidRPr="00BB5519" w:rsidRDefault="00A13BC3" w:rsidP="003479E5">
            <w:pPr>
              <w:spacing w:after="200" w:line="276" w:lineRule="auto"/>
              <w:jc w:val="center"/>
              <w:rPr>
                <w:rFonts w:cs="Tahoma"/>
                <w:szCs w:val="18"/>
                <w:lang w:eastAsia="ja-JP"/>
              </w:rPr>
            </w:pPr>
          </w:p>
        </w:tc>
        <w:tc>
          <w:tcPr>
            <w:tcW w:w="1391" w:type="dxa"/>
          </w:tcPr>
          <w:p w:rsidR="00A13BC3" w:rsidRPr="00BB5519" w:rsidRDefault="00A13BC3" w:rsidP="003479E5">
            <w:pPr>
              <w:spacing w:after="200" w:line="276" w:lineRule="auto"/>
              <w:jc w:val="center"/>
              <w:rPr>
                <w:rFonts w:cs="Tahoma"/>
                <w:szCs w:val="18"/>
                <w:lang w:eastAsia="ja-JP"/>
              </w:rPr>
            </w:pPr>
          </w:p>
        </w:tc>
      </w:tr>
      <w:tr w:rsidR="00A13BC3" w:rsidRPr="00BB5519" w:rsidTr="007E466C">
        <w:tc>
          <w:tcPr>
            <w:tcW w:w="1912" w:type="dxa"/>
          </w:tcPr>
          <w:p w:rsidR="00A13BC3" w:rsidRPr="00BB5519" w:rsidRDefault="00A13BC3" w:rsidP="00A62B4F">
            <w:pPr>
              <w:spacing w:after="200" w:line="276" w:lineRule="auto"/>
              <w:jc w:val="center"/>
              <w:rPr>
                <w:rFonts w:cs="Tahoma"/>
                <w:szCs w:val="18"/>
                <w:lang w:eastAsia="ja-JP"/>
              </w:rPr>
            </w:pPr>
            <w:r w:rsidRPr="00BB5519">
              <w:rPr>
                <w:rFonts w:cs="Tahoma"/>
                <w:szCs w:val="18"/>
              </w:rPr>
              <w:t>Windows Server HPC</w:t>
            </w:r>
            <w:r w:rsidR="00A62B4F">
              <w:rPr>
                <w:rFonts w:cs="Tahoma"/>
                <w:szCs w:val="18"/>
              </w:rPr>
              <w:t> </w:t>
            </w:r>
            <w:r w:rsidRPr="00BB5519">
              <w:rPr>
                <w:rFonts w:cs="Tahoma"/>
                <w:szCs w:val="18"/>
              </w:rPr>
              <w:t>Edition</w:t>
            </w:r>
          </w:p>
        </w:tc>
        <w:tc>
          <w:tcPr>
            <w:tcW w:w="1848" w:type="dxa"/>
          </w:tcPr>
          <w:p w:rsidR="00A13BC3" w:rsidRPr="00BB5519" w:rsidRDefault="00A13BC3" w:rsidP="003479E5">
            <w:pPr>
              <w:spacing w:after="200" w:line="276" w:lineRule="auto"/>
              <w:jc w:val="center"/>
              <w:rPr>
                <w:rFonts w:cs="Tahoma"/>
                <w:szCs w:val="18"/>
                <w:lang w:eastAsia="ja-JP"/>
              </w:rPr>
            </w:pPr>
            <w:r w:rsidRPr="00BB5519">
              <w:rPr>
                <w:rFonts w:cs="Tahoma"/>
                <w:szCs w:val="18"/>
              </w:rPr>
              <w:t>SQL Server Business Intelligence</w:t>
            </w:r>
          </w:p>
        </w:tc>
        <w:tc>
          <w:tcPr>
            <w:tcW w:w="1774" w:type="dxa"/>
          </w:tcPr>
          <w:p w:rsidR="00A13BC3" w:rsidRPr="00BB5519" w:rsidRDefault="00A13BC3" w:rsidP="003479E5">
            <w:pPr>
              <w:spacing w:after="200" w:line="276" w:lineRule="auto"/>
              <w:jc w:val="center"/>
              <w:rPr>
                <w:rFonts w:cs="Tahoma"/>
                <w:szCs w:val="18"/>
                <w:lang w:eastAsia="ja-JP"/>
              </w:rPr>
            </w:pPr>
          </w:p>
        </w:tc>
        <w:tc>
          <w:tcPr>
            <w:tcW w:w="1913" w:type="dxa"/>
          </w:tcPr>
          <w:p w:rsidR="00A13BC3" w:rsidRPr="00BB5519" w:rsidRDefault="00A13BC3" w:rsidP="003479E5">
            <w:pPr>
              <w:spacing w:after="200" w:line="276" w:lineRule="auto"/>
              <w:jc w:val="center"/>
              <w:rPr>
                <w:rFonts w:cs="Tahoma"/>
                <w:szCs w:val="18"/>
                <w:lang w:eastAsia="ja-JP"/>
              </w:rPr>
            </w:pPr>
          </w:p>
        </w:tc>
        <w:tc>
          <w:tcPr>
            <w:tcW w:w="1391" w:type="dxa"/>
          </w:tcPr>
          <w:p w:rsidR="00A13BC3" w:rsidRPr="00BB5519" w:rsidRDefault="00A13BC3" w:rsidP="003479E5">
            <w:pPr>
              <w:spacing w:after="200" w:line="276" w:lineRule="auto"/>
              <w:jc w:val="center"/>
              <w:rPr>
                <w:rFonts w:cs="Tahoma"/>
                <w:szCs w:val="18"/>
                <w:lang w:eastAsia="ja-JP"/>
              </w:rPr>
            </w:pPr>
          </w:p>
        </w:tc>
      </w:tr>
      <w:tr w:rsidR="00A13BC3" w:rsidRPr="006F21F8" w:rsidTr="007E466C">
        <w:tc>
          <w:tcPr>
            <w:tcW w:w="1912" w:type="dxa"/>
          </w:tcPr>
          <w:p w:rsidR="00A13BC3" w:rsidRPr="00BB5519" w:rsidRDefault="00A13BC3" w:rsidP="003479E5">
            <w:pPr>
              <w:spacing w:after="200" w:line="276" w:lineRule="auto"/>
              <w:jc w:val="center"/>
              <w:rPr>
                <w:rFonts w:cs="Tahoma"/>
                <w:szCs w:val="18"/>
                <w:lang w:val="fr-FR" w:eastAsia="ja-JP"/>
              </w:rPr>
            </w:pPr>
            <w:r w:rsidRPr="00BB5519">
              <w:rPr>
                <w:rFonts w:cs="Tahoma"/>
                <w:szCs w:val="18"/>
                <w:lang w:val="fr-FR"/>
              </w:rPr>
              <w:t xml:space="preserve">Core Infrastructure Server Suite Datacenter </w:t>
            </w:r>
          </w:p>
        </w:tc>
        <w:tc>
          <w:tcPr>
            <w:tcW w:w="1848" w:type="dxa"/>
          </w:tcPr>
          <w:p w:rsidR="00A13BC3" w:rsidRPr="00BB5519" w:rsidRDefault="00A13BC3" w:rsidP="003479E5">
            <w:pPr>
              <w:spacing w:after="200" w:line="276" w:lineRule="auto"/>
              <w:jc w:val="center"/>
              <w:rPr>
                <w:rFonts w:cs="Tahoma"/>
                <w:szCs w:val="18"/>
                <w:lang w:val="fr-FR"/>
              </w:rPr>
            </w:pPr>
          </w:p>
        </w:tc>
        <w:tc>
          <w:tcPr>
            <w:tcW w:w="1774" w:type="dxa"/>
          </w:tcPr>
          <w:p w:rsidR="00A13BC3" w:rsidRPr="00BB5519" w:rsidRDefault="00A13BC3" w:rsidP="003479E5">
            <w:pPr>
              <w:spacing w:after="200" w:line="276" w:lineRule="auto"/>
              <w:jc w:val="center"/>
              <w:rPr>
                <w:rFonts w:cs="Tahoma"/>
                <w:szCs w:val="18"/>
                <w:lang w:val="fr-FR"/>
              </w:rPr>
            </w:pPr>
          </w:p>
        </w:tc>
        <w:tc>
          <w:tcPr>
            <w:tcW w:w="1913" w:type="dxa"/>
          </w:tcPr>
          <w:p w:rsidR="00A13BC3" w:rsidRPr="00BB5519" w:rsidRDefault="00A13BC3" w:rsidP="003479E5">
            <w:pPr>
              <w:spacing w:after="200" w:line="276" w:lineRule="auto"/>
              <w:jc w:val="center"/>
              <w:rPr>
                <w:rFonts w:cs="Tahoma"/>
                <w:szCs w:val="18"/>
                <w:lang w:val="fr-FR"/>
              </w:rPr>
            </w:pPr>
          </w:p>
        </w:tc>
        <w:tc>
          <w:tcPr>
            <w:tcW w:w="1391" w:type="dxa"/>
          </w:tcPr>
          <w:p w:rsidR="00A13BC3" w:rsidRPr="00BB5519" w:rsidRDefault="00A13BC3" w:rsidP="003479E5">
            <w:pPr>
              <w:spacing w:after="200" w:line="276" w:lineRule="auto"/>
              <w:jc w:val="center"/>
              <w:rPr>
                <w:rFonts w:cs="Tahoma"/>
                <w:szCs w:val="18"/>
                <w:lang w:val="fr-FR"/>
              </w:rPr>
            </w:pPr>
          </w:p>
        </w:tc>
      </w:tr>
      <w:tr w:rsidR="00A13BC3" w:rsidRPr="006F21F8" w:rsidTr="00B75223">
        <w:tc>
          <w:tcPr>
            <w:tcW w:w="1912" w:type="dxa"/>
          </w:tcPr>
          <w:p w:rsidR="00A13BC3" w:rsidRPr="00BB5519" w:rsidRDefault="00A13BC3" w:rsidP="003479E5">
            <w:pPr>
              <w:spacing w:after="200" w:line="276" w:lineRule="auto"/>
              <w:jc w:val="center"/>
              <w:rPr>
                <w:rFonts w:cs="Tahoma"/>
                <w:szCs w:val="18"/>
                <w:lang w:val="fr-FR" w:eastAsia="ja-JP"/>
              </w:rPr>
            </w:pPr>
            <w:r w:rsidRPr="00BB5519">
              <w:rPr>
                <w:rFonts w:cs="Tahoma"/>
                <w:szCs w:val="18"/>
                <w:lang w:val="fr-FR"/>
              </w:rPr>
              <w:t>Core Infrastructure Server Suite Enterprise</w:t>
            </w:r>
          </w:p>
        </w:tc>
        <w:tc>
          <w:tcPr>
            <w:tcW w:w="1848" w:type="dxa"/>
          </w:tcPr>
          <w:p w:rsidR="00A13BC3" w:rsidRPr="00BB5519" w:rsidRDefault="00A13BC3" w:rsidP="003479E5">
            <w:pPr>
              <w:spacing w:after="200" w:line="276" w:lineRule="auto"/>
              <w:jc w:val="center"/>
              <w:rPr>
                <w:rFonts w:cs="Tahoma"/>
                <w:szCs w:val="18"/>
                <w:lang w:val="fr-FR"/>
              </w:rPr>
            </w:pPr>
          </w:p>
        </w:tc>
        <w:tc>
          <w:tcPr>
            <w:tcW w:w="1774" w:type="dxa"/>
          </w:tcPr>
          <w:p w:rsidR="00A13BC3" w:rsidRPr="00BB5519" w:rsidRDefault="00A13BC3" w:rsidP="003479E5">
            <w:pPr>
              <w:spacing w:after="200" w:line="276" w:lineRule="auto"/>
              <w:jc w:val="center"/>
              <w:rPr>
                <w:rFonts w:cs="Tahoma"/>
                <w:szCs w:val="18"/>
                <w:lang w:val="fr-FR"/>
              </w:rPr>
            </w:pPr>
          </w:p>
        </w:tc>
        <w:tc>
          <w:tcPr>
            <w:tcW w:w="1913" w:type="dxa"/>
          </w:tcPr>
          <w:p w:rsidR="00A13BC3" w:rsidRPr="00BB5519" w:rsidRDefault="00A13BC3" w:rsidP="003479E5">
            <w:pPr>
              <w:spacing w:after="200" w:line="276" w:lineRule="auto"/>
              <w:jc w:val="center"/>
              <w:rPr>
                <w:rFonts w:cs="Tahoma"/>
                <w:szCs w:val="18"/>
                <w:lang w:val="fr-FR"/>
              </w:rPr>
            </w:pPr>
          </w:p>
        </w:tc>
        <w:tc>
          <w:tcPr>
            <w:tcW w:w="1391" w:type="dxa"/>
          </w:tcPr>
          <w:p w:rsidR="00A13BC3" w:rsidRPr="00BB5519" w:rsidRDefault="00A13BC3" w:rsidP="003479E5">
            <w:pPr>
              <w:spacing w:after="200" w:line="276" w:lineRule="auto"/>
              <w:jc w:val="center"/>
              <w:rPr>
                <w:rFonts w:cs="Tahoma"/>
                <w:szCs w:val="18"/>
                <w:lang w:val="fr-FR"/>
              </w:rPr>
            </w:pPr>
          </w:p>
        </w:tc>
      </w:tr>
      <w:tr w:rsidR="00A13BC3" w:rsidRPr="006F21F8" w:rsidTr="00B75223">
        <w:tc>
          <w:tcPr>
            <w:tcW w:w="1912" w:type="dxa"/>
          </w:tcPr>
          <w:p w:rsidR="00A13BC3" w:rsidRPr="00BB5519" w:rsidRDefault="00A13BC3" w:rsidP="003479E5">
            <w:pPr>
              <w:spacing w:after="200" w:line="276" w:lineRule="auto"/>
              <w:jc w:val="center"/>
              <w:rPr>
                <w:rFonts w:cs="Tahoma"/>
                <w:szCs w:val="18"/>
                <w:lang w:val="fr-FR" w:eastAsia="ja-JP"/>
              </w:rPr>
            </w:pPr>
            <w:r w:rsidRPr="00BB5519">
              <w:rPr>
                <w:rFonts w:cs="Tahoma"/>
                <w:szCs w:val="18"/>
                <w:lang w:val="fr-FR"/>
              </w:rPr>
              <w:t>Core Infrastructure Server Suite Standard</w:t>
            </w:r>
          </w:p>
        </w:tc>
        <w:tc>
          <w:tcPr>
            <w:tcW w:w="1848" w:type="dxa"/>
          </w:tcPr>
          <w:p w:rsidR="00A13BC3" w:rsidRPr="00BB5519" w:rsidRDefault="00A13BC3" w:rsidP="003479E5">
            <w:pPr>
              <w:spacing w:after="200" w:line="276" w:lineRule="auto"/>
              <w:jc w:val="center"/>
              <w:rPr>
                <w:rFonts w:cs="Tahoma"/>
                <w:szCs w:val="18"/>
                <w:lang w:val="fr-FR"/>
              </w:rPr>
            </w:pPr>
          </w:p>
        </w:tc>
        <w:tc>
          <w:tcPr>
            <w:tcW w:w="1774" w:type="dxa"/>
          </w:tcPr>
          <w:p w:rsidR="00A13BC3" w:rsidRPr="00BB5519" w:rsidRDefault="00A13BC3" w:rsidP="003479E5">
            <w:pPr>
              <w:spacing w:after="200" w:line="276" w:lineRule="auto"/>
              <w:jc w:val="center"/>
              <w:rPr>
                <w:rFonts w:cs="Tahoma"/>
                <w:szCs w:val="18"/>
                <w:lang w:val="fr-FR"/>
              </w:rPr>
            </w:pPr>
          </w:p>
        </w:tc>
        <w:tc>
          <w:tcPr>
            <w:tcW w:w="1913" w:type="dxa"/>
          </w:tcPr>
          <w:p w:rsidR="00A13BC3" w:rsidRPr="00BB5519" w:rsidRDefault="00A13BC3" w:rsidP="003479E5">
            <w:pPr>
              <w:spacing w:after="200" w:line="276" w:lineRule="auto"/>
              <w:jc w:val="center"/>
              <w:rPr>
                <w:rFonts w:cs="Tahoma"/>
                <w:szCs w:val="18"/>
                <w:lang w:val="fr-FR"/>
              </w:rPr>
            </w:pPr>
          </w:p>
        </w:tc>
        <w:tc>
          <w:tcPr>
            <w:tcW w:w="1391" w:type="dxa"/>
          </w:tcPr>
          <w:p w:rsidR="00A13BC3" w:rsidRPr="00BB5519" w:rsidRDefault="00A13BC3" w:rsidP="003479E5">
            <w:pPr>
              <w:spacing w:after="200" w:line="276" w:lineRule="auto"/>
              <w:jc w:val="center"/>
              <w:rPr>
                <w:rFonts w:cs="Tahoma"/>
                <w:szCs w:val="18"/>
                <w:lang w:val="fr-FR"/>
              </w:rPr>
            </w:pPr>
          </w:p>
        </w:tc>
      </w:tr>
    </w:tbl>
    <w:p w:rsidR="003479E5" w:rsidRPr="00BB5519" w:rsidRDefault="003479E5" w:rsidP="00792D1E">
      <w:pPr>
        <w:rPr>
          <w:lang w:val="fr-FR"/>
        </w:rPr>
      </w:pPr>
    </w:p>
    <w:p w:rsidR="003479E5" w:rsidRPr="00BB5519" w:rsidRDefault="003479E5" w:rsidP="00792D1E">
      <w:pPr>
        <w:rPr>
          <w:lang w:val="de-DE"/>
        </w:rPr>
      </w:pPr>
      <w:r w:rsidRPr="00BB5519">
        <w:rPr>
          <w:rFonts w:cs="Tahoma"/>
          <w:bCs/>
          <w:szCs w:val="18"/>
          <w:lang w:val="fr-FR"/>
        </w:rPr>
        <w:t>*Software Assurance für CALs für Qualifizierende Serversoftware qualifiziert Kunden nicht zur Software Assurance-Vergünstigung System Center Advisor.</w:t>
      </w:r>
      <w:r w:rsidR="009E4976" w:rsidRPr="00BB5519">
        <w:rPr>
          <w:rFonts w:cs="Tahoma"/>
          <w:bCs/>
          <w:szCs w:val="18"/>
          <w:lang w:val="fr-FR"/>
        </w:rPr>
        <w:t xml:space="preserve"> </w:t>
      </w:r>
      <w:r w:rsidRPr="00BB5519">
        <w:rPr>
          <w:rFonts w:cs="Tahoma"/>
          <w:bCs/>
          <w:szCs w:val="18"/>
          <w:lang w:val="de-DE"/>
        </w:rPr>
        <w:t>Kunden müssen für die Softwarelizenzen, unter denen die Qualifizierende Serversoftware ausgeführt wird, über Software Assurance verfügen.</w:t>
      </w:r>
    </w:p>
    <w:p w:rsidR="003479E5" w:rsidRPr="00BB5519" w:rsidRDefault="003479E5" w:rsidP="00792D1E">
      <w:pPr>
        <w:rPr>
          <w:lang w:val="de-DE"/>
        </w:rPr>
      </w:pPr>
    </w:p>
    <w:p w:rsidR="000D454E" w:rsidRPr="00BB5519" w:rsidRDefault="000D454E" w:rsidP="00792D1E">
      <w:pPr>
        <w:rPr>
          <w:lang w:val="de-DE"/>
        </w:rPr>
      </w:pPr>
      <w:r w:rsidRPr="00BB5519">
        <w:rPr>
          <w:rFonts w:cs="Tahoma"/>
          <w:szCs w:val="18"/>
          <w:lang w:val="de-DE"/>
        </w:rPr>
        <w:t>Kunden mit aktiver Software Assurance für Management-Lizenzen, die in der Tabelle unten angegeben sind, sind berechtigt, System Center Advisor wie in den Produktbenutzungsrechten dargelegt zu verwenden.</w:t>
      </w:r>
    </w:p>
    <w:p w:rsidR="000D454E" w:rsidRDefault="000D454E" w:rsidP="000D454E">
      <w:pPr>
        <w:outlineLvl w:val="2"/>
        <w:rPr>
          <w:lang w:val="de-DE"/>
        </w:rPr>
      </w:pPr>
    </w:p>
    <w:p w:rsidR="00A62B4F" w:rsidRDefault="00A62B4F" w:rsidP="000D454E">
      <w:pPr>
        <w:outlineLvl w:val="2"/>
        <w:rPr>
          <w:lang w:val="de-DE"/>
        </w:rPr>
      </w:pPr>
    </w:p>
    <w:p w:rsidR="00A62B4F" w:rsidRDefault="00A62B4F" w:rsidP="000D454E">
      <w:pPr>
        <w:outlineLvl w:val="2"/>
        <w:rPr>
          <w:lang w:val="de-DE"/>
        </w:rPr>
      </w:pPr>
    </w:p>
    <w:p w:rsidR="00A62B4F" w:rsidRDefault="00A62B4F" w:rsidP="000D454E">
      <w:pPr>
        <w:outlineLvl w:val="2"/>
        <w:rPr>
          <w:lang w:val="de-DE"/>
        </w:rPr>
      </w:pPr>
    </w:p>
    <w:p w:rsidR="00A62B4F" w:rsidRDefault="00A62B4F" w:rsidP="000D454E">
      <w:pPr>
        <w:outlineLvl w:val="2"/>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BB5519"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BB5519" w:rsidRDefault="000D454E" w:rsidP="007E466C">
            <w:pPr>
              <w:spacing w:before="120" w:after="120" w:line="276" w:lineRule="auto"/>
              <w:jc w:val="center"/>
              <w:rPr>
                <w:rFonts w:cs="Tahoma"/>
                <w:b/>
                <w:color w:val="000000"/>
                <w:szCs w:val="18"/>
                <w:lang w:eastAsia="ja-JP"/>
              </w:rPr>
            </w:pPr>
            <w:r w:rsidRPr="00BB5519">
              <w:rPr>
                <w:rFonts w:cs="Tahoma"/>
                <w:b/>
                <w:color w:val="000000"/>
                <w:szCs w:val="18"/>
              </w:rPr>
              <w:lastRenderedPageBreak/>
              <w:t>Qualifizierende Management-Lizenzen</w:t>
            </w:r>
          </w:p>
        </w:tc>
      </w:tr>
      <w:tr w:rsidR="000D454E" w:rsidRPr="00BB5519"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BB5519" w:rsidRDefault="000D454E" w:rsidP="007E466C">
            <w:pPr>
              <w:spacing w:before="120" w:after="120"/>
              <w:jc w:val="center"/>
              <w:rPr>
                <w:rFonts w:cs="Tahoma"/>
                <w:color w:val="000000"/>
                <w:szCs w:val="18"/>
                <w:lang w:eastAsia="ja-JP"/>
              </w:rPr>
            </w:pPr>
            <w:r w:rsidRPr="00BB5519">
              <w:rPr>
                <w:rFonts w:cs="Tahoma"/>
                <w:color w:val="000000"/>
                <w:szCs w:val="18"/>
              </w:rPr>
              <w:t>Server-Management-Lizenz für System Center 2012 Datacenter</w:t>
            </w:r>
          </w:p>
        </w:tc>
      </w:tr>
      <w:tr w:rsidR="000D454E" w:rsidRPr="006F21F8"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BB5519" w:rsidRDefault="000D454E" w:rsidP="007E466C">
            <w:pPr>
              <w:spacing w:before="120" w:after="120" w:line="276" w:lineRule="auto"/>
              <w:jc w:val="center"/>
              <w:rPr>
                <w:rFonts w:cs="Tahoma"/>
                <w:szCs w:val="18"/>
                <w:lang w:val="de-DE"/>
              </w:rPr>
            </w:pPr>
            <w:r w:rsidRPr="00BB5519">
              <w:rPr>
                <w:rFonts w:cs="Tahoma"/>
                <w:color w:val="000000"/>
                <w:szCs w:val="18"/>
                <w:lang w:val="de-DE"/>
              </w:rPr>
              <w:t>Server-Management-Lizenz für System Center 2012 Standard</w:t>
            </w:r>
          </w:p>
        </w:tc>
      </w:tr>
    </w:tbl>
    <w:p w:rsidR="00E06FE8" w:rsidRPr="00BB5519" w:rsidRDefault="000E6E21" w:rsidP="00E06FE8">
      <w:pPr>
        <w:keepNext/>
        <w:keepLines/>
        <w:spacing w:before="40" w:line="259" w:lineRule="auto"/>
        <w:outlineLvl w:val="2"/>
        <w:rPr>
          <w:lang w:val="de-DE"/>
        </w:rPr>
      </w:pPr>
      <w:bookmarkStart w:id="812" w:name="_Toc336338239"/>
      <w:r w:rsidRPr="00BB5519">
        <w:rPr>
          <w:rFonts w:eastAsiaTheme="majorEastAsia" w:cs="Tahoma"/>
          <w:color w:val="000000"/>
          <w:szCs w:val="18"/>
          <w:lang w:val="de-DE"/>
        </w:rPr>
        <w:cr/>
      </w:r>
      <w:r w:rsidRPr="00BB5519">
        <w:rPr>
          <w:rFonts w:eastAsiaTheme="majorEastAsia" w:cs="Tahoma"/>
          <w:b/>
          <w:color w:val="000000"/>
          <w:sz w:val="24"/>
          <w:szCs w:val="18"/>
          <w:lang w:val="de-DE"/>
        </w:rPr>
        <w:t>Globaler System Center-Dienstmonitor</w:t>
      </w:r>
    </w:p>
    <w:p w:rsidR="00E06FE8" w:rsidRPr="00BB5519" w:rsidRDefault="00E06FE8" w:rsidP="007E466C">
      <w:pPr>
        <w:rPr>
          <w:lang w:val="de-DE"/>
        </w:rPr>
      </w:pPr>
      <w:r w:rsidRPr="00BB5519">
        <w:rPr>
          <w:rFonts w:cs="Tahoma"/>
          <w:szCs w:val="18"/>
          <w:lang w:val="de-DE"/>
        </w:rPr>
        <w:t>Kunden mit aktiver Software Assurance für Management-Lizenzen, die in der Tabelle unten angegeben sind, sind berechtigt, einen globalen System Center-Dienstmonitor wie in den Produktbenutzungsrechten dargelegt zu verwenden.</w:t>
      </w:r>
    </w:p>
    <w:p w:rsidR="000E6E21" w:rsidRPr="00BB5519" w:rsidRDefault="000E6E21" w:rsidP="007E466C">
      <w:pPr>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BB5519"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BB5519" w:rsidRDefault="00E06FE8" w:rsidP="007E466C">
            <w:pPr>
              <w:spacing w:before="120" w:after="120"/>
              <w:jc w:val="center"/>
              <w:rPr>
                <w:rFonts w:cs="Tahoma"/>
                <w:b/>
                <w:szCs w:val="18"/>
              </w:rPr>
            </w:pPr>
            <w:r w:rsidRPr="00BB5519">
              <w:rPr>
                <w:rFonts w:cs="Tahoma"/>
                <w:b/>
                <w:szCs w:val="18"/>
              </w:rPr>
              <w:t>Qualifizierende Management-Lizenzen</w:t>
            </w:r>
          </w:p>
        </w:tc>
      </w:tr>
      <w:tr w:rsidR="000E6E21" w:rsidRPr="00BB5519"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BB5519" w:rsidRDefault="00E06FE8" w:rsidP="007E466C">
            <w:pPr>
              <w:spacing w:before="120" w:after="120"/>
              <w:jc w:val="center"/>
              <w:rPr>
                <w:rFonts w:cs="Tahoma"/>
                <w:szCs w:val="18"/>
              </w:rPr>
            </w:pPr>
            <w:r w:rsidRPr="00BB5519">
              <w:rPr>
                <w:rFonts w:cs="Tahoma"/>
                <w:szCs w:val="18"/>
              </w:rPr>
              <w:t>Server-Management-Lizenz für System Center Datacenter</w:t>
            </w:r>
          </w:p>
        </w:tc>
      </w:tr>
      <w:tr w:rsidR="000E6E21" w:rsidRPr="006F21F8"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BB5519" w:rsidRDefault="00E06FE8" w:rsidP="007E466C">
            <w:pPr>
              <w:spacing w:before="120" w:after="120"/>
              <w:jc w:val="center"/>
              <w:rPr>
                <w:rFonts w:cs="Tahoma"/>
                <w:szCs w:val="18"/>
                <w:lang w:val="de-DE"/>
              </w:rPr>
            </w:pPr>
            <w:r w:rsidRPr="00BB5519">
              <w:rPr>
                <w:rFonts w:cs="Tahoma"/>
                <w:szCs w:val="18"/>
                <w:lang w:val="de-DE"/>
              </w:rPr>
              <w:t>Server-Management-Lizenz für System Center Standard</w:t>
            </w:r>
          </w:p>
        </w:tc>
      </w:tr>
    </w:tbl>
    <w:p w:rsidR="00E06FE8" w:rsidRPr="00BB5519" w:rsidRDefault="00E06FE8">
      <w:pPr>
        <w:rPr>
          <w:lang w:val="de-DE"/>
        </w:rPr>
      </w:pPr>
    </w:p>
    <w:p w:rsidR="00023FE7" w:rsidRPr="00BB5519" w:rsidRDefault="00023FE7">
      <w:pPr>
        <w:pStyle w:val="Heading3"/>
        <w:rPr>
          <w:lang w:val="de-DE"/>
        </w:rPr>
      </w:pPr>
      <w:bookmarkStart w:id="813" w:name="_Toc354054935"/>
      <w:r w:rsidRPr="00BB5519">
        <w:rPr>
          <w:rFonts w:ascii="Tahoma" w:hAnsi="Tahoma" w:cs="Tahoma"/>
          <w:sz w:val="24"/>
          <w:lang w:val="de-DE"/>
        </w:rPr>
        <w:t>„Cold Backup“ für die Wiederherstellung im Notfall</w:t>
      </w:r>
      <w:bookmarkEnd w:id="812"/>
      <w:bookmarkEnd w:id="813"/>
      <w:r w:rsidRPr="00BB5519">
        <w:rPr>
          <w:rFonts w:ascii="Tahoma" w:hAnsi="Tahoma" w:cs="Tahoma"/>
          <w:sz w:val="24"/>
          <w:lang w:val="de-DE"/>
        </w:rPr>
        <w:t xml:space="preserve"> </w:t>
      </w:r>
    </w:p>
    <w:p w:rsidR="00023FE7" w:rsidRPr="00BB5519" w:rsidRDefault="00023FE7">
      <w:pPr>
        <w:rPr>
          <w:lang w:val="de-DE"/>
        </w:rPr>
      </w:pPr>
    </w:p>
    <w:p w:rsidR="008A15A8" w:rsidRPr="00BB5519" w:rsidRDefault="008A15A8" w:rsidP="00792D1E">
      <w:pPr>
        <w:rPr>
          <w:lang w:val="de-DE"/>
        </w:rPr>
      </w:pPr>
      <w:r w:rsidRPr="00BB5519">
        <w:rPr>
          <w:rFonts w:eastAsia="Calibri" w:cs="Tahoma"/>
          <w:szCs w:val="18"/>
          <w:lang w:val="de-DE"/>
        </w:rPr>
        <w:t>Kunden mit Software Assurance für qualifizierende Serverprodukte und zugehörige CALs haben Anspruch auf zusätzliche Serverlizenzen für diese Produkte zum Zwecke der Wiederherstellung im Notfall.</w:t>
      </w:r>
    </w:p>
    <w:p w:rsidR="00792D1E" w:rsidRPr="00BB5519" w:rsidRDefault="00792D1E" w:rsidP="00792D1E">
      <w:pPr>
        <w:rPr>
          <w:lang w:val="de-DE"/>
        </w:rPr>
      </w:pPr>
    </w:p>
    <w:p w:rsidR="00023FE7" w:rsidRPr="00BB5519" w:rsidRDefault="00023FE7" w:rsidP="00A62B4F">
      <w:pPr>
        <w:pStyle w:val="AppendixFlushBulletedList"/>
        <w:tabs>
          <w:tab w:val="clear" w:pos="360"/>
          <w:tab w:val="num" w:pos="0"/>
        </w:tabs>
        <w:ind w:left="0" w:firstLine="0"/>
        <w:rPr>
          <w:lang w:val="de-DE"/>
        </w:rPr>
      </w:pPr>
      <w:r w:rsidRPr="00BB5519">
        <w:rPr>
          <w:rFonts w:ascii="Tahoma" w:hAnsi="Tahoma" w:cs="Tahoma"/>
          <w:sz w:val="18"/>
          <w:szCs w:val="18"/>
          <w:lang w:val="de-DE"/>
        </w:rPr>
        <w:t>In Bezug auf jede qualifizierende Serverlizenz, (i) die ein Kunde bei SA angemeldet hat und (ii) für die der Kunde alle zugehörigen CALs (sofern für das Produkt erforderlich) bei SA angemeldet hat, wird angenommen, dass der Kunde über eine zweite Serverlizenz verfügt, unter der er dasselbe Produkt auf einem „Cold Backup-Server“ ausschließlich zu Zwecken der Wiederherstellung im Notfall während der Software Assurance-Laufzeit bereitstellen kann.</w:t>
      </w:r>
      <w:r w:rsidR="009E4976" w:rsidRPr="00BB5519">
        <w:rPr>
          <w:rFonts w:ascii="Tahoma" w:hAnsi="Tahoma" w:cs="Tahoma"/>
          <w:sz w:val="18"/>
          <w:szCs w:val="18"/>
          <w:lang w:val="de-DE"/>
        </w:rPr>
        <w:t xml:space="preserve"> </w:t>
      </w:r>
      <w:r w:rsidRPr="00BB5519">
        <w:rPr>
          <w:rFonts w:ascii="Tahoma" w:hAnsi="Tahoma" w:cs="Tahoma"/>
          <w:sz w:val="18"/>
          <w:szCs w:val="18"/>
          <w:lang w:val="de-DE"/>
        </w:rPr>
        <w:t>Die Bereitstellung und Nutzung von Software durch Kunden im Rahmen der Lizenzen für die Wiederherstellung im Notfall</w:t>
      </w:r>
      <w:r w:rsidR="00A62B4F">
        <w:rPr>
          <w:rFonts w:ascii="Tahoma" w:hAnsi="Tahoma" w:cs="Tahoma"/>
          <w:sz w:val="18"/>
          <w:szCs w:val="18"/>
          <w:lang w:val="de-DE"/>
        </w:rPr>
        <w:t> </w:t>
      </w:r>
      <w:r w:rsidRPr="00BB5519">
        <w:rPr>
          <w:rFonts w:ascii="Tahoma" w:hAnsi="Tahoma" w:cs="Tahoma"/>
          <w:sz w:val="18"/>
          <w:szCs w:val="18"/>
          <w:lang w:val="de-DE"/>
        </w:rPr>
        <w:t>unterliegt den Bestimmungen ihres Lizenzvertrages.</w:t>
      </w:r>
    </w:p>
    <w:p w:rsidR="00FE5F1D" w:rsidRPr="00BB5519" w:rsidRDefault="00FE5F1D" w:rsidP="00792D1E">
      <w:pPr>
        <w:pStyle w:val="AppendixBodyText"/>
        <w:spacing w:after="0"/>
        <w:rPr>
          <w:lang w:val="de-DE"/>
        </w:rPr>
      </w:pPr>
    </w:p>
    <w:p w:rsidR="00023FE7" w:rsidRPr="00BB5519" w:rsidRDefault="00023FE7" w:rsidP="00792D1E">
      <w:pPr>
        <w:pStyle w:val="Heading3"/>
        <w:rPr>
          <w:lang w:val="de-DE"/>
        </w:rPr>
      </w:pPr>
      <w:bookmarkStart w:id="814" w:name="_Toc336338240"/>
      <w:bookmarkStart w:id="815" w:name="_Toc354054936"/>
      <w:r w:rsidRPr="00BB5519">
        <w:rPr>
          <w:rFonts w:ascii="Tahoma" w:hAnsi="Tahoma" w:cs="Tahoma"/>
          <w:sz w:val="24"/>
          <w:lang w:val="de-DE"/>
        </w:rPr>
        <w:t>TechNet SA-Abonnementservices</w:t>
      </w:r>
      <w:bookmarkEnd w:id="814"/>
      <w:bookmarkEnd w:id="815"/>
    </w:p>
    <w:p w:rsidR="00023FE7" w:rsidRPr="00BB5519" w:rsidRDefault="00023FE7" w:rsidP="00792D1E">
      <w:pPr>
        <w:rPr>
          <w:lang w:val="de-DE"/>
        </w:rPr>
      </w:pPr>
    </w:p>
    <w:p w:rsidR="004A4D28" w:rsidRPr="00BB5519" w:rsidRDefault="00A65414" w:rsidP="00A62B4F">
      <w:pPr>
        <w:pStyle w:val="AppendixBodyText"/>
        <w:spacing w:after="0"/>
        <w:rPr>
          <w:lang w:val="de-DE"/>
        </w:rPr>
      </w:pPr>
      <w:r w:rsidRPr="00BB5519">
        <w:rPr>
          <w:rFonts w:ascii="Tahoma" w:eastAsia="Calibri" w:hAnsi="Tahoma" w:cs="Tahoma"/>
          <w:sz w:val="18"/>
          <w:szCs w:val="18"/>
          <w:lang w:val="de-DE"/>
        </w:rPr>
        <w:t>Kunden mit Software Assurance für qualifizierende Produkte innerhalb des Server-Pools haben während der Software</w:t>
      </w:r>
      <w:r w:rsidR="00A62B4F">
        <w:rPr>
          <w:rFonts w:ascii="Tahoma" w:eastAsia="Calibri" w:hAnsi="Tahoma" w:cs="Tahoma"/>
          <w:sz w:val="18"/>
          <w:szCs w:val="18"/>
          <w:lang w:val="de-DE"/>
        </w:rPr>
        <w:t> </w:t>
      </w:r>
      <w:r w:rsidRPr="00BB5519">
        <w:rPr>
          <w:rFonts w:ascii="Tahoma" w:eastAsia="Calibri" w:hAnsi="Tahoma" w:cs="Tahoma"/>
          <w:sz w:val="18"/>
          <w:szCs w:val="18"/>
          <w:lang w:val="de-DE"/>
        </w:rPr>
        <w:t xml:space="preserve">Assurance-Laufzeit Anspruch auf Support durch TechNet SA-Abonnementservices. </w:t>
      </w:r>
      <w:r w:rsidRPr="00BB5519">
        <w:rPr>
          <w:rFonts w:ascii="Tahoma" w:hAnsi="Tahoma" w:cs="Tahoma"/>
          <w:sz w:val="18"/>
          <w:szCs w:val="18"/>
          <w:lang w:val="de-DE"/>
        </w:rPr>
        <w:t>Hierdurch erhalten IT-Fachleute Antworten auf technische Fragen von Branchenkollegen.</w:t>
      </w:r>
      <w:r w:rsidR="009E4976" w:rsidRPr="00BB5519">
        <w:rPr>
          <w:rFonts w:ascii="Tahoma" w:hAnsi="Tahoma" w:cs="Tahoma"/>
          <w:sz w:val="18"/>
          <w:szCs w:val="18"/>
          <w:lang w:val="de-DE"/>
        </w:rPr>
        <w:t xml:space="preserve"> </w:t>
      </w:r>
      <w:r w:rsidRPr="00BB5519">
        <w:rPr>
          <w:rFonts w:ascii="Tahoma" w:hAnsi="Tahoma" w:cs="Tahoma"/>
          <w:sz w:val="18"/>
          <w:szCs w:val="18"/>
          <w:lang w:val="de-DE"/>
        </w:rPr>
        <w:t>Supportfachleute von Microsoft beobachten die Newsgroups, um die Genauigkeit der Informationen sicherzustellen.</w:t>
      </w:r>
      <w:r w:rsidR="009E4976" w:rsidRPr="00BB5519">
        <w:rPr>
          <w:rFonts w:ascii="Tahoma" w:hAnsi="Tahoma" w:cs="Tahoma"/>
          <w:sz w:val="18"/>
          <w:szCs w:val="18"/>
          <w:lang w:val="de-DE"/>
        </w:rPr>
        <w:t xml:space="preserve"> </w:t>
      </w:r>
      <w:r w:rsidRPr="00BB5519">
        <w:rPr>
          <w:rFonts w:ascii="Tahoma" w:hAnsi="Tahoma" w:cs="Tahoma"/>
          <w:sz w:val="18"/>
          <w:szCs w:val="18"/>
          <w:lang w:val="de-DE"/>
        </w:rPr>
        <w:t>Berechtigte Kunden erhalten Nutzer-IDs, die ihnen den Zugriff auf die Onlinedienste ermöglichen.</w:t>
      </w:r>
      <w:r w:rsidR="009E4976" w:rsidRPr="00BB5519">
        <w:rPr>
          <w:rFonts w:ascii="Tahoma" w:hAnsi="Tahoma" w:cs="Tahoma"/>
          <w:sz w:val="18"/>
          <w:szCs w:val="18"/>
          <w:lang w:val="de-DE"/>
        </w:rPr>
        <w:t xml:space="preserve"> </w:t>
      </w:r>
    </w:p>
    <w:p w:rsidR="00FE5F1D" w:rsidRPr="00BB5519" w:rsidRDefault="00FE5F1D" w:rsidP="00792D1E">
      <w:pPr>
        <w:pStyle w:val="AppendixBodyText"/>
        <w:spacing w:after="0"/>
        <w:rPr>
          <w:lang w:val="de-DE"/>
        </w:rPr>
      </w:pPr>
    </w:p>
    <w:p w:rsidR="00023FE7" w:rsidRPr="00BB5519" w:rsidRDefault="00023FE7" w:rsidP="00792D1E">
      <w:pPr>
        <w:pStyle w:val="AppendixBodyText"/>
        <w:spacing w:after="0"/>
        <w:rPr>
          <w:lang w:val="de-DE"/>
        </w:rPr>
      </w:pPr>
      <w:r w:rsidRPr="00BB5519">
        <w:rPr>
          <w:rFonts w:ascii="Tahoma" w:hAnsi="Tahoma" w:cs="Tahoma"/>
          <w:sz w:val="18"/>
          <w:szCs w:val="18"/>
          <w:lang w:val="de-DE"/>
        </w:rPr>
        <w:t>Die Kunden erhalten eine Nutzer-ID für jedes berechtigte Produkt mit Software Assurance, wie nachfolgend dargestellt:</w:t>
      </w:r>
    </w:p>
    <w:p w:rsidR="00023FE7" w:rsidRPr="00BB5519" w:rsidRDefault="00023FE7" w:rsidP="00792D1E">
      <w:pPr>
        <w:pStyle w:val="AppendixBodyText"/>
        <w:spacing w:after="0"/>
        <w:rPr>
          <w:lang w:val="de-D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BB5519"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B5519" w:rsidRDefault="0036654E">
            <w:pPr>
              <w:pStyle w:val="AppendixTableHeadings"/>
              <w:rPr>
                <w:rFonts w:ascii="Tahoma" w:hAnsi="Tahoma" w:cs="Tahoma"/>
                <w:sz w:val="20"/>
                <w:szCs w:val="20"/>
              </w:rPr>
            </w:pPr>
            <w:r w:rsidRPr="00BB5519">
              <w:rPr>
                <w:rFonts w:ascii="Tahoma" w:hAnsi="Tahoma" w:cs="Tahoma"/>
                <w:sz w:val="20"/>
                <w:szCs w:val="20"/>
              </w:rPr>
              <w:t>Produkt-Pools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B5519" w:rsidRDefault="0036654E" w:rsidP="0048264B">
            <w:pPr>
              <w:pStyle w:val="AppendixTableHeadings"/>
              <w:rPr>
                <w:rFonts w:ascii="Tahoma" w:hAnsi="Tahoma" w:cs="Tahoma"/>
                <w:sz w:val="20"/>
                <w:szCs w:val="20"/>
                <w:lang w:val="de-DE"/>
              </w:rPr>
            </w:pPr>
            <w:r w:rsidRPr="00BB5519">
              <w:rPr>
                <w:rFonts w:ascii="Tahoma" w:hAnsi="Tahoma" w:cs="Tahoma"/>
                <w:sz w:val="20"/>
                <w:szCs w:val="20"/>
                <w:lang w:val="de-DE"/>
              </w:rPr>
              <w:t>Open-Lizenz, Open Value</w:t>
            </w:r>
            <w:r w:rsidR="0048264B">
              <w:rPr>
                <w:rFonts w:ascii="Tahoma" w:hAnsi="Tahoma" w:cs="Tahoma"/>
                <w:sz w:val="20"/>
                <w:szCs w:val="20"/>
                <w:lang w:val="de-DE"/>
              </w:rPr>
              <w:t> </w:t>
            </w:r>
            <w:r w:rsidRPr="00BB5519">
              <w:rPr>
                <w:rFonts w:ascii="Tahoma" w:hAnsi="Tahoma" w:cs="Tahoma"/>
                <w:sz w:val="20"/>
                <w:szCs w:val="20"/>
                <w:lang w:val="de-DE"/>
              </w:rPr>
              <w:t>Subscription – Bildungslösungen, Open Value und Forschung &amp; Lehre mit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BB5519" w:rsidRDefault="0036654E">
            <w:pPr>
              <w:pStyle w:val="AppendixTableHeadings"/>
              <w:rPr>
                <w:rFonts w:ascii="Tahoma" w:hAnsi="Tahoma" w:cs="Tahoma"/>
                <w:sz w:val="20"/>
                <w:szCs w:val="20"/>
              </w:rPr>
            </w:pPr>
            <w:r w:rsidRPr="00BB5519">
              <w:rPr>
                <w:rFonts w:ascii="Tahoma" w:hAnsi="Tahoma" w:cs="Tahoma"/>
                <w:sz w:val="20"/>
                <w:szCs w:val="20"/>
              </w:rPr>
              <w:t>Select/Select Plus/EA</w:t>
            </w:r>
          </w:p>
        </w:tc>
      </w:tr>
      <w:tr w:rsidR="0036654E" w:rsidRPr="00BB5519"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B5519" w:rsidRDefault="0036654E">
            <w:pPr>
              <w:pStyle w:val="AppendixTableText"/>
              <w:rPr>
                <w:rFonts w:ascii="Tahoma" w:hAnsi="Tahoma" w:cs="Tahoma"/>
                <w:b/>
              </w:rPr>
            </w:pPr>
            <w:r w:rsidRPr="00BB5519">
              <w:rPr>
                <w:rFonts w:ascii="Tahoma" w:hAnsi="Tahoma" w:cs="Tahoma"/>
                <w:b/>
                <w:sz w:val="20"/>
              </w:rPr>
              <w:t>Server-Pool</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B5519" w:rsidRDefault="0036654E" w:rsidP="00A9099B">
            <w:pPr>
              <w:pStyle w:val="AppendixTableText"/>
              <w:rPr>
                <w:lang w:val="de-DE"/>
              </w:rPr>
            </w:pPr>
            <w:r w:rsidRPr="00BB5519">
              <w:rPr>
                <w:rFonts w:ascii="Tahoma" w:hAnsi="Tahoma" w:cs="Tahoma"/>
                <w:lang w:val="de-DE"/>
              </w:rPr>
              <w:t>1 Nutzer-ID pro</w:t>
            </w:r>
          </w:p>
          <w:p w:rsidR="0036654E" w:rsidRPr="00BB5519" w:rsidRDefault="0036654E" w:rsidP="00A9099B">
            <w:pPr>
              <w:pStyle w:val="AppendixTableText"/>
              <w:rPr>
                <w:lang w:val="de-DE"/>
              </w:rPr>
            </w:pPr>
            <w:r w:rsidRPr="00BB5519">
              <w:rPr>
                <w:rFonts w:ascii="Tahoma" w:hAnsi="Tahoma" w:cs="Tahoma"/>
                <w:lang w:val="de-DE"/>
              </w:rPr>
              <w:t>Serverlizenz</w:t>
            </w:r>
          </w:p>
          <w:p w:rsidR="0036654E" w:rsidRPr="00BB5519" w:rsidRDefault="0036654E" w:rsidP="0048264B">
            <w:pPr>
              <w:pStyle w:val="AppendixTableText"/>
              <w:rPr>
                <w:rFonts w:ascii="Tahoma" w:hAnsi="Tahoma" w:cs="Tahoma"/>
                <w:lang w:val="de-DE"/>
              </w:rPr>
            </w:pPr>
            <w:r w:rsidRPr="00BB5519">
              <w:rPr>
                <w:rFonts w:ascii="Tahoma" w:hAnsi="Tahoma" w:cs="Tahoma"/>
                <w:lang w:val="de-DE"/>
              </w:rPr>
              <w:t>(sobald das SA-Erfordernis von 5</w:t>
            </w:r>
            <w:r w:rsidR="0048264B">
              <w:rPr>
                <w:rFonts w:ascii="Tahoma" w:hAnsi="Tahoma" w:cs="Tahoma"/>
                <w:lang w:val="de-DE"/>
              </w:rPr>
              <w:t> </w:t>
            </w:r>
            <w:r w:rsidRPr="00BB5519">
              <w:rPr>
                <w:rFonts w:ascii="Tahoma" w:hAnsi="Tahoma" w:cs="Tahoma"/>
                <w:lang w:val="de-DE"/>
              </w:rPr>
              <w:t>Servern erfüllt ist)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BB5519" w:rsidRDefault="0036654E" w:rsidP="00A9099B">
            <w:pPr>
              <w:pStyle w:val="AppendixTableText"/>
            </w:pPr>
            <w:r w:rsidRPr="00BB5519">
              <w:rPr>
                <w:rFonts w:ascii="Tahoma" w:hAnsi="Tahoma" w:cs="Tahoma"/>
              </w:rPr>
              <w:t>1 Nutzer-ID pro</w:t>
            </w:r>
          </w:p>
          <w:p w:rsidR="0036654E" w:rsidRPr="00BB5519" w:rsidRDefault="0036654E">
            <w:pPr>
              <w:pStyle w:val="AppendixTableText"/>
              <w:rPr>
                <w:rFonts w:ascii="Tahoma" w:hAnsi="Tahoma" w:cs="Tahoma"/>
              </w:rPr>
            </w:pPr>
            <w:r w:rsidRPr="00BB5519">
              <w:rPr>
                <w:rFonts w:ascii="Tahoma" w:hAnsi="Tahoma" w:cs="Tahoma"/>
              </w:rPr>
              <w:t>Serverlizenz</w:t>
            </w:r>
          </w:p>
        </w:tc>
      </w:tr>
    </w:tbl>
    <w:p w:rsidR="00B2460D" w:rsidRPr="00BB5519" w:rsidRDefault="00B2460D">
      <w:pPr>
        <w:pStyle w:val="AppendixBodyText"/>
      </w:pPr>
    </w:p>
    <w:p w:rsidR="00023FE7" w:rsidRDefault="00023FE7" w:rsidP="00792D1E">
      <w:pPr>
        <w:pStyle w:val="AppendixBodyText"/>
        <w:spacing w:after="0"/>
      </w:pPr>
    </w:p>
    <w:p w:rsidR="004064E2" w:rsidRDefault="004064E2" w:rsidP="00792D1E">
      <w:pPr>
        <w:pStyle w:val="AppendixBodyText"/>
        <w:spacing w:after="0"/>
      </w:pPr>
    </w:p>
    <w:p w:rsidR="004064E2" w:rsidRDefault="004064E2" w:rsidP="00792D1E">
      <w:pPr>
        <w:pStyle w:val="AppendixBodyText"/>
        <w:spacing w:after="0"/>
      </w:pPr>
    </w:p>
    <w:p w:rsidR="004064E2" w:rsidRPr="00BB5519" w:rsidRDefault="004064E2" w:rsidP="00792D1E">
      <w:pPr>
        <w:pStyle w:val="AppendixBodyText"/>
        <w:spacing w:after="0"/>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48"/>
        <w:gridCol w:w="927"/>
        <w:gridCol w:w="1289"/>
        <w:gridCol w:w="1350"/>
        <w:gridCol w:w="1465"/>
        <w:gridCol w:w="1260"/>
        <w:gridCol w:w="1611"/>
      </w:tblGrid>
      <w:tr w:rsidR="0043190C" w:rsidRPr="006F21F8" w:rsidTr="006C170F">
        <w:trPr>
          <w:trHeight w:val="178"/>
        </w:trPr>
        <w:tc>
          <w:tcPr>
            <w:tcW w:w="1548" w:type="dxa"/>
            <w:shd w:val="clear" w:color="auto" w:fill="FFCC99"/>
            <w:vAlign w:val="center"/>
          </w:tcPr>
          <w:p w:rsidR="0043190C" w:rsidRPr="00BB5519" w:rsidRDefault="0043190C" w:rsidP="002A6416">
            <w:pPr>
              <w:pStyle w:val="AppendixTableHeadings"/>
              <w:keepNext/>
              <w:spacing w:line="240" w:lineRule="auto"/>
              <w:rPr>
                <w:rFonts w:ascii="Tahoma" w:hAnsi="Tahoma" w:cs="Tahoma"/>
                <w:sz w:val="20"/>
                <w:szCs w:val="20"/>
              </w:rPr>
            </w:pPr>
            <w:r w:rsidRPr="00BB5519">
              <w:rPr>
                <w:rFonts w:ascii="Tahoma" w:hAnsi="Tahoma" w:cs="Tahoma"/>
                <w:sz w:val="20"/>
                <w:szCs w:val="20"/>
              </w:rPr>
              <w:t>Produkt-Pools</w:t>
            </w:r>
          </w:p>
        </w:tc>
        <w:tc>
          <w:tcPr>
            <w:tcW w:w="927" w:type="dxa"/>
            <w:shd w:val="clear" w:color="auto" w:fill="FFCC99"/>
            <w:vAlign w:val="center"/>
          </w:tcPr>
          <w:p w:rsidR="0043190C" w:rsidRPr="00BB5519" w:rsidRDefault="0043190C" w:rsidP="002A6416">
            <w:pPr>
              <w:pStyle w:val="AppendixTableHeadings"/>
              <w:keepNext/>
              <w:spacing w:line="240" w:lineRule="auto"/>
              <w:rPr>
                <w:rFonts w:ascii="Tahoma" w:hAnsi="Tahoma" w:cs="Tahoma"/>
                <w:sz w:val="20"/>
                <w:szCs w:val="20"/>
              </w:rPr>
            </w:pPr>
            <w:r w:rsidRPr="00BB5519">
              <w:rPr>
                <w:rFonts w:ascii="Tahoma" w:hAnsi="Tahoma" w:cs="Tahoma"/>
                <w:sz w:val="20"/>
                <w:szCs w:val="20"/>
              </w:rPr>
              <w:t>Open Value mit SAM</w:t>
            </w:r>
          </w:p>
        </w:tc>
        <w:tc>
          <w:tcPr>
            <w:tcW w:w="1289" w:type="dxa"/>
            <w:shd w:val="clear" w:color="auto" w:fill="FFCC99"/>
            <w:vAlign w:val="center"/>
          </w:tcPr>
          <w:p w:rsidR="0043190C" w:rsidRPr="00BB5519" w:rsidRDefault="0043190C" w:rsidP="002A6416">
            <w:pPr>
              <w:pStyle w:val="AppendixTableHeadings"/>
              <w:keepNext/>
              <w:spacing w:line="240" w:lineRule="auto"/>
            </w:pPr>
            <w:r w:rsidRPr="00BB5519">
              <w:rPr>
                <w:rFonts w:ascii="Tahoma" w:hAnsi="Tahoma" w:cs="Tahoma"/>
                <w:sz w:val="20"/>
                <w:szCs w:val="20"/>
              </w:rPr>
              <w:t>SAM</w:t>
            </w:r>
          </w:p>
          <w:p w:rsidR="0043190C" w:rsidRPr="00BB5519" w:rsidRDefault="0043190C" w:rsidP="0096314A">
            <w:pPr>
              <w:pStyle w:val="AppendixTableHeadings"/>
              <w:keepNext/>
              <w:spacing w:line="240" w:lineRule="auto"/>
              <w:rPr>
                <w:rFonts w:ascii="Tahoma" w:hAnsi="Tahoma" w:cs="Tahoma"/>
                <w:sz w:val="20"/>
                <w:szCs w:val="20"/>
              </w:rPr>
            </w:pPr>
            <w:r w:rsidRPr="00BB5519">
              <w:rPr>
                <w:rFonts w:ascii="Tahoma" w:hAnsi="Tahoma" w:cs="Tahoma"/>
                <w:sz w:val="20"/>
                <w:szCs w:val="20"/>
              </w:rPr>
              <w:t>250-2</w:t>
            </w:r>
            <w:r w:rsidR="0096314A">
              <w:rPr>
                <w:rFonts w:ascii="Tahoma" w:hAnsi="Tahoma" w:cs="Tahoma"/>
                <w:sz w:val="20"/>
                <w:szCs w:val="20"/>
              </w:rPr>
              <w:t>.</w:t>
            </w:r>
            <w:r w:rsidRPr="00BB5519">
              <w:rPr>
                <w:rFonts w:ascii="Tahoma" w:hAnsi="Tahoma" w:cs="Tahoma"/>
                <w:sz w:val="20"/>
                <w:szCs w:val="20"/>
              </w:rPr>
              <w:t xml:space="preserve">399 </w:t>
            </w:r>
          </w:p>
        </w:tc>
        <w:tc>
          <w:tcPr>
            <w:tcW w:w="1350" w:type="dxa"/>
            <w:shd w:val="clear" w:color="auto" w:fill="FFCC99"/>
            <w:vAlign w:val="center"/>
          </w:tcPr>
          <w:p w:rsidR="0043190C" w:rsidRPr="00BB5519" w:rsidRDefault="0043190C" w:rsidP="002A6416">
            <w:pPr>
              <w:pStyle w:val="AppendixTableHeadings"/>
              <w:keepNext/>
              <w:spacing w:line="240" w:lineRule="auto"/>
            </w:pPr>
            <w:r w:rsidRPr="00BB5519">
              <w:rPr>
                <w:rFonts w:ascii="Tahoma" w:hAnsi="Tahoma" w:cs="Tahoma"/>
                <w:sz w:val="20"/>
                <w:szCs w:val="20"/>
              </w:rPr>
              <w:t>SAM</w:t>
            </w:r>
          </w:p>
          <w:p w:rsidR="0043190C" w:rsidRPr="00BB5519" w:rsidRDefault="0043190C" w:rsidP="0096314A">
            <w:pPr>
              <w:pStyle w:val="AppendixTableHeadings"/>
              <w:keepNext/>
              <w:spacing w:line="240" w:lineRule="auto"/>
              <w:rPr>
                <w:rFonts w:ascii="Tahoma" w:hAnsi="Tahoma" w:cs="Tahoma"/>
                <w:sz w:val="20"/>
                <w:szCs w:val="20"/>
              </w:rPr>
            </w:pPr>
            <w:r w:rsidRPr="00BB5519">
              <w:rPr>
                <w:rFonts w:ascii="Tahoma" w:hAnsi="Tahoma" w:cs="Tahoma"/>
                <w:sz w:val="20"/>
                <w:szCs w:val="20"/>
              </w:rPr>
              <w:t>2</w:t>
            </w:r>
            <w:r w:rsidR="0096314A">
              <w:rPr>
                <w:rFonts w:ascii="Tahoma" w:hAnsi="Tahoma" w:cs="Tahoma"/>
                <w:sz w:val="20"/>
                <w:szCs w:val="20"/>
              </w:rPr>
              <w:t>.</w:t>
            </w:r>
            <w:r w:rsidRPr="00BB5519">
              <w:rPr>
                <w:rFonts w:ascii="Tahoma" w:hAnsi="Tahoma" w:cs="Tahoma"/>
                <w:sz w:val="20"/>
                <w:szCs w:val="20"/>
              </w:rPr>
              <w:t>400-5</w:t>
            </w:r>
            <w:r w:rsidR="0096314A">
              <w:rPr>
                <w:rFonts w:ascii="Tahoma" w:hAnsi="Tahoma" w:cs="Tahoma"/>
                <w:sz w:val="20"/>
                <w:szCs w:val="20"/>
              </w:rPr>
              <w:t>.</w:t>
            </w:r>
            <w:r w:rsidRPr="00BB5519">
              <w:rPr>
                <w:rFonts w:ascii="Tahoma" w:hAnsi="Tahoma" w:cs="Tahoma"/>
                <w:sz w:val="20"/>
                <w:szCs w:val="20"/>
              </w:rPr>
              <w:t>999</w:t>
            </w:r>
          </w:p>
        </w:tc>
        <w:tc>
          <w:tcPr>
            <w:tcW w:w="1465" w:type="dxa"/>
            <w:shd w:val="clear" w:color="auto" w:fill="FFCC99"/>
            <w:vAlign w:val="center"/>
          </w:tcPr>
          <w:p w:rsidR="0043190C" w:rsidRPr="00BB5519" w:rsidRDefault="0043190C" w:rsidP="002A6416">
            <w:pPr>
              <w:pStyle w:val="AppendixTableHeadings"/>
              <w:keepNext/>
              <w:spacing w:line="240" w:lineRule="auto"/>
            </w:pPr>
            <w:r w:rsidRPr="00BB5519">
              <w:rPr>
                <w:rFonts w:ascii="Tahoma" w:hAnsi="Tahoma" w:cs="Tahoma"/>
                <w:sz w:val="20"/>
                <w:szCs w:val="20"/>
              </w:rPr>
              <w:t>SAM</w:t>
            </w:r>
          </w:p>
          <w:p w:rsidR="0043190C" w:rsidRPr="00BB5519" w:rsidRDefault="0043190C" w:rsidP="0096314A">
            <w:pPr>
              <w:pStyle w:val="AppendixTableHeadings"/>
              <w:keepNext/>
              <w:spacing w:line="240" w:lineRule="auto"/>
              <w:rPr>
                <w:rFonts w:ascii="Tahoma" w:hAnsi="Tahoma" w:cs="Tahoma"/>
                <w:sz w:val="20"/>
                <w:szCs w:val="20"/>
              </w:rPr>
            </w:pPr>
            <w:r w:rsidRPr="00BB5519">
              <w:rPr>
                <w:rFonts w:ascii="Tahoma" w:hAnsi="Tahoma" w:cs="Tahoma"/>
                <w:sz w:val="20"/>
                <w:szCs w:val="20"/>
              </w:rPr>
              <w:t>6</w:t>
            </w:r>
            <w:r w:rsidR="0096314A">
              <w:rPr>
                <w:rFonts w:ascii="Tahoma" w:hAnsi="Tahoma" w:cs="Tahoma"/>
                <w:sz w:val="20"/>
                <w:szCs w:val="20"/>
              </w:rPr>
              <w:t>.</w:t>
            </w:r>
            <w:r w:rsidRPr="00BB5519">
              <w:rPr>
                <w:rFonts w:ascii="Tahoma" w:hAnsi="Tahoma" w:cs="Tahoma"/>
                <w:sz w:val="20"/>
                <w:szCs w:val="20"/>
              </w:rPr>
              <w:t>000-14</w:t>
            </w:r>
            <w:r w:rsidR="0096314A">
              <w:rPr>
                <w:rFonts w:ascii="Tahoma" w:hAnsi="Tahoma" w:cs="Tahoma"/>
                <w:sz w:val="20"/>
                <w:szCs w:val="20"/>
              </w:rPr>
              <w:t>.</w:t>
            </w:r>
            <w:r w:rsidRPr="00BB5519">
              <w:rPr>
                <w:rFonts w:ascii="Tahoma" w:hAnsi="Tahoma" w:cs="Tahoma"/>
                <w:sz w:val="20"/>
                <w:szCs w:val="20"/>
              </w:rPr>
              <w:t>999</w:t>
            </w:r>
          </w:p>
        </w:tc>
        <w:tc>
          <w:tcPr>
            <w:tcW w:w="1260" w:type="dxa"/>
            <w:shd w:val="clear" w:color="auto" w:fill="FFCC99"/>
            <w:vAlign w:val="center"/>
          </w:tcPr>
          <w:p w:rsidR="0043190C" w:rsidRPr="00BB5519" w:rsidRDefault="0043190C" w:rsidP="002A6416">
            <w:pPr>
              <w:pStyle w:val="AppendixTableHeadings"/>
              <w:keepNext/>
              <w:spacing w:line="240" w:lineRule="auto"/>
            </w:pPr>
            <w:r w:rsidRPr="00BB5519">
              <w:rPr>
                <w:rFonts w:ascii="Tahoma" w:hAnsi="Tahoma" w:cs="Tahoma"/>
                <w:sz w:val="20"/>
                <w:szCs w:val="20"/>
              </w:rPr>
              <w:t>SAM</w:t>
            </w:r>
          </w:p>
          <w:p w:rsidR="0043190C" w:rsidRPr="00BB5519" w:rsidRDefault="0043190C" w:rsidP="0096314A">
            <w:pPr>
              <w:pStyle w:val="AppendixTableHeadings"/>
              <w:keepNext/>
              <w:spacing w:line="240" w:lineRule="auto"/>
              <w:rPr>
                <w:rFonts w:ascii="Tahoma" w:hAnsi="Tahoma" w:cs="Tahoma"/>
                <w:sz w:val="20"/>
                <w:szCs w:val="20"/>
              </w:rPr>
            </w:pPr>
            <w:r w:rsidRPr="00BB5519">
              <w:rPr>
                <w:rFonts w:ascii="Tahoma" w:hAnsi="Tahoma" w:cs="Tahoma"/>
                <w:sz w:val="20"/>
                <w:szCs w:val="20"/>
              </w:rPr>
              <w:t>15</w:t>
            </w:r>
            <w:r w:rsidR="0096314A">
              <w:rPr>
                <w:rFonts w:ascii="Tahoma" w:hAnsi="Tahoma" w:cs="Tahoma"/>
                <w:sz w:val="20"/>
                <w:szCs w:val="20"/>
              </w:rPr>
              <w:t>.</w:t>
            </w:r>
            <w:r w:rsidRPr="00BB5519">
              <w:rPr>
                <w:rFonts w:ascii="Tahoma" w:hAnsi="Tahoma" w:cs="Tahoma"/>
                <w:sz w:val="20"/>
                <w:szCs w:val="20"/>
              </w:rPr>
              <w:t>000+</w:t>
            </w:r>
          </w:p>
        </w:tc>
        <w:tc>
          <w:tcPr>
            <w:tcW w:w="1611" w:type="dxa"/>
            <w:shd w:val="clear" w:color="auto" w:fill="FFCC99"/>
            <w:vAlign w:val="center"/>
          </w:tcPr>
          <w:p w:rsidR="0043190C" w:rsidRPr="00BB5519" w:rsidRDefault="0043190C" w:rsidP="002A6416">
            <w:pPr>
              <w:pStyle w:val="AppendixTableHeadings"/>
              <w:keepNext/>
              <w:spacing w:line="240" w:lineRule="auto"/>
              <w:rPr>
                <w:rFonts w:ascii="Tahoma" w:hAnsi="Tahoma" w:cs="Tahoma"/>
                <w:sz w:val="20"/>
                <w:szCs w:val="20"/>
                <w:lang w:val="de-DE"/>
              </w:rPr>
            </w:pPr>
            <w:r w:rsidRPr="00BB5519">
              <w:rPr>
                <w:rFonts w:ascii="Tahoma" w:hAnsi="Tahoma" w:cs="Tahoma"/>
                <w:sz w:val="20"/>
                <w:szCs w:val="20"/>
                <w:lang w:val="de-DE"/>
              </w:rPr>
              <w:t>Select für Forschung &amp; Lehre/Select Plus für Forschung &amp; Lehre/Open mit SAM</w:t>
            </w:r>
          </w:p>
        </w:tc>
      </w:tr>
      <w:tr w:rsidR="0043190C" w:rsidRPr="006F21F8" w:rsidTr="006C170F">
        <w:trPr>
          <w:trHeight w:val="236"/>
        </w:trPr>
        <w:tc>
          <w:tcPr>
            <w:tcW w:w="1548" w:type="dxa"/>
            <w:vAlign w:val="center"/>
          </w:tcPr>
          <w:p w:rsidR="0043190C" w:rsidRPr="00BB5519" w:rsidRDefault="0043190C" w:rsidP="002A6416">
            <w:pPr>
              <w:pStyle w:val="AppendixTableText"/>
              <w:keepNext/>
              <w:spacing w:line="240" w:lineRule="auto"/>
              <w:rPr>
                <w:rFonts w:ascii="Tahoma" w:hAnsi="Tahoma" w:cs="Tahoma"/>
              </w:rPr>
            </w:pPr>
            <w:r w:rsidRPr="00BB5519">
              <w:rPr>
                <w:rFonts w:ascii="Tahoma" w:hAnsi="Tahoma" w:cs="Tahoma"/>
                <w:b/>
              </w:rPr>
              <w:t>Anwendungs-</w:t>
            </w:r>
            <w:r w:rsidRPr="00BB5519">
              <w:rPr>
                <w:rFonts w:ascii="Tahoma" w:hAnsi="Tahoma" w:cs="Tahoma"/>
              </w:rPr>
              <w:t xml:space="preserve"> </w:t>
            </w:r>
            <w:r w:rsidRPr="00BB5519">
              <w:rPr>
                <w:rFonts w:ascii="Tahoma" w:hAnsi="Tahoma" w:cs="Tahoma"/>
                <w:b/>
              </w:rPr>
              <w:t>Pool</w:t>
            </w:r>
          </w:p>
        </w:tc>
        <w:tc>
          <w:tcPr>
            <w:tcW w:w="927" w:type="dxa"/>
            <w:vAlign w:val="center"/>
          </w:tcPr>
          <w:p w:rsidR="0043190C" w:rsidRPr="00BB5519" w:rsidRDefault="0043190C" w:rsidP="002A6416">
            <w:pPr>
              <w:pStyle w:val="AppendixTableText"/>
              <w:keepNext/>
              <w:spacing w:line="240" w:lineRule="auto"/>
              <w:rPr>
                <w:rFonts w:ascii="Tahoma" w:hAnsi="Tahoma" w:cs="Tahoma"/>
              </w:rPr>
            </w:pPr>
            <w:r w:rsidRPr="00BB5519">
              <w:rPr>
                <w:rFonts w:ascii="Tahoma" w:hAnsi="Tahoma" w:cs="Tahoma"/>
              </w:rPr>
              <w:t>1 Nutzer-ID pro Vertrag</w:t>
            </w:r>
          </w:p>
        </w:tc>
        <w:tc>
          <w:tcPr>
            <w:tcW w:w="1289" w:type="dxa"/>
            <w:vAlign w:val="center"/>
          </w:tcPr>
          <w:p w:rsidR="0043190C" w:rsidRPr="00BB5519" w:rsidRDefault="0043190C" w:rsidP="0048264B">
            <w:pPr>
              <w:pStyle w:val="AppendixTableText"/>
              <w:keepNext/>
              <w:spacing w:line="240" w:lineRule="auto"/>
              <w:rPr>
                <w:lang w:val="de-DE"/>
              </w:rPr>
            </w:pPr>
            <w:r w:rsidRPr="00BB5519">
              <w:rPr>
                <w:rFonts w:ascii="Tahoma" w:hAnsi="Tahoma" w:cs="Tahoma"/>
                <w:lang w:val="de-DE"/>
              </w:rPr>
              <w:t>2 Nutzer-I</w:t>
            </w:r>
            <w:r w:rsidR="0048264B" w:rsidRPr="00BB5519">
              <w:rPr>
                <w:rFonts w:ascii="Tahoma" w:hAnsi="Tahoma" w:cs="Tahoma"/>
                <w:lang w:val="de-DE"/>
              </w:rPr>
              <w:t>d</w:t>
            </w:r>
            <w:r w:rsidRPr="00BB5519">
              <w:rPr>
                <w:rFonts w:ascii="Tahoma" w:hAnsi="Tahoma" w:cs="Tahoma"/>
                <w:lang w:val="de-DE"/>
              </w:rPr>
              <w:t>s</w:t>
            </w:r>
            <w:r w:rsidR="0048264B">
              <w:rPr>
                <w:rFonts w:ascii="Tahoma" w:hAnsi="Tahoma" w:cs="Tahoma"/>
                <w:lang w:val="de-DE"/>
              </w:rPr>
              <w:t> </w:t>
            </w:r>
            <w:r w:rsidRPr="00BB5519">
              <w:rPr>
                <w:rFonts w:ascii="Tahoma" w:hAnsi="Tahoma" w:cs="Tahoma"/>
                <w:lang w:val="de-DE"/>
              </w:rPr>
              <w:t>pro</w:t>
            </w:r>
          </w:p>
          <w:p w:rsidR="0043190C" w:rsidRPr="00BB5519" w:rsidRDefault="0043190C" w:rsidP="002A6416">
            <w:pPr>
              <w:pStyle w:val="AppendixTableText"/>
              <w:keepNext/>
              <w:spacing w:line="240" w:lineRule="auto"/>
              <w:rPr>
                <w:lang w:val="de-DE"/>
              </w:rPr>
            </w:pPr>
            <w:r w:rsidRPr="00BB5519">
              <w:rPr>
                <w:rFonts w:ascii="Tahoma" w:hAnsi="Tahoma" w:cs="Tahoma"/>
                <w:lang w:val="de-DE"/>
              </w:rPr>
              <w:t>berechtigtem</w:t>
            </w:r>
          </w:p>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Beitritt</w:t>
            </w:r>
          </w:p>
        </w:tc>
        <w:tc>
          <w:tcPr>
            <w:tcW w:w="1350" w:type="dxa"/>
            <w:vAlign w:val="center"/>
          </w:tcPr>
          <w:p w:rsidR="0043190C" w:rsidRPr="00BB5519" w:rsidRDefault="0043190C" w:rsidP="002A6416">
            <w:pPr>
              <w:pStyle w:val="AppendixTableText"/>
              <w:keepNext/>
              <w:spacing w:line="240" w:lineRule="auto"/>
              <w:rPr>
                <w:lang w:val="de-DE"/>
              </w:rPr>
            </w:pPr>
            <w:r w:rsidRPr="00BB5519">
              <w:rPr>
                <w:rFonts w:ascii="Tahoma" w:hAnsi="Tahoma" w:cs="Tahoma"/>
                <w:lang w:val="de-DE"/>
              </w:rPr>
              <w:t>5 Nutzer-IDs pro</w:t>
            </w:r>
          </w:p>
          <w:p w:rsidR="0043190C" w:rsidRPr="00BB5519" w:rsidRDefault="0043190C" w:rsidP="002A6416">
            <w:pPr>
              <w:pStyle w:val="AppendixTableText"/>
              <w:keepNext/>
              <w:spacing w:line="240" w:lineRule="auto"/>
              <w:rPr>
                <w:lang w:val="de-DE"/>
              </w:rPr>
            </w:pPr>
            <w:r w:rsidRPr="00BB5519">
              <w:rPr>
                <w:rFonts w:ascii="Tahoma" w:hAnsi="Tahoma" w:cs="Tahoma"/>
                <w:lang w:val="de-DE"/>
              </w:rPr>
              <w:t>berechtigtem</w:t>
            </w:r>
          </w:p>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Beitritt</w:t>
            </w:r>
          </w:p>
        </w:tc>
        <w:tc>
          <w:tcPr>
            <w:tcW w:w="1465" w:type="dxa"/>
            <w:vAlign w:val="center"/>
          </w:tcPr>
          <w:p w:rsidR="0043190C" w:rsidRPr="00BB5519" w:rsidRDefault="0043190C" w:rsidP="0048264B">
            <w:pPr>
              <w:pStyle w:val="AppendixTableText"/>
              <w:keepNext/>
              <w:spacing w:line="240" w:lineRule="auto"/>
              <w:rPr>
                <w:lang w:val="de-DE"/>
              </w:rPr>
            </w:pPr>
            <w:r w:rsidRPr="00BB5519">
              <w:rPr>
                <w:rFonts w:ascii="Tahoma" w:hAnsi="Tahoma" w:cs="Tahoma"/>
                <w:lang w:val="de-DE"/>
              </w:rPr>
              <w:t>10 Nutzer-I</w:t>
            </w:r>
            <w:r w:rsidR="0048264B" w:rsidRPr="00BB5519">
              <w:rPr>
                <w:rFonts w:ascii="Tahoma" w:hAnsi="Tahoma" w:cs="Tahoma"/>
                <w:lang w:val="de-DE"/>
              </w:rPr>
              <w:t>d</w:t>
            </w:r>
            <w:r w:rsidRPr="00BB5519">
              <w:rPr>
                <w:rFonts w:ascii="Tahoma" w:hAnsi="Tahoma" w:cs="Tahoma"/>
                <w:lang w:val="de-DE"/>
              </w:rPr>
              <w:t>s</w:t>
            </w:r>
            <w:r w:rsidR="0048264B">
              <w:rPr>
                <w:rFonts w:ascii="Tahoma" w:hAnsi="Tahoma" w:cs="Tahoma"/>
                <w:lang w:val="de-DE"/>
              </w:rPr>
              <w:t> </w:t>
            </w:r>
            <w:r w:rsidRPr="00BB5519">
              <w:rPr>
                <w:rFonts w:ascii="Tahoma" w:hAnsi="Tahoma" w:cs="Tahoma"/>
                <w:lang w:val="de-DE"/>
              </w:rPr>
              <w:t>pro</w:t>
            </w:r>
          </w:p>
          <w:p w:rsidR="0043190C" w:rsidRPr="00BB5519" w:rsidRDefault="0043190C" w:rsidP="002A6416">
            <w:pPr>
              <w:pStyle w:val="AppendixTableText"/>
              <w:keepNext/>
              <w:spacing w:line="240" w:lineRule="auto"/>
              <w:rPr>
                <w:lang w:val="de-DE"/>
              </w:rPr>
            </w:pPr>
            <w:r w:rsidRPr="00BB5519">
              <w:rPr>
                <w:rFonts w:ascii="Tahoma" w:hAnsi="Tahoma" w:cs="Tahoma"/>
                <w:lang w:val="de-DE"/>
              </w:rPr>
              <w:t>berechtigtem</w:t>
            </w:r>
          </w:p>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Beitritt</w:t>
            </w:r>
          </w:p>
        </w:tc>
        <w:tc>
          <w:tcPr>
            <w:tcW w:w="1260" w:type="dxa"/>
            <w:vAlign w:val="center"/>
          </w:tcPr>
          <w:p w:rsidR="0043190C" w:rsidRPr="00BB5519" w:rsidRDefault="0043190C" w:rsidP="0048264B">
            <w:pPr>
              <w:pStyle w:val="AppendixTableText"/>
              <w:keepNext/>
              <w:spacing w:line="240" w:lineRule="auto"/>
              <w:rPr>
                <w:lang w:val="de-DE"/>
              </w:rPr>
            </w:pPr>
            <w:r w:rsidRPr="00BB5519">
              <w:rPr>
                <w:rFonts w:ascii="Tahoma" w:hAnsi="Tahoma" w:cs="Tahoma"/>
                <w:lang w:val="de-DE"/>
              </w:rPr>
              <w:t>20 Nutzer-I</w:t>
            </w:r>
            <w:r w:rsidR="0048264B" w:rsidRPr="00BB5519">
              <w:rPr>
                <w:rFonts w:ascii="Tahoma" w:hAnsi="Tahoma" w:cs="Tahoma"/>
                <w:lang w:val="de-DE"/>
              </w:rPr>
              <w:t>d</w:t>
            </w:r>
            <w:r w:rsidRPr="00BB5519">
              <w:rPr>
                <w:rFonts w:ascii="Tahoma" w:hAnsi="Tahoma" w:cs="Tahoma"/>
                <w:lang w:val="de-DE"/>
              </w:rPr>
              <w:t>s</w:t>
            </w:r>
            <w:r w:rsidR="0048264B">
              <w:rPr>
                <w:rFonts w:ascii="Tahoma" w:hAnsi="Tahoma" w:cs="Tahoma"/>
                <w:lang w:val="de-DE"/>
              </w:rPr>
              <w:t> </w:t>
            </w:r>
            <w:r w:rsidRPr="00BB5519">
              <w:rPr>
                <w:rFonts w:ascii="Tahoma" w:hAnsi="Tahoma" w:cs="Tahoma"/>
                <w:lang w:val="de-DE"/>
              </w:rPr>
              <w:t>pro</w:t>
            </w:r>
          </w:p>
          <w:p w:rsidR="0043190C" w:rsidRPr="00BB5519" w:rsidRDefault="0043190C" w:rsidP="002A6416">
            <w:pPr>
              <w:pStyle w:val="AppendixTableText"/>
              <w:keepNext/>
              <w:spacing w:line="240" w:lineRule="auto"/>
              <w:rPr>
                <w:lang w:val="de-DE"/>
              </w:rPr>
            </w:pPr>
            <w:r w:rsidRPr="00BB5519">
              <w:rPr>
                <w:rFonts w:ascii="Tahoma" w:hAnsi="Tahoma" w:cs="Tahoma"/>
                <w:lang w:val="de-DE"/>
              </w:rPr>
              <w:t>berechtigtem</w:t>
            </w:r>
          </w:p>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Beitritt</w:t>
            </w:r>
          </w:p>
        </w:tc>
        <w:tc>
          <w:tcPr>
            <w:tcW w:w="1611" w:type="dxa"/>
            <w:vAlign w:val="center"/>
          </w:tcPr>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1 Nutzer-ID pro Beitritt/Vertrag</w:t>
            </w:r>
          </w:p>
        </w:tc>
      </w:tr>
      <w:tr w:rsidR="0043190C" w:rsidRPr="006F21F8" w:rsidTr="006C170F">
        <w:trPr>
          <w:trHeight w:val="236"/>
        </w:trPr>
        <w:tc>
          <w:tcPr>
            <w:tcW w:w="1548" w:type="dxa"/>
            <w:vAlign w:val="center"/>
          </w:tcPr>
          <w:p w:rsidR="0043190C" w:rsidRPr="00BB5519" w:rsidRDefault="0043190C" w:rsidP="002A6416">
            <w:pPr>
              <w:pStyle w:val="AppendixTableText"/>
              <w:keepNext/>
              <w:spacing w:line="240" w:lineRule="auto"/>
              <w:rPr>
                <w:rFonts w:ascii="Tahoma" w:hAnsi="Tahoma" w:cs="Tahoma"/>
              </w:rPr>
            </w:pPr>
            <w:r w:rsidRPr="00BB5519">
              <w:rPr>
                <w:rFonts w:ascii="Tahoma" w:hAnsi="Tahoma" w:cs="Tahoma"/>
                <w:b/>
              </w:rPr>
              <w:t>System-</w:t>
            </w:r>
            <w:r w:rsidRPr="00BB5519">
              <w:rPr>
                <w:rFonts w:ascii="Tahoma" w:hAnsi="Tahoma" w:cs="Tahoma"/>
              </w:rPr>
              <w:t xml:space="preserve"> </w:t>
            </w:r>
            <w:r w:rsidRPr="00BB5519">
              <w:rPr>
                <w:rFonts w:ascii="Tahoma" w:hAnsi="Tahoma" w:cs="Tahoma"/>
                <w:b/>
              </w:rPr>
              <w:t>Pool</w:t>
            </w:r>
          </w:p>
        </w:tc>
        <w:tc>
          <w:tcPr>
            <w:tcW w:w="927" w:type="dxa"/>
            <w:vAlign w:val="center"/>
          </w:tcPr>
          <w:p w:rsidR="0043190C" w:rsidRPr="00BB5519" w:rsidRDefault="0043190C" w:rsidP="002A6416">
            <w:pPr>
              <w:pStyle w:val="AppendixTableText"/>
              <w:keepNext/>
              <w:spacing w:line="240" w:lineRule="auto"/>
              <w:rPr>
                <w:rFonts w:ascii="Tahoma" w:hAnsi="Tahoma" w:cs="Tahoma"/>
              </w:rPr>
            </w:pPr>
            <w:r w:rsidRPr="00BB5519">
              <w:rPr>
                <w:rFonts w:ascii="Tahoma" w:hAnsi="Tahoma" w:cs="Tahoma"/>
              </w:rPr>
              <w:t>1 Nutzer-ID pro Vertrag</w:t>
            </w:r>
          </w:p>
        </w:tc>
        <w:tc>
          <w:tcPr>
            <w:tcW w:w="1289" w:type="dxa"/>
            <w:vAlign w:val="center"/>
          </w:tcPr>
          <w:p w:rsidR="0043190C" w:rsidRPr="00BB5519" w:rsidRDefault="0043190C" w:rsidP="002A6416">
            <w:pPr>
              <w:pStyle w:val="AppendixTableText"/>
              <w:keepNext/>
              <w:spacing w:line="240" w:lineRule="auto"/>
              <w:rPr>
                <w:lang w:val="de-DE"/>
              </w:rPr>
            </w:pPr>
            <w:r w:rsidRPr="00BB5519">
              <w:rPr>
                <w:rFonts w:ascii="Tahoma" w:hAnsi="Tahoma" w:cs="Tahoma"/>
                <w:lang w:val="de-DE"/>
              </w:rPr>
              <w:t>2 Nutzer-IDs pro</w:t>
            </w:r>
          </w:p>
          <w:p w:rsidR="0043190C" w:rsidRPr="00BB5519" w:rsidRDefault="0043190C" w:rsidP="002A6416">
            <w:pPr>
              <w:pStyle w:val="AppendixTableText"/>
              <w:keepNext/>
              <w:spacing w:line="240" w:lineRule="auto"/>
              <w:rPr>
                <w:lang w:val="de-DE"/>
              </w:rPr>
            </w:pPr>
            <w:r w:rsidRPr="00BB5519">
              <w:rPr>
                <w:rFonts w:ascii="Tahoma" w:hAnsi="Tahoma" w:cs="Tahoma"/>
                <w:lang w:val="de-DE"/>
              </w:rPr>
              <w:t>berechtigtem</w:t>
            </w:r>
          </w:p>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Beitritt</w:t>
            </w:r>
          </w:p>
        </w:tc>
        <w:tc>
          <w:tcPr>
            <w:tcW w:w="1350" w:type="dxa"/>
            <w:vAlign w:val="center"/>
          </w:tcPr>
          <w:p w:rsidR="0043190C" w:rsidRPr="00BB5519" w:rsidRDefault="00F30075" w:rsidP="002A6416">
            <w:pPr>
              <w:pStyle w:val="AppendixTableText"/>
              <w:keepNext/>
              <w:spacing w:line="240" w:lineRule="auto"/>
              <w:rPr>
                <w:lang w:val="de-DE"/>
              </w:rPr>
            </w:pPr>
            <w:r w:rsidRPr="00BB5519">
              <w:rPr>
                <w:rFonts w:ascii="Tahoma" w:hAnsi="Tahoma" w:cs="Tahoma"/>
                <w:lang w:val="de-DE"/>
              </w:rPr>
              <w:t>3 Nutzer-IDs pro</w:t>
            </w:r>
          </w:p>
          <w:p w:rsidR="0043190C" w:rsidRPr="00BB5519" w:rsidRDefault="0043190C" w:rsidP="002A6416">
            <w:pPr>
              <w:pStyle w:val="AppendixTableText"/>
              <w:keepNext/>
              <w:spacing w:line="240" w:lineRule="auto"/>
              <w:rPr>
                <w:lang w:val="de-DE"/>
              </w:rPr>
            </w:pPr>
            <w:r w:rsidRPr="00BB5519">
              <w:rPr>
                <w:rFonts w:ascii="Tahoma" w:hAnsi="Tahoma" w:cs="Tahoma"/>
                <w:lang w:val="de-DE"/>
              </w:rPr>
              <w:t>berechtigtem</w:t>
            </w:r>
          </w:p>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Beitritt</w:t>
            </w:r>
          </w:p>
        </w:tc>
        <w:tc>
          <w:tcPr>
            <w:tcW w:w="1465" w:type="dxa"/>
            <w:vAlign w:val="center"/>
          </w:tcPr>
          <w:p w:rsidR="0043190C" w:rsidRPr="00BB5519" w:rsidRDefault="00F30075" w:rsidP="002A6416">
            <w:pPr>
              <w:pStyle w:val="AppendixTableText"/>
              <w:keepNext/>
              <w:spacing w:line="240" w:lineRule="auto"/>
              <w:rPr>
                <w:lang w:val="de-DE"/>
              </w:rPr>
            </w:pPr>
            <w:r w:rsidRPr="00BB5519">
              <w:rPr>
                <w:rFonts w:ascii="Tahoma" w:hAnsi="Tahoma" w:cs="Tahoma"/>
                <w:lang w:val="de-DE"/>
              </w:rPr>
              <w:t>5 Nutzer-IDs pro</w:t>
            </w:r>
          </w:p>
          <w:p w:rsidR="0043190C" w:rsidRPr="00BB5519" w:rsidRDefault="0043190C" w:rsidP="002A6416">
            <w:pPr>
              <w:pStyle w:val="AppendixTableText"/>
              <w:keepNext/>
              <w:spacing w:line="240" w:lineRule="auto"/>
              <w:rPr>
                <w:lang w:val="de-DE"/>
              </w:rPr>
            </w:pPr>
            <w:r w:rsidRPr="00BB5519">
              <w:rPr>
                <w:rFonts w:ascii="Tahoma" w:hAnsi="Tahoma" w:cs="Tahoma"/>
                <w:lang w:val="de-DE"/>
              </w:rPr>
              <w:t>berechtigtem</w:t>
            </w:r>
          </w:p>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Beitritt</w:t>
            </w:r>
          </w:p>
        </w:tc>
        <w:tc>
          <w:tcPr>
            <w:tcW w:w="1260" w:type="dxa"/>
            <w:vAlign w:val="center"/>
          </w:tcPr>
          <w:p w:rsidR="0043190C" w:rsidRPr="00BB5519" w:rsidRDefault="00F30075" w:rsidP="002A6416">
            <w:pPr>
              <w:pStyle w:val="AppendixTableText"/>
              <w:keepNext/>
              <w:spacing w:line="240" w:lineRule="auto"/>
              <w:rPr>
                <w:lang w:val="de-DE"/>
              </w:rPr>
            </w:pPr>
            <w:r w:rsidRPr="00BB5519">
              <w:rPr>
                <w:rFonts w:ascii="Tahoma" w:hAnsi="Tahoma" w:cs="Tahoma"/>
                <w:lang w:val="de-DE"/>
              </w:rPr>
              <w:t>10 Nutzer-IDs pro</w:t>
            </w:r>
          </w:p>
          <w:p w:rsidR="0043190C" w:rsidRPr="00BB5519" w:rsidRDefault="0043190C" w:rsidP="002A6416">
            <w:pPr>
              <w:pStyle w:val="AppendixTableText"/>
              <w:keepNext/>
              <w:spacing w:line="240" w:lineRule="auto"/>
              <w:rPr>
                <w:lang w:val="de-DE"/>
              </w:rPr>
            </w:pPr>
            <w:r w:rsidRPr="00BB5519">
              <w:rPr>
                <w:rFonts w:ascii="Tahoma" w:hAnsi="Tahoma" w:cs="Tahoma"/>
                <w:lang w:val="de-DE"/>
              </w:rPr>
              <w:t>berechtigtem</w:t>
            </w:r>
          </w:p>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Beitritt</w:t>
            </w:r>
          </w:p>
        </w:tc>
        <w:tc>
          <w:tcPr>
            <w:tcW w:w="1611" w:type="dxa"/>
            <w:vAlign w:val="center"/>
          </w:tcPr>
          <w:p w:rsidR="0043190C" w:rsidRPr="00BB5519" w:rsidRDefault="0043190C" w:rsidP="002A6416">
            <w:pPr>
              <w:pStyle w:val="AppendixTableText"/>
              <w:keepNext/>
              <w:spacing w:line="240" w:lineRule="auto"/>
              <w:rPr>
                <w:rFonts w:ascii="Tahoma" w:hAnsi="Tahoma" w:cs="Tahoma"/>
                <w:lang w:val="de-DE"/>
              </w:rPr>
            </w:pPr>
            <w:r w:rsidRPr="00BB5519">
              <w:rPr>
                <w:rFonts w:ascii="Tahoma" w:hAnsi="Tahoma" w:cs="Tahoma"/>
                <w:lang w:val="de-DE"/>
              </w:rPr>
              <w:t>1 Nutzer-ID pro Beitritt/Vertrag</w:t>
            </w:r>
          </w:p>
        </w:tc>
      </w:tr>
    </w:tbl>
    <w:p w:rsidR="009D26EE" w:rsidRPr="00BB5519" w:rsidRDefault="009D26EE" w:rsidP="0048264B">
      <w:pPr>
        <w:pStyle w:val="AppendixFlushBulletedList"/>
        <w:tabs>
          <w:tab w:val="clear" w:pos="360"/>
          <w:tab w:val="num" w:pos="0"/>
        </w:tabs>
        <w:spacing w:before="40"/>
        <w:ind w:left="0" w:firstLine="0"/>
        <w:rPr>
          <w:lang w:val="de-DE"/>
        </w:rPr>
      </w:pPr>
      <w:r w:rsidRPr="00BB5519">
        <w:rPr>
          <w:rFonts w:ascii="Tahoma" w:hAnsi="Tahoma" w:cs="Tahoma"/>
          <w:sz w:val="18"/>
          <w:szCs w:val="18"/>
          <w:lang w:val="de-DE"/>
        </w:rPr>
        <w:t>Jede Nutzer-ID berechtigt eine einzelne Person, sich bei den ausschließlich Abonnenten zur Verfügung stehenden Onlinediensten zu registrieren und auf diese zuzugreifen, einschließlich, aber nicht beschränkt auf: Online Concierge Chat, Verwaltete Newsgroups und Premium-Inhalte.</w:t>
      </w:r>
    </w:p>
    <w:p w:rsidR="00792D1E" w:rsidRPr="00AD7081" w:rsidRDefault="00792D1E" w:rsidP="00792D1E">
      <w:pPr>
        <w:pStyle w:val="AppendixFlushBulletedList"/>
        <w:tabs>
          <w:tab w:val="clear" w:pos="360"/>
          <w:tab w:val="num" w:pos="0"/>
        </w:tabs>
        <w:ind w:left="0" w:firstLine="0"/>
        <w:rPr>
          <w:rFonts w:ascii="Tahoma" w:hAnsi="Tahoma" w:cs="Tahoma"/>
          <w:sz w:val="18"/>
          <w:szCs w:val="18"/>
          <w:lang w:val="de-DE"/>
        </w:rPr>
      </w:pPr>
    </w:p>
    <w:p w:rsidR="008C0608" w:rsidRPr="00BB5519" w:rsidRDefault="008C0608" w:rsidP="00792D1E">
      <w:pPr>
        <w:pStyle w:val="AppendixFlushBulletedList"/>
        <w:tabs>
          <w:tab w:val="clear" w:pos="360"/>
          <w:tab w:val="num" w:pos="0"/>
        </w:tabs>
        <w:ind w:left="0" w:firstLine="0"/>
        <w:rPr>
          <w:lang w:val="de-DE"/>
        </w:rPr>
      </w:pPr>
      <w:r w:rsidRPr="00BB5519">
        <w:rPr>
          <w:rFonts w:ascii="Tahoma" w:hAnsi="Tahoma" w:cs="Tahoma"/>
          <w:sz w:val="18"/>
          <w:szCs w:val="18"/>
          <w:lang w:val="de-DE"/>
        </w:rPr>
        <w:t>Kunden mit Open-Lizenz, Open Value, Open Value Subscription – Bildungslösungen, Select-Lizenz für Forschung &amp; Lehre und Select Plus für Forschung &amp; Lehre müssen Software Assurance für mindestens fünf Serverlizenzen für qualifizierende Produkte erwerben, um Anspruch auf diese Vergünstigung zu haben.</w:t>
      </w:r>
    </w:p>
    <w:p w:rsidR="00792D1E" w:rsidRPr="00AD7081" w:rsidRDefault="00792D1E" w:rsidP="00792D1E">
      <w:pPr>
        <w:pStyle w:val="AppendixFlushBulletedList"/>
        <w:tabs>
          <w:tab w:val="clear" w:pos="360"/>
          <w:tab w:val="num" w:pos="0"/>
        </w:tabs>
        <w:ind w:left="0" w:firstLine="0"/>
        <w:rPr>
          <w:rFonts w:ascii="Tahoma" w:hAnsi="Tahoma" w:cs="Tahoma"/>
          <w:sz w:val="18"/>
          <w:szCs w:val="18"/>
          <w:lang w:val="de-DE"/>
        </w:rPr>
      </w:pPr>
    </w:p>
    <w:p w:rsidR="00023FE7" w:rsidRPr="00BB5519" w:rsidRDefault="009D26EE" w:rsidP="00792D1E">
      <w:pPr>
        <w:pStyle w:val="AppendixBodyText"/>
        <w:spacing w:after="0"/>
        <w:rPr>
          <w:lang w:val="de-DE"/>
        </w:rPr>
      </w:pPr>
      <w:r w:rsidRPr="00BB5519">
        <w:rPr>
          <w:rFonts w:ascii="Tahoma" w:hAnsi="Tahoma" w:cs="Tahoma"/>
          <w:sz w:val="18"/>
          <w:szCs w:val="18"/>
          <w:lang w:val="de-DE"/>
        </w:rPr>
        <w:t>Die Nutzung der TechNet SA-Abonnementservices-Software durch die Kunden unterliegt den Bestimmungen ihres Lizenzvertrages.</w:t>
      </w:r>
    </w:p>
    <w:p w:rsidR="004D4D43" w:rsidRPr="00AD7081" w:rsidRDefault="004D4D43" w:rsidP="00F0652C">
      <w:pPr>
        <w:pStyle w:val="Heading3"/>
        <w:rPr>
          <w:rFonts w:ascii="Tahoma" w:hAnsi="Tahoma" w:cs="Tahoma"/>
          <w:b w:val="0"/>
          <w:sz w:val="18"/>
          <w:szCs w:val="18"/>
          <w:lang w:val="de-DE"/>
        </w:rPr>
      </w:pPr>
    </w:p>
    <w:p w:rsidR="00023FE7" w:rsidRPr="00EC2A0D" w:rsidRDefault="00023FE7" w:rsidP="00F0652C">
      <w:pPr>
        <w:pStyle w:val="Heading3"/>
        <w:rPr>
          <w:rFonts w:ascii="Tahoma" w:hAnsi="Tahoma"/>
          <w:sz w:val="24"/>
          <w:lang w:val="de-DE"/>
        </w:rPr>
      </w:pPr>
      <w:bookmarkStart w:id="816" w:name="_Toc336338241"/>
      <w:bookmarkStart w:id="817" w:name="_Toc354054937"/>
      <w:r w:rsidRPr="00EC2A0D">
        <w:rPr>
          <w:rFonts w:ascii="Tahoma" w:hAnsi="Tahoma"/>
          <w:sz w:val="24"/>
          <w:lang w:val="de-DE"/>
        </w:rPr>
        <w:t>TechNet Plus Direct</w:t>
      </w:r>
      <w:bookmarkEnd w:id="816"/>
      <w:bookmarkEnd w:id="817"/>
    </w:p>
    <w:p w:rsidR="00F0652C" w:rsidRPr="00AD7081" w:rsidRDefault="00F0652C" w:rsidP="00F0652C">
      <w:pPr>
        <w:rPr>
          <w:rFonts w:cs="Tahoma"/>
          <w:szCs w:val="18"/>
          <w:lang w:val="de-DE"/>
        </w:rPr>
      </w:pPr>
    </w:p>
    <w:p w:rsidR="00792D1E" w:rsidRPr="00BB5519" w:rsidRDefault="00A65414" w:rsidP="00792D1E">
      <w:pPr>
        <w:pStyle w:val="AppendixBodyText"/>
        <w:spacing w:after="0"/>
        <w:rPr>
          <w:lang w:val="de-DE"/>
        </w:rPr>
      </w:pPr>
      <w:r w:rsidRPr="00BB5519">
        <w:rPr>
          <w:rFonts w:ascii="Tahoma" w:hAnsi="Tahoma" w:cs="Tahoma"/>
          <w:sz w:val="18"/>
          <w:szCs w:val="18"/>
          <w:lang w:val="de-DE"/>
        </w:rPr>
        <w:t>Kunden mit Software Assurance für qualifizierende Produkte innerhalb des Server-Pools haben während der Software Assurance-Laufzeit Anspruch auf ein TechNet Plus Direct-Abonnement.</w:t>
      </w:r>
      <w:r w:rsidR="009E4976" w:rsidRPr="00BB5519">
        <w:rPr>
          <w:rFonts w:ascii="Tahoma" w:hAnsi="Tahoma" w:cs="Tahoma"/>
          <w:sz w:val="18"/>
          <w:szCs w:val="18"/>
          <w:lang w:val="de-DE"/>
        </w:rPr>
        <w:t xml:space="preserve"> </w:t>
      </w:r>
      <w:r w:rsidRPr="00BB5519">
        <w:rPr>
          <w:rFonts w:ascii="Tahoma" w:hAnsi="Tahoma" w:cs="Tahoma"/>
          <w:sz w:val="18"/>
          <w:szCs w:val="18"/>
          <w:lang w:val="de-DE"/>
        </w:rPr>
        <w:t>Hierdurch erhalten IT-Fachleute Zugriff auf TechNet Plus Direct-Inhalte wie z. B. die Microsoft Knowledge Base, technische Schulungen, Downloads, Sicherheitspatches, Service Packs und Anleitungen.</w:t>
      </w:r>
      <w:r w:rsidR="009E4976" w:rsidRPr="00BB5519">
        <w:rPr>
          <w:rFonts w:ascii="Tahoma" w:hAnsi="Tahoma" w:cs="Tahoma"/>
          <w:sz w:val="18"/>
          <w:szCs w:val="18"/>
          <w:lang w:val="de-DE"/>
        </w:rPr>
        <w:t xml:space="preserve"> </w:t>
      </w:r>
      <w:r w:rsidRPr="00BB5519">
        <w:rPr>
          <w:rFonts w:ascii="Tahoma" w:hAnsi="Tahoma" w:cs="Tahoma"/>
          <w:sz w:val="18"/>
          <w:szCs w:val="18"/>
          <w:lang w:val="de-DE"/>
        </w:rPr>
        <w:t>Zusätzlich erhalten die Kunden folgende Vergünstigungen:</w:t>
      </w:r>
    </w:p>
    <w:p w:rsidR="00023FE7" w:rsidRPr="00AD7081" w:rsidRDefault="00023FE7" w:rsidP="00792D1E">
      <w:pPr>
        <w:pStyle w:val="AppendixBodyText"/>
        <w:spacing w:after="0"/>
        <w:rPr>
          <w:rFonts w:ascii="Tahoma" w:hAnsi="Tahoma" w:cs="Tahoma"/>
          <w:sz w:val="18"/>
          <w:szCs w:val="18"/>
          <w:lang w:val="de-DE"/>
        </w:rPr>
      </w:pPr>
    </w:p>
    <w:p w:rsidR="00023FE7" w:rsidRPr="00BB5519" w:rsidRDefault="00023FE7" w:rsidP="002C1048">
      <w:pPr>
        <w:pStyle w:val="AppendixFlushBulletedList"/>
        <w:numPr>
          <w:ilvl w:val="0"/>
          <w:numId w:val="137"/>
        </w:numPr>
        <w:spacing w:after="60"/>
        <w:ind w:left="1440"/>
        <w:rPr>
          <w:lang w:val="de-DE"/>
        </w:rPr>
      </w:pPr>
      <w:r w:rsidRPr="00BB5519">
        <w:rPr>
          <w:rFonts w:ascii="Tahoma" w:hAnsi="Tahoma" w:cs="Tahoma"/>
          <w:sz w:val="18"/>
          <w:szCs w:val="18"/>
          <w:lang w:val="de-DE"/>
        </w:rPr>
        <w:t xml:space="preserve">Zugriff zum Herunterladen von Vollversions-Software, die für Bewertungszwecke lizenziert ist, einschließlich Microsoft-Betriebssystemen, Servern und Office System-Software. </w:t>
      </w:r>
    </w:p>
    <w:p w:rsidR="00023FE7" w:rsidRPr="00BB5519" w:rsidRDefault="00023FE7" w:rsidP="002C1048">
      <w:pPr>
        <w:pStyle w:val="AppendixFlushBulletedList"/>
        <w:numPr>
          <w:ilvl w:val="0"/>
          <w:numId w:val="137"/>
        </w:numPr>
        <w:spacing w:after="60"/>
        <w:ind w:left="1440"/>
        <w:rPr>
          <w:lang w:val="de-DE"/>
        </w:rPr>
      </w:pPr>
      <w:r w:rsidRPr="00BB5519">
        <w:rPr>
          <w:rFonts w:ascii="Tahoma" w:hAnsi="Tahoma" w:cs="Tahoma"/>
          <w:sz w:val="18"/>
          <w:szCs w:val="18"/>
          <w:lang w:val="de-DE"/>
        </w:rPr>
        <w:t xml:space="preserve">Zugriff zum Herunterladen von Beta-Software – Vorabversionen von Microsoft-Software </w:t>
      </w:r>
    </w:p>
    <w:p w:rsidR="00023FE7" w:rsidRPr="00BB5519" w:rsidRDefault="00023FE7" w:rsidP="002C1048">
      <w:pPr>
        <w:pStyle w:val="AppendixFlushBulletedList"/>
        <w:numPr>
          <w:ilvl w:val="0"/>
          <w:numId w:val="137"/>
        </w:numPr>
        <w:spacing w:after="60"/>
        <w:ind w:left="1440"/>
        <w:rPr>
          <w:lang w:val="de-DE"/>
        </w:rPr>
      </w:pPr>
      <w:r w:rsidRPr="00BB5519">
        <w:rPr>
          <w:rFonts w:ascii="Tahoma" w:hAnsi="Tahoma" w:cs="Tahoma"/>
          <w:sz w:val="18"/>
          <w:szCs w:val="18"/>
          <w:lang w:val="de-DE"/>
        </w:rPr>
        <w:t xml:space="preserve">Zwei (2) zusätzliche technische Supportanfragen pro Jahr und eine Ermäßigung von 20 % auf zusätzliche telefonische Supportanfragen, die ein Kunde erwirbt. </w:t>
      </w:r>
    </w:p>
    <w:p w:rsidR="00023FE7" w:rsidRPr="00BB5519" w:rsidRDefault="00023FE7" w:rsidP="002C1048">
      <w:pPr>
        <w:pStyle w:val="AppendixFlushBulletedList"/>
        <w:numPr>
          <w:ilvl w:val="0"/>
          <w:numId w:val="137"/>
        </w:numPr>
        <w:spacing w:after="60"/>
        <w:ind w:left="1440"/>
        <w:rPr>
          <w:lang w:val="de-DE"/>
        </w:rPr>
      </w:pPr>
      <w:r w:rsidRPr="00BB5519">
        <w:rPr>
          <w:rFonts w:ascii="Tahoma" w:hAnsi="Tahoma" w:cs="Tahoma"/>
          <w:sz w:val="18"/>
          <w:szCs w:val="18"/>
          <w:lang w:val="de-DE"/>
        </w:rPr>
        <w:t xml:space="preserve">Unbegrenzter Support durch Verwaltete Newsgroups und den Online Concierge-Service. </w:t>
      </w:r>
    </w:p>
    <w:p w:rsidR="00023FE7" w:rsidRPr="00AD7081" w:rsidRDefault="00023FE7" w:rsidP="00792D1E">
      <w:pPr>
        <w:pStyle w:val="AppendixBodyText"/>
        <w:spacing w:after="0"/>
        <w:rPr>
          <w:rFonts w:ascii="Tahoma" w:hAnsi="Tahoma" w:cs="Tahoma"/>
          <w:sz w:val="18"/>
          <w:szCs w:val="18"/>
          <w:lang w:val="de-DE"/>
        </w:rPr>
      </w:pPr>
    </w:p>
    <w:p w:rsidR="00023FE7" w:rsidRPr="00BB5519" w:rsidRDefault="00023FE7" w:rsidP="00792D1E">
      <w:pPr>
        <w:pStyle w:val="AppendixBodyText"/>
        <w:spacing w:after="0"/>
        <w:rPr>
          <w:lang w:val="de-DE"/>
        </w:rPr>
      </w:pPr>
      <w:r w:rsidRPr="00BB5519">
        <w:rPr>
          <w:rFonts w:ascii="Tahoma" w:hAnsi="Tahoma" w:cs="Tahoma"/>
          <w:sz w:val="18"/>
          <w:szCs w:val="18"/>
          <w:lang w:val="de-DE"/>
        </w:rPr>
        <w:t>Berechtigte Kunden erhalten ein Abonnement pro qualifizierender Beitritt, wie nachfolgend dargestellt:</w:t>
      </w:r>
    </w:p>
    <w:p w:rsidR="00023FE7" w:rsidRPr="00AD7081" w:rsidRDefault="00023FE7" w:rsidP="00792D1E">
      <w:pPr>
        <w:pStyle w:val="AppendixBodyText"/>
        <w:tabs>
          <w:tab w:val="left" w:pos="1425"/>
        </w:tabs>
        <w:spacing w:after="0"/>
        <w:rPr>
          <w:rFonts w:ascii="Tahoma" w:hAnsi="Tahoma" w:cs="Tahoma"/>
          <w:sz w:val="18"/>
          <w:szCs w:val="18"/>
          <w:lang w:val="de-DE"/>
        </w:rPr>
      </w:pPr>
    </w:p>
    <w:tbl>
      <w:tblPr>
        <w:tblW w:w="9459" w:type="dxa"/>
        <w:tblInd w:w="99" w:type="dxa"/>
        <w:tblCellMar>
          <w:left w:w="0" w:type="dxa"/>
          <w:right w:w="0" w:type="dxa"/>
        </w:tblCellMar>
        <w:tblLook w:val="0000" w:firstRow="0" w:lastRow="0" w:firstColumn="0" w:lastColumn="0" w:noHBand="0" w:noVBand="0"/>
      </w:tblPr>
      <w:tblGrid>
        <w:gridCol w:w="1529"/>
        <w:gridCol w:w="1803"/>
        <w:gridCol w:w="1999"/>
        <w:gridCol w:w="2097"/>
        <w:gridCol w:w="2031"/>
      </w:tblGrid>
      <w:tr w:rsidR="00270612" w:rsidRPr="00D244F0"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B5519" w:rsidRDefault="00270612" w:rsidP="00CA4488">
            <w:pPr>
              <w:jc w:val="center"/>
              <w:rPr>
                <w:rFonts w:cs="Tahoma"/>
                <w:b/>
                <w:bCs/>
                <w:color w:val="000000"/>
                <w:sz w:val="20"/>
                <w:szCs w:val="20"/>
                <w:highlight w:val="yellow"/>
              </w:rPr>
            </w:pPr>
            <w:r w:rsidRPr="00BB5519">
              <w:rPr>
                <w:rFonts w:cs="Tahoma"/>
                <w:b/>
                <w:bCs/>
                <w:color w:val="000000"/>
                <w:sz w:val="20"/>
                <w:szCs w:val="20"/>
              </w:rPr>
              <w:t>Produkt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B5519" w:rsidRDefault="00270612" w:rsidP="00CA4488">
            <w:pPr>
              <w:jc w:val="center"/>
              <w:rPr>
                <w:rFonts w:cs="Tahoma"/>
                <w:b/>
                <w:bCs/>
                <w:color w:val="000000"/>
                <w:sz w:val="20"/>
                <w:szCs w:val="20"/>
                <w:highlight w:val="yellow"/>
              </w:rPr>
            </w:pPr>
            <w:r w:rsidRPr="00BB5519">
              <w:rPr>
                <w:rFonts w:cs="Tahoma"/>
                <w:b/>
                <w:bCs/>
                <w:color w:val="000000"/>
                <w:sz w:val="20"/>
                <w:szCs w:val="20"/>
              </w:rPr>
              <w:t>Open-Lizenz</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B5519" w:rsidRDefault="00270612" w:rsidP="00CA4488">
            <w:pPr>
              <w:jc w:val="center"/>
              <w:rPr>
                <w:rFonts w:cs="Tahoma"/>
                <w:b/>
                <w:bCs/>
                <w:color w:val="000000"/>
                <w:sz w:val="20"/>
                <w:szCs w:val="20"/>
                <w:highlight w:val="yellow"/>
              </w:rPr>
            </w:pPr>
            <w:r w:rsidRPr="00BB5519">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BB5519" w:rsidRDefault="00270612" w:rsidP="00CA4488">
            <w:pPr>
              <w:jc w:val="center"/>
              <w:rPr>
                <w:rFonts w:cs="Tahoma"/>
                <w:b/>
                <w:bCs/>
                <w:color w:val="000000"/>
                <w:sz w:val="20"/>
                <w:szCs w:val="20"/>
              </w:rPr>
            </w:pPr>
            <w:r w:rsidRPr="00BB5519">
              <w:rPr>
                <w:rFonts w:cs="Tahoma"/>
                <w:b/>
                <w:bCs/>
                <w:color w:val="000000"/>
                <w:sz w:val="20"/>
                <w:szCs w:val="20"/>
              </w:rPr>
              <w:t>Forschung &amp; Lehre</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BB5519" w:rsidRDefault="00270612" w:rsidP="00CA4488">
            <w:pPr>
              <w:jc w:val="center"/>
              <w:rPr>
                <w:rFonts w:cs="Tahoma"/>
                <w:b/>
                <w:bCs/>
                <w:color w:val="000000"/>
                <w:sz w:val="20"/>
                <w:szCs w:val="20"/>
                <w:highlight w:val="yellow"/>
                <w:lang w:val="de-DE"/>
              </w:rPr>
            </w:pPr>
            <w:r w:rsidRPr="00BB5519">
              <w:rPr>
                <w:rFonts w:cs="Tahoma"/>
                <w:b/>
                <w:bCs/>
                <w:color w:val="000000"/>
                <w:sz w:val="20"/>
                <w:szCs w:val="20"/>
                <w:lang w:val="de-DE"/>
              </w:rPr>
              <w:t>Select (außer Forschung &amp; Lehre/Select Plus (außer Forschung &amp; Lehre/EA</w:t>
            </w:r>
          </w:p>
        </w:tc>
      </w:tr>
      <w:tr w:rsidR="00270612" w:rsidRPr="00BB5519"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BB5519" w:rsidRDefault="00270612" w:rsidP="00CA4488">
            <w:pPr>
              <w:rPr>
                <w:rFonts w:cs="Tahoma"/>
                <w:color w:val="000000"/>
                <w:szCs w:val="18"/>
                <w:highlight w:val="yellow"/>
              </w:rPr>
            </w:pPr>
            <w:r w:rsidRPr="00BB5519">
              <w:rPr>
                <w:rFonts w:cs="Tahoma"/>
                <w:b/>
                <w:bCs/>
                <w:iCs/>
                <w:color w:val="000000"/>
                <w:szCs w:val="18"/>
              </w:rPr>
              <w:t>Server</w:t>
            </w:r>
            <w:r w:rsidRPr="00BB5519">
              <w:rPr>
                <w:rFonts w:cs="Tahoma"/>
                <w:b/>
                <w:color w:val="000000"/>
                <w:szCs w:val="18"/>
              </w:rPr>
              <w:t>lizenzen</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BB5519" w:rsidRDefault="00270612" w:rsidP="00CA4488">
            <w:pPr>
              <w:jc w:val="center"/>
              <w:rPr>
                <w:rFonts w:cs="Tahoma"/>
                <w:color w:val="000000"/>
                <w:szCs w:val="18"/>
                <w:highlight w:val="yellow"/>
              </w:rPr>
            </w:pPr>
            <w:r w:rsidRPr="00BB5519">
              <w:rPr>
                <w:rFonts w:cs="Tahoma"/>
                <w:color w:val="000000"/>
                <w:szCs w:val="18"/>
              </w:rPr>
              <w:t>n. z.</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BB5519" w:rsidRDefault="00270612" w:rsidP="00AD7081">
            <w:pPr>
              <w:jc w:val="center"/>
              <w:rPr>
                <w:rFonts w:cs="Tahoma"/>
                <w:color w:val="000000"/>
                <w:szCs w:val="18"/>
                <w:highlight w:val="yellow"/>
              </w:rPr>
            </w:pPr>
            <w:r w:rsidRPr="00BB5519">
              <w:rPr>
                <w:rFonts w:cs="Tahoma"/>
                <w:color w:val="000000"/>
                <w:szCs w:val="18"/>
              </w:rPr>
              <w:t>1 Abonnement pro</w:t>
            </w:r>
            <w:r w:rsidR="00AD7081">
              <w:rPr>
                <w:rFonts w:cs="Tahoma"/>
                <w:color w:val="000000"/>
                <w:szCs w:val="18"/>
              </w:rPr>
              <w:t> </w:t>
            </w:r>
            <w:r w:rsidRPr="00BB5519">
              <w:rPr>
                <w:rFonts w:cs="Tahoma"/>
                <w:color w:val="000000"/>
                <w:szCs w:val="18"/>
              </w:rPr>
              <w:t>Beitritt</w:t>
            </w:r>
          </w:p>
        </w:tc>
        <w:tc>
          <w:tcPr>
            <w:tcW w:w="2160" w:type="dxa"/>
            <w:tcBorders>
              <w:top w:val="single" w:sz="8" w:space="0" w:color="auto"/>
              <w:left w:val="nil"/>
              <w:bottom w:val="single" w:sz="8" w:space="0" w:color="auto"/>
              <w:right w:val="single" w:sz="8" w:space="0" w:color="auto"/>
            </w:tcBorders>
          </w:tcPr>
          <w:p w:rsidR="00270612" w:rsidRPr="00BB5519" w:rsidRDefault="00270612" w:rsidP="00AD7081">
            <w:pPr>
              <w:ind w:left="360"/>
              <w:rPr>
                <w:rFonts w:cs="Tahoma"/>
                <w:color w:val="000000"/>
                <w:szCs w:val="18"/>
              </w:rPr>
            </w:pPr>
            <w:r w:rsidRPr="00BB5519">
              <w:rPr>
                <w:rFonts w:cs="Tahoma"/>
                <w:color w:val="000000"/>
                <w:szCs w:val="18"/>
              </w:rPr>
              <w:t>1 Abonnement pro</w:t>
            </w:r>
            <w:r w:rsidR="00AD7081">
              <w:rPr>
                <w:rFonts w:cs="Tahoma"/>
                <w:color w:val="000000"/>
                <w:szCs w:val="18"/>
              </w:rPr>
              <w:t> </w:t>
            </w:r>
            <w:r w:rsidRPr="00BB5519">
              <w:rPr>
                <w:rFonts w:cs="Tahoma"/>
                <w:color w:val="000000"/>
                <w:szCs w:val="18"/>
              </w:rPr>
              <w:t>Beitritt*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BB5519" w:rsidRDefault="00270612" w:rsidP="00AD7081">
            <w:pPr>
              <w:rPr>
                <w:rFonts w:cs="Tahoma"/>
                <w:color w:val="000000"/>
                <w:szCs w:val="18"/>
              </w:rPr>
            </w:pPr>
            <w:r w:rsidRPr="00BB5519">
              <w:rPr>
                <w:rFonts w:cs="Tahoma"/>
                <w:color w:val="000000"/>
                <w:szCs w:val="18"/>
              </w:rPr>
              <w:t>1 Abonnement pro</w:t>
            </w:r>
            <w:r w:rsidR="00AD7081">
              <w:rPr>
                <w:rFonts w:cs="Tahoma"/>
                <w:color w:val="000000"/>
                <w:szCs w:val="18"/>
              </w:rPr>
              <w:t> </w:t>
            </w:r>
            <w:r w:rsidRPr="00BB5519">
              <w:rPr>
                <w:rFonts w:cs="Tahoma"/>
                <w:color w:val="000000"/>
                <w:szCs w:val="18"/>
              </w:rPr>
              <w:t>Beitritt</w:t>
            </w:r>
          </w:p>
        </w:tc>
      </w:tr>
    </w:tbl>
    <w:p w:rsidR="00F30075" w:rsidRPr="00BB5519" w:rsidRDefault="00F30075" w:rsidP="00AD7081">
      <w:pPr>
        <w:tabs>
          <w:tab w:val="num" w:pos="0"/>
        </w:tabs>
        <w:spacing w:before="40"/>
        <w:rPr>
          <w:lang w:val="de-DE"/>
        </w:rPr>
      </w:pPr>
      <w:r w:rsidRPr="00BB5519">
        <w:rPr>
          <w:rFonts w:cs="Tahoma"/>
          <w:i/>
          <w:color w:val="000000"/>
          <w:sz w:val="16"/>
          <w:szCs w:val="16"/>
          <w:lang w:val="de-DE"/>
        </w:rPr>
        <w:t>* Sofern der Kunde aktive Software Assurance für fünf Server-Software-Lizenzen verfügt</w:t>
      </w:r>
    </w:p>
    <w:p w:rsidR="00270612" w:rsidRPr="00AD7081" w:rsidRDefault="00270612" w:rsidP="00270612">
      <w:pPr>
        <w:pStyle w:val="AppendixFlushBulletedList"/>
        <w:tabs>
          <w:tab w:val="clear" w:pos="360"/>
          <w:tab w:val="num" w:pos="0"/>
        </w:tabs>
        <w:ind w:left="0" w:firstLine="0"/>
        <w:rPr>
          <w:rFonts w:ascii="Tahoma" w:hAnsi="Tahoma" w:cs="Tahoma"/>
          <w:sz w:val="18"/>
          <w:szCs w:val="18"/>
          <w:lang w:val="de-DE"/>
        </w:rPr>
      </w:pPr>
    </w:p>
    <w:p w:rsidR="00270612" w:rsidRDefault="00270612" w:rsidP="00270612">
      <w:pPr>
        <w:pStyle w:val="AppendixFlushBulletedList"/>
        <w:tabs>
          <w:tab w:val="clear" w:pos="360"/>
          <w:tab w:val="num" w:pos="0"/>
        </w:tabs>
        <w:ind w:left="0" w:firstLine="0"/>
        <w:rPr>
          <w:rFonts w:ascii="Tahoma" w:hAnsi="Tahoma" w:cs="Tahoma"/>
          <w:color w:val="000000"/>
          <w:sz w:val="18"/>
          <w:szCs w:val="18"/>
          <w:lang w:val="de-DE"/>
        </w:rPr>
      </w:pPr>
      <w:r w:rsidRPr="00BB5519">
        <w:rPr>
          <w:rFonts w:ascii="Tahoma" w:hAnsi="Tahoma" w:cs="Tahoma"/>
          <w:color w:val="000000"/>
          <w:sz w:val="18"/>
          <w:szCs w:val="18"/>
          <w:lang w:val="de-DE"/>
        </w:rPr>
        <w:lastRenderedPageBreak/>
        <w:t>Die Nutzung der TechNet SA-Software, Vorabversions-Software und Bewertungssoftware durch die Kunden unterliegt den Bestimmungen ihres Lizenzvertrages.</w:t>
      </w:r>
    </w:p>
    <w:p w:rsidR="002108B0" w:rsidRPr="00BB5519" w:rsidRDefault="002108B0" w:rsidP="00270612">
      <w:pPr>
        <w:pStyle w:val="AppendixFlushBulletedList"/>
        <w:tabs>
          <w:tab w:val="clear" w:pos="360"/>
          <w:tab w:val="num" w:pos="0"/>
        </w:tabs>
        <w:ind w:left="0" w:firstLine="0"/>
        <w:rPr>
          <w:lang w:val="de-DE"/>
        </w:rPr>
      </w:pPr>
    </w:p>
    <w:p w:rsidR="00270612" w:rsidRPr="00BB5519" w:rsidRDefault="00270612" w:rsidP="00270612">
      <w:pPr>
        <w:pStyle w:val="AppendixFlushBulletedList"/>
        <w:tabs>
          <w:tab w:val="clear" w:pos="360"/>
          <w:tab w:val="num" w:pos="0"/>
        </w:tabs>
        <w:ind w:left="0" w:firstLine="0"/>
        <w:rPr>
          <w:lang w:val="de-DE"/>
        </w:rPr>
      </w:pPr>
      <w:r w:rsidRPr="00BB5519">
        <w:rPr>
          <w:rFonts w:ascii="Tahoma" w:hAnsi="Tahoma" w:cs="Tahoma"/>
          <w:color w:val="000000"/>
          <w:sz w:val="18"/>
          <w:szCs w:val="18"/>
          <w:lang w:val="de-DE"/>
        </w:rPr>
        <w:t xml:space="preserve">Lizenzierte Vollversions-Software unterliegt keiner Zeitbeschränkung und ist nur für Bewertungszwecke bestimmt – sie ist nicht zur Verwendung in Produktionsumgebungen bestimmt. </w:t>
      </w:r>
    </w:p>
    <w:p w:rsidR="004D4D43" w:rsidRPr="00AD7081" w:rsidRDefault="004D4D43" w:rsidP="00270612">
      <w:pPr>
        <w:pStyle w:val="AppendixFlushBulletedList"/>
        <w:tabs>
          <w:tab w:val="clear" w:pos="360"/>
          <w:tab w:val="num" w:pos="0"/>
        </w:tabs>
        <w:ind w:left="0" w:firstLine="0"/>
        <w:rPr>
          <w:rFonts w:ascii="Tahoma" w:hAnsi="Tahoma" w:cs="Tahoma"/>
          <w:sz w:val="18"/>
          <w:szCs w:val="18"/>
          <w:lang w:val="de-DE"/>
        </w:rPr>
      </w:pPr>
    </w:p>
    <w:p w:rsidR="00270612" w:rsidRPr="00BB5519" w:rsidRDefault="00270612" w:rsidP="00270612">
      <w:pPr>
        <w:pStyle w:val="AppendixFlushBulletedList"/>
        <w:tabs>
          <w:tab w:val="clear" w:pos="360"/>
          <w:tab w:val="num" w:pos="0"/>
        </w:tabs>
        <w:ind w:left="0" w:firstLine="0"/>
        <w:rPr>
          <w:lang w:val="de-DE"/>
        </w:rPr>
      </w:pPr>
      <w:r w:rsidRPr="00BB5519">
        <w:rPr>
          <w:rFonts w:ascii="Tahoma" w:hAnsi="Tahoma" w:cs="Tahoma"/>
          <w:color w:val="000000"/>
          <w:sz w:val="18"/>
          <w:szCs w:val="18"/>
          <w:lang w:val="de-DE"/>
        </w:rPr>
        <w:t>SA-Kunden sind berechtigt, die technischen Inhalte innerhalb der Organisation, wie z. B. Knowledge Base, technische Schulungen, Downloads, Service Packs und Sicherheitspatches gemeinsam mit anderen zu nutzen.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 xml:space="preserve">Die folgenden Vergünstigungen sind jedoch auf den Hauptabonnenten beschränkt und können nicht gemeinsam genutzt werden: Vollversions-Software für Bewertungszwecke, Beta-Software, technische Supportfälle und Rabatt, verwaltete Newsgroup-, Online Concierge- und andere Premium-Services, die über die TechNet Plus Direct Only Services-Website verfügbar sind. </w:t>
      </w:r>
    </w:p>
    <w:p w:rsidR="00792D1E" w:rsidRPr="00AD7081" w:rsidRDefault="00792D1E" w:rsidP="00270612">
      <w:pPr>
        <w:pStyle w:val="AppendixFlushBulletedList"/>
        <w:tabs>
          <w:tab w:val="clear" w:pos="360"/>
          <w:tab w:val="num" w:pos="0"/>
        </w:tabs>
        <w:ind w:left="0" w:firstLine="0"/>
        <w:rPr>
          <w:rFonts w:ascii="Tahoma" w:hAnsi="Tahoma" w:cs="Tahoma"/>
          <w:sz w:val="18"/>
          <w:szCs w:val="18"/>
          <w:lang w:val="de-DE"/>
        </w:rPr>
      </w:pPr>
    </w:p>
    <w:p w:rsidR="00270612" w:rsidRPr="00BB5519" w:rsidRDefault="00270612" w:rsidP="00270612">
      <w:pPr>
        <w:pStyle w:val="AppendixFlushBulletedList"/>
        <w:tabs>
          <w:tab w:val="clear" w:pos="360"/>
          <w:tab w:val="num" w:pos="0"/>
        </w:tabs>
        <w:ind w:left="0" w:firstLine="0"/>
        <w:rPr>
          <w:lang w:val="de-DE"/>
        </w:rPr>
      </w:pPr>
      <w:r w:rsidRPr="00BB5519">
        <w:rPr>
          <w:rFonts w:ascii="Tahoma" w:hAnsi="Tahoma" w:cs="Tahoma"/>
          <w:color w:val="000000"/>
          <w:sz w:val="18"/>
          <w:szCs w:val="18"/>
          <w:lang w:val="de-DE"/>
        </w:rPr>
        <w:t>Nicht alle TechNet Plus Direct-Services und -Vergünstigungen sind in jedem Land/in jeder Region verfügbar.</w:t>
      </w:r>
      <w:r w:rsidR="009E4976" w:rsidRPr="00BB5519">
        <w:rPr>
          <w:rFonts w:ascii="Tahoma" w:hAnsi="Tahoma" w:cs="Tahoma"/>
          <w:color w:val="000000"/>
          <w:sz w:val="18"/>
          <w:szCs w:val="18"/>
          <w:lang w:val="de-DE"/>
        </w:rPr>
        <w:t xml:space="preserve"> </w:t>
      </w:r>
    </w:p>
    <w:p w:rsidR="00792D1E" w:rsidRPr="00AD7081" w:rsidRDefault="00792D1E" w:rsidP="00270612">
      <w:pPr>
        <w:pStyle w:val="AppendixFlushBulletedList"/>
        <w:tabs>
          <w:tab w:val="clear" w:pos="360"/>
          <w:tab w:val="num" w:pos="0"/>
        </w:tabs>
        <w:ind w:left="0" w:firstLine="0"/>
        <w:rPr>
          <w:rFonts w:ascii="Tahoma" w:hAnsi="Tahoma" w:cs="Tahoma"/>
          <w:sz w:val="18"/>
          <w:szCs w:val="18"/>
          <w:lang w:val="de-DE"/>
        </w:rPr>
      </w:pPr>
    </w:p>
    <w:p w:rsidR="00270612" w:rsidRPr="00BB5519" w:rsidRDefault="00270612" w:rsidP="00270612">
      <w:pPr>
        <w:pStyle w:val="AppendixFlushBulletedList"/>
        <w:tabs>
          <w:tab w:val="clear" w:pos="360"/>
          <w:tab w:val="num" w:pos="0"/>
        </w:tabs>
        <w:ind w:left="0" w:firstLine="0"/>
        <w:rPr>
          <w:lang w:val="de-DE"/>
        </w:rPr>
      </w:pPr>
      <w:r w:rsidRPr="00BB5519">
        <w:rPr>
          <w:rFonts w:ascii="Tahoma" w:hAnsi="Tahoma" w:cs="Tahoma"/>
          <w:color w:val="000000"/>
          <w:sz w:val="18"/>
          <w:szCs w:val="18"/>
          <w:lang w:val="de-DE"/>
        </w:rPr>
        <w:t xml:space="preserve">Weitere Informationen zur Verfügbarkeit nach Land/Region finden Sie unter </w:t>
      </w:r>
      <w:hyperlink r:id="rId31" w:history="1">
        <w:r w:rsidRPr="00E976BC">
          <w:rPr>
            <w:rStyle w:val="Hyperlink"/>
            <w:rFonts w:ascii="Tahoma" w:hAnsi="Tahoma" w:cs="Tahoma"/>
            <w:color w:val="auto"/>
            <w:sz w:val="18"/>
            <w:szCs w:val="18"/>
            <w:lang w:val="de-DE"/>
          </w:rPr>
          <w:t>www.microsoft.com/technet/subscription</w:t>
        </w:r>
      </w:hyperlink>
      <w:r w:rsidRPr="00BB5519">
        <w:rPr>
          <w:rFonts w:ascii="Tahoma" w:hAnsi="Tahoma" w:cs="Tahoma"/>
          <w:color w:val="000000"/>
          <w:sz w:val="18"/>
          <w:szCs w:val="18"/>
          <w:lang w:val="de-DE"/>
        </w:rPr>
        <w:t xml:space="preserve">. </w:t>
      </w:r>
    </w:p>
    <w:p w:rsidR="00270612" w:rsidRPr="00BB5519" w:rsidRDefault="00270612" w:rsidP="00270612">
      <w:pPr>
        <w:pStyle w:val="AppendixFlushBulletedList"/>
        <w:tabs>
          <w:tab w:val="clear" w:pos="360"/>
          <w:tab w:val="num" w:pos="0"/>
        </w:tabs>
        <w:ind w:left="0" w:firstLine="0"/>
        <w:rPr>
          <w:lang w:val="de-DE"/>
        </w:rPr>
      </w:pPr>
      <w:r w:rsidRPr="00BB5519">
        <w:rPr>
          <w:rFonts w:ascii="Tahoma" w:hAnsi="Tahoma" w:cs="Tahoma"/>
          <w:color w:val="000000"/>
          <w:sz w:val="18"/>
          <w:szCs w:val="18"/>
          <w:lang w:val="de-DE"/>
        </w:rPr>
        <w:t>Das Recht der Kunden zur Nutzung der TechNet SA-Software, Vorabversions-Software und Bewertungssoftware läuft mit dem Ablauf von Software Assurance ab.</w:t>
      </w:r>
    </w:p>
    <w:p w:rsidR="00023FE7" w:rsidRPr="00AD7081" w:rsidRDefault="00023FE7">
      <w:pPr>
        <w:pStyle w:val="Heading3"/>
        <w:tabs>
          <w:tab w:val="num" w:pos="0"/>
        </w:tabs>
        <w:rPr>
          <w:rFonts w:ascii="Tahoma" w:hAnsi="Tahoma" w:cs="Tahoma"/>
          <w:b w:val="0"/>
          <w:sz w:val="18"/>
          <w:szCs w:val="18"/>
          <w:lang w:val="de-DE"/>
        </w:rPr>
      </w:pPr>
    </w:p>
    <w:p w:rsidR="004D4D43" w:rsidRPr="00EC2A0D" w:rsidRDefault="004D4D43" w:rsidP="004D4D43">
      <w:pPr>
        <w:pStyle w:val="Heading3"/>
        <w:tabs>
          <w:tab w:val="num" w:pos="0"/>
        </w:tabs>
        <w:rPr>
          <w:rFonts w:ascii="Tahoma" w:hAnsi="Tahoma" w:cs="Tahoma"/>
          <w:sz w:val="24"/>
          <w:lang w:val="de-DE"/>
        </w:rPr>
      </w:pPr>
      <w:bookmarkStart w:id="818" w:name="_Toc336338242"/>
      <w:bookmarkStart w:id="819" w:name="_Toc354054938"/>
      <w:r w:rsidRPr="00EC2A0D">
        <w:rPr>
          <w:rFonts w:ascii="Tahoma" w:hAnsi="Tahoma" w:cs="Tahoma"/>
          <w:sz w:val="24"/>
          <w:lang w:val="de-DE"/>
        </w:rPr>
        <w:t>Lizenzmobilität durch Software Assurance</w:t>
      </w:r>
      <w:bookmarkEnd w:id="818"/>
      <w:bookmarkEnd w:id="819"/>
    </w:p>
    <w:p w:rsidR="004D4D43" w:rsidRPr="00AD7081" w:rsidRDefault="004D4D43" w:rsidP="0007218F">
      <w:pPr>
        <w:pStyle w:val="Heading3"/>
        <w:tabs>
          <w:tab w:val="num" w:pos="0"/>
        </w:tabs>
        <w:rPr>
          <w:rFonts w:ascii="Tahoma" w:hAnsi="Tahoma" w:cs="Tahoma"/>
          <w:b w:val="0"/>
          <w:sz w:val="18"/>
          <w:szCs w:val="18"/>
          <w:lang w:val="de-DE"/>
        </w:rPr>
      </w:pPr>
    </w:p>
    <w:p w:rsidR="004D4D43" w:rsidRPr="00BB5519" w:rsidRDefault="004D4D43" w:rsidP="002171C3">
      <w:pPr>
        <w:rPr>
          <w:lang w:val="de-DE"/>
        </w:rPr>
      </w:pPr>
      <w:bookmarkStart w:id="820" w:name="_Toc294048012"/>
      <w:bookmarkStart w:id="821" w:name="_Toc294048569"/>
      <w:bookmarkStart w:id="822" w:name="_Toc294092640"/>
      <w:bookmarkStart w:id="823" w:name="_Toc295819320"/>
      <w:bookmarkStart w:id="824" w:name="_Toc298795971"/>
      <w:bookmarkStart w:id="825" w:name="_Toc299369847"/>
      <w:bookmarkStart w:id="826" w:name="_Toc300391558"/>
      <w:bookmarkStart w:id="827" w:name="_Toc301939835"/>
      <w:bookmarkStart w:id="828" w:name="_Toc304801232"/>
      <w:bookmarkStart w:id="829" w:name="_Toc312399280"/>
      <w:bookmarkStart w:id="830" w:name="_Toc315289087"/>
      <w:bookmarkStart w:id="831" w:name="_Toc317591243"/>
      <w:bookmarkStart w:id="832" w:name="_Toc325313196"/>
      <w:bookmarkStart w:id="833" w:name="_Toc325609219"/>
      <w:r w:rsidRPr="00BB5519">
        <w:rPr>
          <w:lang w:val="de-DE"/>
        </w:rPr>
        <w:t>Mit Lizenzmobilität durch Software Assurance können Sie bestimmte lokale Lizenzen mit aktiver Software Assurance auf gemeinsam genutzte Server von Dritten verschieben.</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rsidR="004D4D43" w:rsidRPr="00BB5519" w:rsidRDefault="004D4D43" w:rsidP="002171C3">
      <w:pPr>
        <w:rPr>
          <w:lang w:val="de-DE"/>
        </w:rPr>
      </w:pPr>
    </w:p>
    <w:p w:rsidR="004D4D43" w:rsidRPr="00BB5519" w:rsidRDefault="004D4D43" w:rsidP="002171C3">
      <w:pPr>
        <w:rPr>
          <w:lang w:val="de-DE"/>
        </w:rPr>
      </w:pPr>
      <w:bookmarkStart w:id="834" w:name="_Toc294048013"/>
      <w:bookmarkStart w:id="835" w:name="_Toc294048570"/>
      <w:bookmarkStart w:id="836" w:name="_Toc294092641"/>
      <w:bookmarkStart w:id="837" w:name="_Toc295819321"/>
      <w:bookmarkStart w:id="838" w:name="_Toc298795972"/>
      <w:bookmarkStart w:id="839" w:name="_Toc299369848"/>
      <w:bookmarkStart w:id="840" w:name="_Toc300391559"/>
      <w:bookmarkStart w:id="841" w:name="_Toc301939836"/>
      <w:bookmarkStart w:id="842" w:name="_Toc304801233"/>
      <w:bookmarkStart w:id="843" w:name="_Toc307350402"/>
      <w:bookmarkStart w:id="844" w:name="_Toc308429813"/>
      <w:bookmarkStart w:id="845" w:name="_Toc312399281"/>
      <w:bookmarkStart w:id="846" w:name="_Toc315289088"/>
      <w:bookmarkStart w:id="847" w:name="_Toc317591244"/>
      <w:bookmarkStart w:id="848" w:name="_Toc323034197"/>
      <w:bookmarkStart w:id="849" w:name="_Toc325313197"/>
      <w:bookmarkStart w:id="850" w:name="_Toc325609220"/>
      <w:r w:rsidRPr="00BB5519">
        <w:rPr>
          <w:lang w:val="de-DE"/>
        </w:rPr>
        <w:t>Alle Produkte, die derzeit für „Lizenzmobilität innerhalb von Serverfarmen“ wie in den Produktbenutzungsrechten (PUR) definiert berechtigt sind und über Software Assurance verfügen, sind zu Lizenzmobilität durch Software Assurance berechtigt. Darüber hinaus sind die folgende Produkte ebenfalls zu Lizenzmobilität durch Software Assurance berechtigt:</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rsidR="004D4D43" w:rsidRPr="00BB5519" w:rsidRDefault="004D4D43" w:rsidP="00F86E06">
      <w:pPr>
        <w:rPr>
          <w:lang w:val="de-DE"/>
        </w:rPr>
      </w:pPr>
    </w:p>
    <w:p w:rsidR="004D4D43" w:rsidRPr="00BB5519" w:rsidRDefault="004D4D43" w:rsidP="002C1048">
      <w:pPr>
        <w:numPr>
          <w:ilvl w:val="0"/>
          <w:numId w:val="92"/>
        </w:numPr>
        <w:spacing w:after="60"/>
        <w:ind w:left="1440"/>
        <w:rPr>
          <w:lang w:val="de-DE"/>
        </w:rPr>
      </w:pPr>
      <w:bookmarkStart w:id="851" w:name="_Toc294048014"/>
      <w:bookmarkStart w:id="852" w:name="_Toc294048571"/>
      <w:bookmarkStart w:id="853" w:name="_Toc294092642"/>
      <w:bookmarkStart w:id="854" w:name="_Toc295819322"/>
      <w:bookmarkStart w:id="855" w:name="_Toc298795973"/>
      <w:bookmarkStart w:id="856" w:name="_Toc299369849"/>
      <w:bookmarkStart w:id="857" w:name="_Toc300391560"/>
      <w:bookmarkStart w:id="858" w:name="_Toc301939837"/>
      <w:bookmarkStart w:id="859" w:name="_Toc304801234"/>
      <w:bookmarkStart w:id="860" w:name="_Toc307350403"/>
      <w:bookmarkStart w:id="861" w:name="_Toc308429814"/>
      <w:bookmarkStart w:id="862" w:name="_Toc312399282"/>
      <w:bookmarkStart w:id="863" w:name="_Toc315289089"/>
      <w:bookmarkStart w:id="864" w:name="_Toc317591245"/>
      <w:bookmarkStart w:id="865" w:name="_Toc323034198"/>
      <w:bookmarkStart w:id="866" w:name="_Toc325313198"/>
      <w:bookmarkStart w:id="867" w:name="_Toc325609221"/>
      <w:r w:rsidRPr="00BB5519">
        <w:rPr>
          <w:lang w:val="de-DE"/>
        </w:rPr>
        <w:t>SQL Server Standard – Pro Prozessor und Server/CAL (nur Prozessor- und Serverlizenzen) mit Software Assurance</w:t>
      </w:r>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p>
    <w:p w:rsidR="004D4D43" w:rsidRPr="00BB5519" w:rsidRDefault="004D4D43" w:rsidP="002C1048">
      <w:pPr>
        <w:numPr>
          <w:ilvl w:val="0"/>
          <w:numId w:val="92"/>
        </w:numPr>
        <w:spacing w:after="60"/>
        <w:ind w:left="1440"/>
        <w:rPr>
          <w:lang w:val="de-DE"/>
        </w:rPr>
      </w:pPr>
      <w:bookmarkStart w:id="868" w:name="_Toc294048015"/>
      <w:bookmarkStart w:id="869" w:name="_Toc294048572"/>
      <w:bookmarkStart w:id="870" w:name="_Toc294092643"/>
      <w:bookmarkStart w:id="871" w:name="_Toc295819323"/>
      <w:bookmarkStart w:id="872" w:name="_Toc298795974"/>
      <w:bookmarkStart w:id="873" w:name="_Toc299369850"/>
      <w:bookmarkStart w:id="874" w:name="_Toc300391561"/>
      <w:bookmarkStart w:id="875" w:name="_Toc301939838"/>
      <w:bookmarkStart w:id="876" w:name="_Toc304801235"/>
      <w:bookmarkStart w:id="877" w:name="_Toc307350404"/>
      <w:bookmarkStart w:id="878" w:name="_Toc308429815"/>
      <w:bookmarkStart w:id="879" w:name="_Toc312399283"/>
      <w:bookmarkStart w:id="880" w:name="_Toc315289090"/>
      <w:bookmarkStart w:id="881" w:name="_Toc317591246"/>
      <w:bookmarkStart w:id="882" w:name="_Toc323034199"/>
      <w:bookmarkStart w:id="883" w:name="_Toc325313199"/>
      <w:bookmarkStart w:id="884" w:name="_Toc325609222"/>
      <w:r w:rsidRPr="00BB5519">
        <w:rPr>
          <w:lang w:val="de-DE"/>
        </w:rPr>
        <w:t>System Center – alle Server-Management-Lizenzen (MLs), einschließlich SMSE und SMSD mit Software Assurance</w:t>
      </w:r>
      <w:bookmarkEnd w:id="868"/>
      <w:bookmarkEnd w:id="869"/>
      <w:bookmarkEnd w:id="870"/>
      <w:bookmarkEnd w:id="871"/>
      <w:bookmarkEnd w:id="872"/>
      <w:bookmarkEnd w:id="873"/>
      <w:bookmarkEnd w:id="874"/>
      <w:bookmarkEnd w:id="875"/>
      <w:bookmarkEnd w:id="876"/>
      <w:bookmarkEnd w:id="877"/>
      <w:bookmarkEnd w:id="878"/>
      <w:bookmarkEnd w:id="879"/>
      <w:bookmarkEnd w:id="880"/>
      <w:r w:rsidRPr="00BB5519">
        <w:rPr>
          <w:lang w:val="de-DE"/>
        </w:rPr>
        <w:t xml:space="preserve"> System Center 2012 Standard und Datacenter mit Software Assurance</w:t>
      </w:r>
      <w:bookmarkEnd w:id="881"/>
      <w:bookmarkEnd w:id="882"/>
      <w:bookmarkEnd w:id="883"/>
      <w:bookmarkEnd w:id="884"/>
    </w:p>
    <w:p w:rsidR="00973A93" w:rsidRPr="00BB5519" w:rsidRDefault="00973A93">
      <w:pPr>
        <w:rPr>
          <w:lang w:val="de-DE"/>
        </w:rPr>
      </w:pPr>
      <w:bookmarkStart w:id="885" w:name="_Toc294048016"/>
      <w:bookmarkStart w:id="886" w:name="_Toc294048573"/>
      <w:bookmarkStart w:id="887" w:name="_Toc294092644"/>
      <w:bookmarkStart w:id="888" w:name="_Toc295819324"/>
      <w:bookmarkStart w:id="889" w:name="_Toc298795975"/>
      <w:bookmarkStart w:id="890" w:name="_Toc299369851"/>
      <w:bookmarkStart w:id="891" w:name="_Toc300391562"/>
      <w:bookmarkStart w:id="892" w:name="_Toc301939839"/>
      <w:bookmarkStart w:id="893" w:name="_Toc304801236"/>
      <w:bookmarkStart w:id="894" w:name="_Toc307350405"/>
      <w:bookmarkStart w:id="895" w:name="_Toc308429816"/>
      <w:bookmarkStart w:id="896" w:name="_Toc312399284"/>
      <w:bookmarkStart w:id="897" w:name="_Toc315289091"/>
      <w:bookmarkStart w:id="898" w:name="_Toc317591247"/>
      <w:bookmarkStart w:id="899" w:name="_Toc323034200"/>
      <w:bookmarkStart w:id="900" w:name="_Toc325313200"/>
      <w:bookmarkStart w:id="901" w:name="_Toc325609223"/>
    </w:p>
    <w:p w:rsidR="004D4D43" w:rsidRPr="00BB5519" w:rsidRDefault="004D4D43" w:rsidP="002171C3">
      <w:pPr>
        <w:rPr>
          <w:lang w:val="de-DE"/>
        </w:rPr>
      </w:pPr>
      <w:r w:rsidRPr="00BB5519">
        <w:rPr>
          <w:lang w:val="de-DE"/>
        </w:rPr>
        <w:t>Um Lizenzmobilität durch Software Assurance zu verwenden, müssen Kunden folgende Anforderungen erfüllen:</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rsidR="004D4D43" w:rsidRPr="00BB5519" w:rsidRDefault="004D4D43" w:rsidP="00F86E06">
      <w:pPr>
        <w:rPr>
          <w:lang w:val="de-DE"/>
        </w:rPr>
      </w:pPr>
    </w:p>
    <w:p w:rsidR="004D4D43" w:rsidRPr="00BB5519" w:rsidRDefault="004D4D43" w:rsidP="002C1048">
      <w:pPr>
        <w:numPr>
          <w:ilvl w:val="0"/>
          <w:numId w:val="81"/>
        </w:numPr>
        <w:spacing w:after="60"/>
        <w:ind w:left="1440"/>
        <w:rPr>
          <w:lang w:val="de-DE"/>
        </w:rPr>
      </w:pPr>
      <w:bookmarkStart w:id="902" w:name="_Toc294048017"/>
      <w:bookmarkStart w:id="903" w:name="_Toc294048574"/>
      <w:bookmarkStart w:id="904" w:name="_Toc294092645"/>
      <w:bookmarkStart w:id="905" w:name="_Toc295819325"/>
      <w:bookmarkStart w:id="906" w:name="_Toc298795976"/>
      <w:bookmarkStart w:id="907" w:name="_Toc299369852"/>
      <w:bookmarkStart w:id="908" w:name="_Toc300391563"/>
      <w:bookmarkStart w:id="909" w:name="_Toc301939840"/>
      <w:bookmarkStart w:id="910" w:name="_Toc304801237"/>
      <w:bookmarkStart w:id="911" w:name="_Toc307350406"/>
      <w:bookmarkStart w:id="912" w:name="_Toc308429817"/>
      <w:bookmarkStart w:id="913" w:name="_Toc312399285"/>
      <w:bookmarkStart w:id="914" w:name="_Toc315289092"/>
      <w:bookmarkStart w:id="915" w:name="_Toc317591248"/>
      <w:bookmarkStart w:id="916" w:name="_Toc323034201"/>
      <w:bookmarkStart w:id="917" w:name="_Toc325313201"/>
      <w:bookmarkStart w:id="918" w:name="_Toc325609224"/>
      <w:r w:rsidRPr="00BB5519">
        <w:rPr>
          <w:lang w:val="de-DE"/>
        </w:rPr>
        <w:t>Software Assurance für die Lizenzen, unter denen sie auf gemeinsam genutzten Servern Dritter Software nutzen oder Betriebssystemumgebungen verwalten, sowie für alle zugehörigen CALs, Externen Connector-Lizenzen und Management-Lizenzen beibehalten,</w:t>
      </w:r>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p>
    <w:p w:rsidR="004D4D43" w:rsidRPr="00BB5519" w:rsidRDefault="004D4D43" w:rsidP="002C1048">
      <w:pPr>
        <w:numPr>
          <w:ilvl w:val="0"/>
          <w:numId w:val="81"/>
        </w:numPr>
        <w:spacing w:after="60"/>
        <w:ind w:left="1440"/>
        <w:rPr>
          <w:lang w:val="de-DE"/>
        </w:rPr>
      </w:pPr>
      <w:bookmarkStart w:id="919" w:name="_Toc294048018"/>
      <w:bookmarkStart w:id="920" w:name="_Toc294048575"/>
      <w:bookmarkStart w:id="921" w:name="_Toc294092646"/>
      <w:bookmarkStart w:id="922" w:name="_Toc295819326"/>
      <w:bookmarkStart w:id="923" w:name="_Toc298795977"/>
      <w:bookmarkStart w:id="924" w:name="_Toc299369853"/>
      <w:bookmarkStart w:id="925" w:name="_Toc300391564"/>
      <w:bookmarkStart w:id="926" w:name="_Toc301939841"/>
      <w:bookmarkStart w:id="927" w:name="_Toc304801238"/>
      <w:bookmarkStart w:id="928" w:name="_Toc307350407"/>
      <w:bookmarkStart w:id="929" w:name="_Toc308429818"/>
      <w:bookmarkStart w:id="930" w:name="_Toc312399286"/>
      <w:bookmarkStart w:id="931" w:name="_Toc315289093"/>
      <w:bookmarkStart w:id="932" w:name="_Toc317591249"/>
      <w:bookmarkStart w:id="933" w:name="_Toc323034202"/>
      <w:bookmarkStart w:id="934" w:name="_Toc325313202"/>
      <w:bookmarkStart w:id="935" w:name="_Toc325609225"/>
      <w:r w:rsidRPr="00BB5519">
        <w:rPr>
          <w:lang w:val="de-DE"/>
        </w:rPr>
        <w:t xml:space="preserve">ihre Lizenzen nur mit qualifizierten Partnern für Lizenzmobilität durch Software Assurance bereitstellen. Eine Liste der qualifizierten Partner für Lizenzmobilität durch Software Assurance finden Sie unter </w:t>
      </w:r>
      <w:r w:rsidRPr="008D1046">
        <w:rPr>
          <w:rStyle w:val="Hyperlink"/>
          <w:rFonts w:cs="Tahoma"/>
          <w:color w:val="auto"/>
          <w:szCs w:val="18"/>
          <w:u w:val="none"/>
          <w:lang w:val="de-DE"/>
        </w:rPr>
        <w:t>http://www.microsoft.com/licensing/software-assurance/license-mobility</w:t>
      </w:r>
      <w:r w:rsidRPr="00BB5519">
        <w:rPr>
          <w:lang w:val="de-DE"/>
        </w:rPr>
        <w:t>, und</w:t>
      </w:r>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p>
    <w:p w:rsidR="004D4D43" w:rsidRPr="00BB5519" w:rsidRDefault="004D4D43" w:rsidP="00AD7081">
      <w:pPr>
        <w:numPr>
          <w:ilvl w:val="0"/>
          <w:numId w:val="81"/>
        </w:numPr>
        <w:spacing w:after="60"/>
        <w:ind w:left="1440"/>
        <w:rPr>
          <w:lang w:val="de-DE"/>
        </w:rPr>
      </w:pPr>
      <w:bookmarkStart w:id="936" w:name="_Toc294048019"/>
      <w:bookmarkStart w:id="937" w:name="_Toc294048576"/>
      <w:bookmarkStart w:id="938" w:name="_Toc294092647"/>
      <w:bookmarkStart w:id="939" w:name="_Toc295819327"/>
      <w:bookmarkStart w:id="940" w:name="_Toc298795978"/>
      <w:bookmarkStart w:id="941" w:name="_Toc299369854"/>
      <w:bookmarkStart w:id="942" w:name="_Toc300391565"/>
      <w:bookmarkStart w:id="943" w:name="_Toc301939842"/>
      <w:bookmarkStart w:id="944" w:name="_Toc304801239"/>
      <w:bookmarkStart w:id="945" w:name="_Toc307350408"/>
      <w:bookmarkStart w:id="946" w:name="_Toc308429819"/>
      <w:bookmarkStart w:id="947" w:name="_Toc312399287"/>
      <w:bookmarkStart w:id="948" w:name="_Toc315289094"/>
      <w:bookmarkStart w:id="949" w:name="_Toc317591250"/>
      <w:bookmarkStart w:id="950" w:name="_Toc323034203"/>
      <w:bookmarkStart w:id="951" w:name="_Toc325313203"/>
      <w:bookmarkStart w:id="952" w:name="_Toc325609226"/>
      <w:r w:rsidRPr="00BB5519">
        <w:rPr>
          <w:lang w:val="de-DE"/>
        </w:rPr>
        <w:t>das Formblatt zur Validierung von Lizenzmobilität ausfüllen und bei jedem Partner für Lizenzmobilität durch Software Assurance, der die lizenzierte Software der Kunden den gemeinsam</w:t>
      </w:r>
      <w:r w:rsidR="00AD7081">
        <w:rPr>
          <w:lang w:val="de-DE"/>
        </w:rPr>
        <w:t> </w:t>
      </w:r>
      <w:r w:rsidRPr="00BB5519">
        <w:rPr>
          <w:lang w:val="de-DE"/>
        </w:rPr>
        <w:t>genutzten Servern der Partner ausführt, einreichen.</w:t>
      </w:r>
      <w:r w:rsidR="009E4976" w:rsidRPr="00BB5519">
        <w:rPr>
          <w:lang w:val="de-DE"/>
        </w:rPr>
        <w:t xml:space="preserve"> </w:t>
      </w:r>
      <w:r w:rsidRPr="00BB5519">
        <w:rPr>
          <w:lang w:val="de-DE"/>
        </w:rPr>
        <w:t>Das Formblatt zur Validierung von</w:t>
      </w:r>
      <w:r w:rsidR="00AD7081">
        <w:rPr>
          <w:lang w:val="de-DE"/>
        </w:rPr>
        <w:t> </w:t>
      </w:r>
      <w:r w:rsidRPr="00BB5519">
        <w:rPr>
          <w:lang w:val="de-DE"/>
        </w:rPr>
        <w:t>Lizenzmobilität wird Kunden vom qualifizierten Partner für Lizenzmobilität durch Software Assurance zur Verfügung gestellt.</w:t>
      </w:r>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p>
    <w:p w:rsidR="004D4D43" w:rsidRPr="00BB5519" w:rsidRDefault="004D4D43" w:rsidP="002171C3">
      <w:pPr>
        <w:rPr>
          <w:lang w:val="de-DE"/>
        </w:rPr>
      </w:pPr>
    </w:p>
    <w:p w:rsidR="004D4D43" w:rsidRPr="00BB5519" w:rsidRDefault="004D4D43" w:rsidP="002171C3">
      <w:pPr>
        <w:rPr>
          <w:lang w:val="de-DE"/>
        </w:rPr>
      </w:pPr>
      <w:bookmarkStart w:id="953" w:name="_Toc294048020"/>
      <w:bookmarkStart w:id="954" w:name="_Toc294048577"/>
      <w:bookmarkStart w:id="955" w:name="_Toc294092648"/>
      <w:bookmarkStart w:id="956" w:name="_Toc295819328"/>
      <w:bookmarkStart w:id="957" w:name="_Toc298795979"/>
      <w:bookmarkStart w:id="958" w:name="_Toc299369855"/>
      <w:bookmarkStart w:id="959" w:name="_Toc300391566"/>
      <w:bookmarkStart w:id="960" w:name="_Toc301939843"/>
      <w:bookmarkStart w:id="961" w:name="_Toc304801240"/>
      <w:bookmarkStart w:id="962" w:name="_Toc307350409"/>
      <w:bookmarkStart w:id="963" w:name="_Toc308429820"/>
      <w:bookmarkStart w:id="964" w:name="_Toc312399288"/>
      <w:bookmarkStart w:id="965" w:name="_Toc317591251"/>
      <w:bookmarkStart w:id="966" w:name="_Toc323034204"/>
      <w:bookmarkStart w:id="967" w:name="_Toc325313204"/>
      <w:bookmarkStart w:id="968" w:name="_Toc325609227"/>
      <w:r w:rsidRPr="00BB5519">
        <w:rPr>
          <w:lang w:val="de-DE"/>
        </w:rPr>
        <w:t>Die Rechte von Kunden zur Nutzung von lizenzierter Software und Verwaltung von Betriebssystemumgebungen auf gemeinsam genutzten Servern eines Dritten enden mit Ablauf der Software Assurance für diese Lizenzen oder für die entsprechenden Zugriffs- oder Management-Lizenzen.</w:t>
      </w:r>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p>
    <w:p w:rsidR="004D4D43" w:rsidRDefault="004D4D43" w:rsidP="0007218F">
      <w:pPr>
        <w:rPr>
          <w:lang w:val="de-DE"/>
        </w:rPr>
      </w:pPr>
    </w:p>
    <w:p w:rsidR="002108B0" w:rsidRDefault="002108B0" w:rsidP="0007218F">
      <w:pPr>
        <w:rPr>
          <w:lang w:val="de-DE"/>
        </w:rPr>
      </w:pPr>
    </w:p>
    <w:p w:rsidR="002108B0" w:rsidRDefault="002108B0" w:rsidP="0007218F">
      <w:pPr>
        <w:rPr>
          <w:lang w:val="de-DE"/>
        </w:rPr>
      </w:pPr>
    </w:p>
    <w:p w:rsidR="002108B0" w:rsidRDefault="002108B0" w:rsidP="0007218F">
      <w:pPr>
        <w:rPr>
          <w:lang w:val="de-DE"/>
        </w:rPr>
      </w:pPr>
    </w:p>
    <w:p w:rsidR="002108B0" w:rsidRPr="00BB5519" w:rsidRDefault="002108B0" w:rsidP="0007218F">
      <w:pPr>
        <w:rPr>
          <w:lang w:val="de-DE"/>
        </w:rPr>
      </w:pPr>
    </w:p>
    <w:p w:rsidR="00023FE7" w:rsidRPr="00BB5519" w:rsidRDefault="00023FE7" w:rsidP="0007218F">
      <w:pPr>
        <w:pStyle w:val="Heading3"/>
        <w:tabs>
          <w:tab w:val="num" w:pos="0"/>
        </w:tabs>
        <w:rPr>
          <w:lang w:val="de-DE"/>
        </w:rPr>
      </w:pPr>
      <w:bookmarkStart w:id="969" w:name="_Toc336338243"/>
      <w:bookmarkStart w:id="970" w:name="_Toc354054939"/>
      <w:r w:rsidRPr="00BB5519">
        <w:rPr>
          <w:rFonts w:ascii="Tahoma" w:hAnsi="Tahoma" w:cs="Tahoma"/>
          <w:sz w:val="24"/>
          <w:lang w:val="de-DE"/>
        </w:rPr>
        <w:lastRenderedPageBreak/>
        <w:t>Windows Thin PC</w:t>
      </w:r>
      <w:bookmarkEnd w:id="969"/>
      <w:bookmarkEnd w:id="970"/>
    </w:p>
    <w:p w:rsidR="00023FE7" w:rsidRPr="00BB5519" w:rsidRDefault="00023FE7" w:rsidP="0007218F">
      <w:pPr>
        <w:pStyle w:val="Heading3"/>
        <w:rPr>
          <w:lang w:val="de-DE"/>
        </w:rPr>
      </w:pPr>
    </w:p>
    <w:p w:rsidR="0008414D" w:rsidRPr="00BB5519" w:rsidRDefault="0008414D" w:rsidP="0007218F">
      <w:pPr>
        <w:rPr>
          <w:lang w:val="de-DE"/>
        </w:rPr>
      </w:pPr>
      <w:r w:rsidRPr="00BB5519">
        <w:rPr>
          <w:rFonts w:eastAsia="Calibri" w:cs="Tahoma"/>
          <w:szCs w:val="20"/>
          <w:lang w:val="de-DE"/>
        </w:rPr>
        <w:t xml:space="preserve">Volumenlizenzkunden mit aktiver Software Assurance für das Windows Desktop-Betriebssystem oder aktiven Lizenzen für VDA oder Windows Intune </w:t>
      </w:r>
      <w:r w:rsidRPr="00BB5519">
        <w:rPr>
          <w:rFonts w:cs="Tahoma"/>
          <w:szCs w:val="18"/>
          <w:lang w:val="de-DE"/>
        </w:rPr>
        <w:t xml:space="preserve">(Pro Gerät) </w:t>
      </w:r>
      <w:r w:rsidRPr="00BB5519">
        <w:rPr>
          <w:rFonts w:eastAsia="Calibri" w:cs="Tahoma"/>
          <w:szCs w:val="20"/>
          <w:lang w:val="de-DE"/>
        </w:rPr>
        <w:t>sind zu dieser Vergünstigung berechtigt.</w:t>
      </w:r>
      <w:r w:rsidR="009E4976" w:rsidRPr="00BB5519">
        <w:rPr>
          <w:rFonts w:eastAsia="Calibri" w:cs="Tahoma"/>
          <w:szCs w:val="20"/>
          <w:lang w:val="de-DE"/>
        </w:rPr>
        <w:t xml:space="preserve"> </w:t>
      </w:r>
      <w:r w:rsidRPr="00BB5519">
        <w:rPr>
          <w:rFonts w:eastAsia="Calibri" w:cs="Tahoma"/>
          <w:szCs w:val="20"/>
          <w:lang w:val="de-DE"/>
        </w:rPr>
        <w:t xml:space="preserve">Kunden, die </w:t>
      </w:r>
      <w:r w:rsidRPr="00BB5519">
        <w:rPr>
          <w:rFonts w:eastAsia="Calibri" w:cs="Tahoma"/>
          <w:color w:val="000000"/>
          <w:szCs w:val="20"/>
          <w:lang w:val="de-DE"/>
        </w:rPr>
        <w:t xml:space="preserve">unter </w:t>
      </w:r>
      <w:r w:rsidRPr="00BB5519">
        <w:rPr>
          <w:rFonts w:eastAsia="Calibri" w:cs="Tahoma"/>
          <w:szCs w:val="20"/>
          <w:lang w:val="de-DE"/>
        </w:rPr>
        <w:t>VDA auf diese Vergünstigung zugreifen, müssen ein qualifizierendes Betriebssystem</w:t>
      </w:r>
      <w:r w:rsidRPr="00BB5519">
        <w:rPr>
          <w:rFonts w:eastAsia="Calibri" w:cs="Tahoma"/>
          <w:color w:val="1F497D"/>
          <w:szCs w:val="20"/>
          <w:lang w:val="de-DE"/>
        </w:rPr>
        <w:t xml:space="preserve"> </w:t>
      </w:r>
      <w:r w:rsidRPr="00BB5519">
        <w:rPr>
          <w:rFonts w:eastAsia="Calibri" w:cs="Tahoma"/>
          <w:color w:val="000000"/>
          <w:szCs w:val="20"/>
          <w:lang w:val="de-DE"/>
        </w:rPr>
        <w:t xml:space="preserve">auf ihrem lizenzierten Gerät installiert haben, </w:t>
      </w:r>
      <w:r w:rsidRPr="00BB5519">
        <w:rPr>
          <w:rFonts w:eastAsia="Calibri" w:cs="Tahoma"/>
          <w:szCs w:val="20"/>
          <w:lang w:val="de-DE"/>
        </w:rPr>
        <w:t xml:space="preserve">wie in der Tabelle „Qualifizierende Betriebssysteme“ in den </w:t>
      </w:r>
      <w:r w:rsidRPr="00BB5519">
        <w:rPr>
          <w:rFonts w:eastAsia="Calibri" w:cs="Tahoma"/>
          <w:color w:val="000000"/>
          <w:szCs w:val="20"/>
          <w:lang w:val="de-DE"/>
        </w:rPr>
        <w:t xml:space="preserve">Produkthinweisen </w:t>
      </w:r>
      <w:r w:rsidRPr="00BB5519">
        <w:rPr>
          <w:rFonts w:eastAsia="Calibri" w:cs="Tahoma"/>
          <w:szCs w:val="20"/>
          <w:lang w:val="de-DE"/>
        </w:rPr>
        <w:t>im Abschnitt „System-Pool“ aufgeführt.</w:t>
      </w:r>
      <w:r w:rsidR="009E4976" w:rsidRPr="00BB5519">
        <w:rPr>
          <w:rFonts w:eastAsia="Calibri" w:cs="Tahoma"/>
          <w:szCs w:val="20"/>
          <w:lang w:val="de-DE"/>
        </w:rPr>
        <w:t xml:space="preserve"> </w:t>
      </w:r>
    </w:p>
    <w:p w:rsidR="0008414D" w:rsidRPr="00BB5519" w:rsidRDefault="0008414D" w:rsidP="0007218F">
      <w:pPr>
        <w:rPr>
          <w:lang w:val="de-DE"/>
        </w:rPr>
      </w:pPr>
    </w:p>
    <w:p w:rsidR="0008414D" w:rsidRPr="00BB5519" w:rsidRDefault="0008414D" w:rsidP="00AD7081">
      <w:pPr>
        <w:keepNext/>
        <w:keepLines/>
        <w:rPr>
          <w:lang w:val="de-DE"/>
        </w:rPr>
      </w:pPr>
      <w:r w:rsidRPr="00BB5519">
        <w:rPr>
          <w:rFonts w:eastAsia="Calibri" w:cs="Tahoma"/>
          <w:szCs w:val="20"/>
          <w:lang w:val="de-DE"/>
        </w:rPr>
        <w:t>Bei Windows Thin PC handelt es sich um eine kleiner dimensionierte, Windows-basierte Betriebssystemlösung für Kunden, die ihre vorhandenen Windows 8-fähigen</w:t>
      </w:r>
      <w:r w:rsidRPr="00BB5519">
        <w:rPr>
          <w:rFonts w:eastAsia="Calibri" w:cs="Tahoma"/>
          <w:color w:val="1F497D"/>
          <w:szCs w:val="20"/>
          <w:lang w:val="de-DE"/>
        </w:rPr>
        <w:t xml:space="preserve"> </w:t>
      </w:r>
      <w:r w:rsidRPr="00BB5519">
        <w:rPr>
          <w:rFonts w:eastAsia="Calibri" w:cs="Tahoma"/>
          <w:szCs w:val="20"/>
          <w:lang w:val="de-DE"/>
        </w:rPr>
        <w:t>PCs einem anderen Zweck zuführen möchten, um eine Verbindung mit einem zentralisierten Desktop herzustellen, ohne neue Thin-Client-Hardware erwerben zu müssen.</w:t>
      </w:r>
      <w:r w:rsidR="009E4976" w:rsidRPr="00BB5519">
        <w:rPr>
          <w:rFonts w:eastAsia="Calibri" w:cs="Tahoma"/>
          <w:szCs w:val="20"/>
          <w:lang w:val="de-DE"/>
        </w:rPr>
        <w:t xml:space="preserve"> </w:t>
      </w:r>
      <w:r w:rsidRPr="00BB5519">
        <w:rPr>
          <w:rFonts w:eastAsia="Calibri" w:cs="Tahoma"/>
          <w:szCs w:val="20"/>
          <w:lang w:val="de-DE"/>
        </w:rPr>
        <w:t xml:space="preserve">Berechtigte Kunden können Windows Thin PC anstelle von Instanzen des Windows Desktop-Betriebssystems nutzen, das Sie unter ihrer Windows Software Assurance oder ihren Lizenzen für Windows Intune </w:t>
      </w:r>
      <w:r w:rsidRPr="00BB5519">
        <w:rPr>
          <w:rFonts w:cs="Tahoma"/>
          <w:szCs w:val="18"/>
          <w:lang w:val="de-DE"/>
        </w:rPr>
        <w:t>(Pro Gerät)</w:t>
      </w:r>
      <w:r w:rsidRPr="00BB5519">
        <w:rPr>
          <w:rFonts w:eastAsia="Calibri" w:cs="Tahoma"/>
          <w:color w:val="000000"/>
          <w:szCs w:val="20"/>
          <w:lang w:val="de-DE"/>
        </w:rPr>
        <w:t xml:space="preserve"> oder Windows </w:t>
      </w:r>
      <w:r w:rsidRPr="00BB5519">
        <w:rPr>
          <w:rFonts w:eastAsia="Calibri" w:cs="Tahoma"/>
          <w:szCs w:val="20"/>
          <w:lang w:val="de-DE"/>
        </w:rPr>
        <w:t>VDA nutzen dürfen.</w:t>
      </w:r>
      <w:r w:rsidR="009E4976" w:rsidRPr="00BB5519">
        <w:rPr>
          <w:rFonts w:eastAsia="Calibri" w:cs="Tahoma"/>
          <w:szCs w:val="20"/>
          <w:lang w:val="de-DE"/>
        </w:rPr>
        <w:t xml:space="preserve"> </w:t>
      </w:r>
      <w:r w:rsidRPr="00BB5519">
        <w:rPr>
          <w:rFonts w:eastAsia="Calibri" w:cs="Tahoma"/>
          <w:szCs w:val="20"/>
          <w:lang w:val="de-DE"/>
        </w:rPr>
        <w:t>Die Nutzung von Windows Thin PC durch Kunden unterliegt den Bestimmungen ihres Lizenzvertrages.</w:t>
      </w:r>
    </w:p>
    <w:p w:rsidR="00023FE7" w:rsidRPr="00BB5519" w:rsidRDefault="00023FE7" w:rsidP="0007218F">
      <w:pPr>
        <w:rPr>
          <w:lang w:val="de-DE"/>
        </w:rPr>
      </w:pPr>
    </w:p>
    <w:p w:rsidR="00F30075" w:rsidRPr="00EC2A0D" w:rsidRDefault="00F30075" w:rsidP="00AD7081">
      <w:pPr>
        <w:pStyle w:val="Heading3"/>
        <w:tabs>
          <w:tab w:val="num" w:pos="0"/>
        </w:tabs>
        <w:rPr>
          <w:rFonts w:ascii="Tahoma" w:hAnsi="Tahoma" w:cs="Tahoma"/>
          <w:sz w:val="24"/>
          <w:lang w:val="de-DE"/>
        </w:rPr>
      </w:pPr>
      <w:bookmarkStart w:id="971" w:name="_Toc291204568"/>
      <w:bookmarkStart w:id="972" w:name="_Toc354054940"/>
      <w:r w:rsidRPr="00EC2A0D">
        <w:rPr>
          <w:rFonts w:ascii="Tahoma" w:hAnsi="Tahoma" w:cs="Tahoma"/>
          <w:sz w:val="24"/>
          <w:lang w:val="de-DE"/>
        </w:rPr>
        <w:t>Erweiterter Hotfix-Support</w:t>
      </w:r>
      <w:bookmarkEnd w:id="971"/>
      <w:bookmarkEnd w:id="972"/>
    </w:p>
    <w:p w:rsidR="00F30075" w:rsidRPr="00BB5519" w:rsidRDefault="00F30075" w:rsidP="0007218F">
      <w:pPr>
        <w:outlineLvl w:val="2"/>
        <w:rPr>
          <w:lang w:val="de-DE"/>
        </w:rPr>
      </w:pPr>
    </w:p>
    <w:p w:rsidR="00F30075" w:rsidRPr="00BB5519" w:rsidRDefault="00F30075" w:rsidP="00F30075">
      <w:pPr>
        <w:rPr>
          <w:lang w:val="de-DE"/>
        </w:rPr>
      </w:pPr>
      <w:r w:rsidRPr="00BB5519">
        <w:rPr>
          <w:rFonts w:cs="Tahoma"/>
          <w:lang w:val="de-DE"/>
        </w:rPr>
        <w:t>Erweiterter Hotfix-Support ist für die folgenden Kunden verfügbar:</w:t>
      </w:r>
    </w:p>
    <w:p w:rsidR="0007218F" w:rsidRPr="00BB5519" w:rsidRDefault="0007218F" w:rsidP="00F30075">
      <w:pPr>
        <w:rPr>
          <w:lang w:val="de-DE"/>
        </w:rPr>
      </w:pPr>
    </w:p>
    <w:p w:rsidR="00F30075" w:rsidRPr="00BB5519" w:rsidRDefault="00F30075" w:rsidP="002C1048">
      <w:pPr>
        <w:numPr>
          <w:ilvl w:val="0"/>
          <w:numId w:val="62"/>
        </w:numPr>
        <w:spacing w:after="60"/>
        <w:ind w:left="1440"/>
        <w:contextualSpacing/>
        <w:jc w:val="both"/>
        <w:rPr>
          <w:lang w:val="de-DE"/>
        </w:rPr>
      </w:pPr>
      <w:r w:rsidRPr="00BB5519">
        <w:rPr>
          <w:rFonts w:eastAsia="Calibri" w:cs="Tahoma"/>
          <w:szCs w:val="18"/>
          <w:lang w:val="de-DE"/>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rsidR="00F30075" w:rsidRPr="00BB5519" w:rsidRDefault="00F30075" w:rsidP="002C1048">
      <w:pPr>
        <w:numPr>
          <w:ilvl w:val="0"/>
          <w:numId w:val="62"/>
        </w:numPr>
        <w:spacing w:after="60"/>
        <w:ind w:left="1440"/>
        <w:jc w:val="both"/>
        <w:rPr>
          <w:lang w:val="de-DE"/>
        </w:rPr>
      </w:pPr>
      <w:r w:rsidRPr="00BB5519">
        <w:rPr>
          <w:rFonts w:cs="Tahoma"/>
          <w:szCs w:val="18"/>
          <w:lang w:val="de-DE"/>
        </w:rPr>
        <w:t>Kunden (außer Kunden mit Select-Lizenz für Forschung &amp; Lehre, Select Plus für Forschung &amp; Lehre sowie Campus- und School-Vertrag und Open Value Subscription – Education Solutions) mit Mitgliedschaft bei Software Assurance im System-Pool haben Anspruch auf den Erweiterten Hotfix-Support für das Windows Desktop-Betriebssystem.</w:t>
      </w:r>
    </w:p>
    <w:p w:rsidR="00F30075" w:rsidRPr="00BB5519" w:rsidRDefault="00F30075" w:rsidP="002C1048">
      <w:pPr>
        <w:numPr>
          <w:ilvl w:val="0"/>
          <w:numId w:val="62"/>
        </w:numPr>
        <w:spacing w:after="60"/>
        <w:ind w:left="1440"/>
        <w:jc w:val="both"/>
        <w:rPr>
          <w:lang w:val="de-DE"/>
        </w:rPr>
      </w:pPr>
      <w:r w:rsidRPr="00BB5519">
        <w:rPr>
          <w:rFonts w:cs="Tahoma"/>
          <w:szCs w:val="18"/>
          <w:lang w:val="de-DE"/>
        </w:rPr>
        <w:t>Kunden mit aktiven Abonnements für Windows Intune (Pro Gerät) haben Anspruch auf Erweiterten Hotfix-Support für das Windows Desktop-Betriebssystem.</w:t>
      </w:r>
    </w:p>
    <w:p w:rsidR="0007218F" w:rsidRPr="00BB5519" w:rsidRDefault="007627B7" w:rsidP="002C1048">
      <w:pPr>
        <w:numPr>
          <w:ilvl w:val="0"/>
          <w:numId w:val="62"/>
        </w:numPr>
        <w:spacing w:after="60"/>
        <w:ind w:left="1440"/>
        <w:contextualSpacing/>
        <w:rPr>
          <w:lang w:val="de-DE"/>
        </w:rPr>
      </w:pPr>
      <w:r w:rsidRPr="00BB5519">
        <w:rPr>
          <w:rFonts w:eastAsia="Calibri" w:cs="Tahoma"/>
          <w:szCs w:val="18"/>
          <w:lang w:val="de-DE"/>
        </w:rPr>
        <w:t>Kunden (außer Forschung &amp; Lehre) mit Software Assurance für mindestens ein Serverprodukt haben Anspruch auf den Erweiterten Hotfix-Support für Serverprodukte:</w:t>
      </w:r>
      <w:r w:rsidR="009E4976" w:rsidRPr="00BB5519">
        <w:rPr>
          <w:rFonts w:eastAsia="Calibri" w:cs="Tahoma"/>
          <w:szCs w:val="18"/>
          <w:lang w:val="de-DE"/>
        </w:rPr>
        <w:t xml:space="preserve"> </w:t>
      </w:r>
      <w:r w:rsidRPr="00BB5519">
        <w:rPr>
          <w:rFonts w:cs="Tahoma"/>
          <w:szCs w:val="18"/>
          <w:lang w:val="de-DE"/>
        </w:rPr>
        <w:t>Die folgenden Serverprodukte sind abgedeckt:</w:t>
      </w:r>
    </w:p>
    <w:p w:rsidR="007627B7" w:rsidRPr="00BB5519" w:rsidRDefault="007627B7" w:rsidP="002C1048">
      <w:pPr>
        <w:numPr>
          <w:ilvl w:val="2"/>
          <w:numId w:val="62"/>
        </w:numPr>
        <w:spacing w:after="60"/>
        <w:ind w:left="1980"/>
        <w:contextualSpacing/>
        <w:rPr>
          <w:lang w:val="de-DE"/>
        </w:rPr>
      </w:pPr>
      <w:r w:rsidRPr="00BB5519">
        <w:rPr>
          <w:rFonts w:cs="Tahoma"/>
          <w:iCs/>
          <w:color w:val="000000"/>
          <w:szCs w:val="18"/>
          <w:lang w:val="de-DE"/>
        </w:rPr>
        <w:t>Microsoft Exchange Server, Microsoft SQL Server, System Center 2012 und Windows Server.</w:t>
      </w:r>
    </w:p>
    <w:p w:rsidR="0007218F" w:rsidRPr="00BB5519" w:rsidRDefault="0007218F" w:rsidP="0007218F">
      <w:pPr>
        <w:spacing w:after="200" w:line="276" w:lineRule="auto"/>
        <w:contextualSpacing/>
        <w:rPr>
          <w:lang w:val="de-DE"/>
        </w:rPr>
      </w:pPr>
    </w:p>
    <w:p w:rsidR="00023FE7" w:rsidRPr="00BB5519" w:rsidRDefault="00023FE7">
      <w:pPr>
        <w:rPr>
          <w:lang w:val="de-DE"/>
        </w:rPr>
      </w:pPr>
      <w:r w:rsidRPr="00BB5519">
        <w:rPr>
          <w:rFonts w:cs="Tahoma"/>
          <w:szCs w:val="18"/>
          <w:lang w:val="de-DE"/>
        </w:rPr>
        <w:t>Beim Erweiterten Hotfix-Support handelt es sich um eine Vergünstigung für ältere Softwareversionen, die vom Mainstream- in den Erweiterten Support übergegangen sind.</w:t>
      </w:r>
      <w:r w:rsidR="009E4976" w:rsidRPr="00BB5519">
        <w:rPr>
          <w:rFonts w:cs="Tahoma"/>
          <w:szCs w:val="18"/>
          <w:lang w:val="de-DE"/>
        </w:rPr>
        <w:t xml:space="preserve"> </w:t>
      </w:r>
      <w:r w:rsidRPr="00BB5519">
        <w:rPr>
          <w:rFonts w:cs="Tahoma"/>
          <w:szCs w:val="18"/>
          <w:lang w:val="de-DE"/>
        </w:rPr>
        <w:t>Auf die Jahresgebühren, die normalerweise als Teil eines Vertrages über Erweiterten Support erhoben werden, wird nun bei Kunden, die Anspruch auf diese Software Assurance-Vergünstigung haben, während der Software Assurance-Laufzeit verzichtet. Kunden, die Anspruch auf diese Vergünstigung haben, müssen sich nicht innerhalb von 90 Tagen nach dem Übergang eines Produktes zum Erweiterten Support anmelden.</w:t>
      </w:r>
      <w:r w:rsidR="009E4976" w:rsidRPr="00BB5519">
        <w:rPr>
          <w:rFonts w:cs="Tahoma"/>
          <w:szCs w:val="18"/>
          <w:lang w:val="de-DE"/>
        </w:rPr>
        <w:t xml:space="preserve"> </w:t>
      </w:r>
    </w:p>
    <w:p w:rsidR="00023FE7" w:rsidRPr="00BB5519" w:rsidRDefault="00023FE7">
      <w:pPr>
        <w:rPr>
          <w:lang w:val="de-DE"/>
        </w:rPr>
      </w:pPr>
    </w:p>
    <w:p w:rsidR="00023FE7" w:rsidRPr="00BB5519" w:rsidRDefault="00023FE7">
      <w:pPr>
        <w:rPr>
          <w:lang w:val="de-DE"/>
        </w:rPr>
      </w:pPr>
      <w:r w:rsidRPr="00BB5519">
        <w:rPr>
          <w:rStyle w:val="PageNumber"/>
          <w:rFonts w:cs="Tahoma"/>
          <w:szCs w:val="18"/>
          <w:lang w:val="de-DE"/>
        </w:rPr>
        <w:t>Die K</w:t>
      </w:r>
      <w:r w:rsidRPr="00BB5519">
        <w:rPr>
          <w:rFonts w:cs="Tahoma"/>
          <w:szCs w:val="18"/>
          <w:lang w:val="de-DE"/>
        </w:rPr>
        <w:t>unden sind weiterhin für die Gebühren für einzelne Hotfixes verantwortlich.</w:t>
      </w:r>
      <w:r w:rsidR="009E4976" w:rsidRPr="00BB5519">
        <w:rPr>
          <w:rFonts w:cs="Tahoma"/>
          <w:szCs w:val="18"/>
          <w:lang w:val="de-DE"/>
        </w:rPr>
        <w:t xml:space="preserve"> </w:t>
      </w:r>
      <w:r w:rsidRPr="00BB5519">
        <w:rPr>
          <w:rFonts w:cs="Tahoma"/>
          <w:szCs w:val="18"/>
          <w:lang w:val="de-DE"/>
        </w:rPr>
        <w:t>Ein Premier- oder Essential-Supportvertrag stellt eine Voraussetzung für die Berechtigung dar.</w:t>
      </w:r>
    </w:p>
    <w:p w:rsidR="00AD7081" w:rsidRPr="00D15040" w:rsidRDefault="00AD7081" w:rsidP="00AD7081">
      <w:pPr>
        <w:pStyle w:val="Heading3"/>
        <w:rPr>
          <w:rFonts w:ascii="Tahoma" w:hAnsi="Tahoma" w:cs="Tahoma"/>
          <w:lang w:val="de-DE"/>
        </w:rPr>
      </w:pPr>
      <w:bookmarkStart w:id="973" w:name="_Toc336338244"/>
    </w:p>
    <w:p w:rsidR="00023FE7" w:rsidRPr="00EC2A0D" w:rsidRDefault="00023FE7">
      <w:pPr>
        <w:pStyle w:val="Heading3"/>
        <w:rPr>
          <w:rFonts w:ascii="Tahoma" w:hAnsi="Tahoma" w:cs="Tahoma"/>
          <w:sz w:val="24"/>
          <w:lang w:val="de-DE"/>
        </w:rPr>
      </w:pPr>
      <w:bookmarkStart w:id="974" w:name="_Toc354054941"/>
      <w:r w:rsidRPr="00EC2A0D">
        <w:rPr>
          <w:rFonts w:ascii="Tahoma" w:hAnsi="Tahoma" w:cs="Tahoma"/>
          <w:sz w:val="24"/>
          <w:lang w:val="de-DE"/>
        </w:rPr>
        <w:t>Microsoft Desktop Optimization Pack für Software Assurance</w:t>
      </w:r>
      <w:bookmarkEnd w:id="973"/>
      <w:bookmarkEnd w:id="974"/>
    </w:p>
    <w:p w:rsidR="00AD7081" w:rsidRPr="00D15040" w:rsidRDefault="00AD7081" w:rsidP="00AD7081">
      <w:pPr>
        <w:pStyle w:val="Heading3"/>
        <w:rPr>
          <w:rFonts w:ascii="Tahoma" w:hAnsi="Tahoma" w:cs="Tahoma"/>
          <w:sz w:val="18"/>
          <w:szCs w:val="18"/>
          <w:lang w:val="de-DE"/>
        </w:rPr>
      </w:pPr>
    </w:p>
    <w:p w:rsidR="00F30075" w:rsidRPr="00BB5519" w:rsidRDefault="00F30075" w:rsidP="00F30075">
      <w:pPr>
        <w:rPr>
          <w:lang w:val="de-DE"/>
        </w:rPr>
      </w:pPr>
      <w:r w:rsidRPr="00BB5519">
        <w:rPr>
          <w:rFonts w:eastAsia="MS PGothic" w:cs="Tahoma"/>
          <w:szCs w:val="18"/>
          <w:lang w:val="de-DE"/>
        </w:rPr>
        <w:t>Das Microsoft Desktop Optimization Pack für Software Assurance (MDOP) ist optional und wird nur den Kunden zum Kauf angeboten, die Folgendes besitzen:</w:t>
      </w:r>
    </w:p>
    <w:p w:rsidR="00E762F8" w:rsidRPr="00BB5519" w:rsidRDefault="00E762F8" w:rsidP="00F30075">
      <w:pPr>
        <w:rPr>
          <w:lang w:val="de-DE"/>
        </w:rPr>
      </w:pPr>
    </w:p>
    <w:p w:rsidR="00F30075" w:rsidRPr="00BB5519" w:rsidRDefault="00F30075" w:rsidP="002108B0">
      <w:pPr>
        <w:numPr>
          <w:ilvl w:val="0"/>
          <w:numId w:val="61"/>
        </w:numPr>
        <w:spacing w:after="40" w:line="269" w:lineRule="auto"/>
        <w:ind w:left="1440" w:hanging="274"/>
        <w:rPr>
          <w:lang w:val="de-DE"/>
        </w:rPr>
      </w:pPr>
      <w:r w:rsidRPr="00BB5519">
        <w:rPr>
          <w:rFonts w:eastAsia="MS PGothic" w:cs="Tahoma"/>
          <w:szCs w:val="18"/>
          <w:lang w:val="de-DE"/>
        </w:rPr>
        <w:t>aktive Software Assurance für ihre Windows Desktop-Betriebssystemlizenzen,</w:t>
      </w:r>
    </w:p>
    <w:p w:rsidR="00F30075" w:rsidRPr="00BB5519" w:rsidRDefault="00F30075" w:rsidP="002108B0">
      <w:pPr>
        <w:numPr>
          <w:ilvl w:val="0"/>
          <w:numId w:val="61"/>
        </w:numPr>
        <w:spacing w:after="40" w:line="269" w:lineRule="auto"/>
        <w:ind w:left="1440" w:hanging="274"/>
        <w:rPr>
          <w:lang w:val="de-DE"/>
        </w:rPr>
      </w:pPr>
      <w:r w:rsidRPr="00BB5519">
        <w:rPr>
          <w:rFonts w:eastAsia="MS PGothic" w:cs="Tahoma"/>
          <w:szCs w:val="18"/>
          <w:lang w:val="de-DE"/>
        </w:rPr>
        <w:t>aktive Abonnements für Windows Virtual Desktop Access oder</w:t>
      </w:r>
    </w:p>
    <w:p w:rsidR="00F30075" w:rsidRPr="00BB5519" w:rsidRDefault="00F30075" w:rsidP="002108B0">
      <w:pPr>
        <w:numPr>
          <w:ilvl w:val="0"/>
          <w:numId w:val="61"/>
        </w:numPr>
        <w:spacing w:after="40" w:line="269" w:lineRule="auto"/>
        <w:ind w:left="1440" w:hanging="274"/>
        <w:rPr>
          <w:lang w:val="de-DE"/>
        </w:rPr>
      </w:pPr>
      <w:r w:rsidRPr="00BB5519">
        <w:rPr>
          <w:rFonts w:eastAsia="MS PGothic" w:cs="Tahoma"/>
          <w:szCs w:val="18"/>
          <w:lang w:val="de-DE"/>
        </w:rPr>
        <w:t xml:space="preserve">aktive Abonnements für Windows Intune </w:t>
      </w:r>
      <w:r w:rsidRPr="00BB5519">
        <w:rPr>
          <w:rFonts w:cs="Tahoma"/>
          <w:szCs w:val="18"/>
          <w:lang w:val="de-DE"/>
        </w:rPr>
        <w:t>(Pro Gerät) oder</w:t>
      </w:r>
    </w:p>
    <w:p w:rsidR="00421D4A" w:rsidRPr="00BB5519" w:rsidRDefault="00421D4A" w:rsidP="002108B0">
      <w:pPr>
        <w:numPr>
          <w:ilvl w:val="0"/>
          <w:numId w:val="61"/>
        </w:numPr>
        <w:spacing w:after="160" w:line="269" w:lineRule="auto"/>
        <w:ind w:left="1440" w:hanging="274"/>
        <w:rPr>
          <w:lang w:val="de-DE"/>
        </w:rPr>
      </w:pPr>
      <w:r w:rsidRPr="00BB5519">
        <w:rPr>
          <w:rFonts w:eastAsia="MS PGothic" w:cs="Tahoma"/>
          <w:color w:val="000000"/>
          <w:szCs w:val="18"/>
          <w:lang w:val="de-DE"/>
        </w:rPr>
        <w:t xml:space="preserve">aktive Abonnements für die </w:t>
      </w:r>
      <w:r w:rsidRPr="00BB5519">
        <w:rPr>
          <w:rFonts w:eastAsia="MS PGothic" w:cs="Tahoma"/>
          <w:szCs w:val="18"/>
          <w:lang w:val="de-DE"/>
        </w:rPr>
        <w:t>Windows Companion-Abonnementlizenz</w:t>
      </w:r>
    </w:p>
    <w:p w:rsidR="00023FE7" w:rsidRPr="00BB5519" w:rsidRDefault="00023FE7">
      <w:pPr>
        <w:rPr>
          <w:lang w:val="de-DE"/>
        </w:rPr>
      </w:pPr>
    </w:p>
    <w:p w:rsidR="00023FE7" w:rsidRPr="00BB5519" w:rsidRDefault="00023FE7">
      <w:pPr>
        <w:rPr>
          <w:lang w:val="de-DE"/>
        </w:rPr>
      </w:pPr>
      <w:r w:rsidRPr="00BB5519">
        <w:rPr>
          <w:rFonts w:eastAsia="MS PGothic" w:cs="Tahoma"/>
          <w:color w:val="000000"/>
          <w:szCs w:val="18"/>
          <w:lang w:val="de-DE"/>
        </w:rPr>
        <w:t xml:space="preserve">Mehr Informationen über dieses Produkt stehen in den Produkthinweisen im Abschnitt über den Systempool in diesem Dokument zu Verfügung. </w:t>
      </w:r>
    </w:p>
    <w:p w:rsidR="002D7B73" w:rsidRPr="00D15040" w:rsidRDefault="008C0608" w:rsidP="002D7B73">
      <w:pPr>
        <w:rPr>
          <w:rFonts w:cs="Tahoma"/>
          <w:b/>
          <w:color w:val="000000"/>
          <w:sz w:val="24"/>
          <w:szCs w:val="18"/>
          <w:lang w:val="de-DE"/>
        </w:rPr>
      </w:pPr>
      <w:r w:rsidRPr="00D15040">
        <w:rPr>
          <w:rFonts w:cs="Tahoma"/>
          <w:b/>
          <w:color w:val="000000"/>
          <w:sz w:val="24"/>
          <w:szCs w:val="18"/>
          <w:lang w:val="de-DE"/>
        </w:rPr>
        <w:lastRenderedPageBreak/>
        <w:t>Virtualisierungsrechte für Windows-lizenzierte Desktops</w:t>
      </w:r>
    </w:p>
    <w:p w:rsidR="0043735F" w:rsidRPr="00BB5519" w:rsidRDefault="0043735F" w:rsidP="008C0608">
      <w:pPr>
        <w:rPr>
          <w:lang w:val="de-DE"/>
        </w:rPr>
      </w:pPr>
    </w:p>
    <w:p w:rsidR="008C0608" w:rsidRPr="00BB5519" w:rsidRDefault="008C0608" w:rsidP="008C0608">
      <w:pPr>
        <w:rPr>
          <w:lang w:val="de-DE"/>
        </w:rPr>
      </w:pPr>
      <w:r w:rsidRPr="00BB5519">
        <w:rPr>
          <w:rFonts w:cs="Tahoma"/>
          <w:color w:val="000000"/>
          <w:szCs w:val="18"/>
          <w:lang w:val="de-DE"/>
        </w:rPr>
        <w:t>Kunden mit Volumenlizenz sind in Bezug auf den Einsatz von Windows 8 auf unternehmensübergreifender Basis relativ flexibel.</w:t>
      </w:r>
      <w:r w:rsidR="009E4976" w:rsidRPr="00BB5519">
        <w:rPr>
          <w:rFonts w:cs="Tahoma"/>
          <w:color w:val="000000"/>
          <w:szCs w:val="18"/>
          <w:lang w:val="de-DE"/>
        </w:rPr>
        <w:t xml:space="preserve"> </w:t>
      </w:r>
    </w:p>
    <w:p w:rsidR="008C0608" w:rsidRPr="00BB5519" w:rsidRDefault="008C0608" w:rsidP="008C0608">
      <w:pPr>
        <w:jc w:val="both"/>
        <w:rPr>
          <w:lang w:val="de-DE"/>
        </w:rPr>
      </w:pPr>
      <w:r w:rsidRPr="00BB5519">
        <w:rPr>
          <w:rFonts w:cs="Tahoma"/>
          <w:szCs w:val="18"/>
          <w:lang w:val="de-DE"/>
        </w:rPr>
        <w:t>Kunden mit einem oder beiden der folgenden Produkte sind berechtigt, Virtualisierungsnutzungsrechte zu verwenden:</w:t>
      </w:r>
    </w:p>
    <w:p w:rsidR="00BF1889" w:rsidRPr="00BB5519" w:rsidRDefault="00BF1889" w:rsidP="008C0608">
      <w:pPr>
        <w:jc w:val="both"/>
        <w:rPr>
          <w:lang w:val="de-DE"/>
        </w:rPr>
      </w:pPr>
    </w:p>
    <w:p w:rsidR="00F30075" w:rsidRPr="00BB5519" w:rsidRDefault="00F30075" w:rsidP="002C1048">
      <w:pPr>
        <w:numPr>
          <w:ilvl w:val="0"/>
          <w:numId w:val="51"/>
        </w:numPr>
        <w:spacing w:after="60" w:line="276" w:lineRule="auto"/>
        <w:ind w:left="1440"/>
        <w:rPr>
          <w:lang w:val="de-DE"/>
        </w:rPr>
      </w:pPr>
      <w:r w:rsidRPr="00BB5519">
        <w:rPr>
          <w:rFonts w:eastAsia="MS PGothic" w:cs="Tahoma"/>
          <w:szCs w:val="18"/>
          <w:lang w:val="de-DE"/>
        </w:rPr>
        <w:t>aktive Software Assurance für ihre Windows Desktop-Betriebssystemlizenzen,</w:t>
      </w:r>
    </w:p>
    <w:p w:rsidR="00AC246A" w:rsidRPr="00BB5519" w:rsidRDefault="00F30075" w:rsidP="002C1048">
      <w:pPr>
        <w:numPr>
          <w:ilvl w:val="0"/>
          <w:numId w:val="51"/>
        </w:numPr>
        <w:spacing w:after="60" w:line="276" w:lineRule="auto"/>
        <w:ind w:left="1440"/>
        <w:jc w:val="both"/>
        <w:rPr>
          <w:lang w:val="de-DE"/>
        </w:rPr>
      </w:pPr>
      <w:r w:rsidRPr="00BB5519">
        <w:rPr>
          <w:rFonts w:cs="Tahoma"/>
          <w:szCs w:val="18"/>
          <w:lang w:val="de-DE"/>
        </w:rPr>
        <w:t>Onlinedienste-Vergünstigung, die den Windows Intune (Pro Gerät)-Erwerb begleitet</w:t>
      </w:r>
    </w:p>
    <w:p w:rsidR="00F30075" w:rsidRPr="00BB5519" w:rsidRDefault="00F30075" w:rsidP="002C1048">
      <w:pPr>
        <w:numPr>
          <w:ilvl w:val="0"/>
          <w:numId w:val="51"/>
        </w:numPr>
        <w:spacing w:after="60" w:line="276" w:lineRule="auto"/>
        <w:ind w:left="1440"/>
        <w:jc w:val="both"/>
        <w:rPr>
          <w:lang w:val="de-DE"/>
        </w:rPr>
      </w:pPr>
      <w:r w:rsidRPr="00BB5519">
        <w:rPr>
          <w:rFonts w:cs="Tahoma"/>
          <w:szCs w:val="18"/>
          <w:lang w:val="de-DE"/>
        </w:rPr>
        <w:t>aktive Abonnements für Windows Intune (Pro Gerät)</w:t>
      </w:r>
    </w:p>
    <w:p w:rsidR="00F30075" w:rsidRPr="00BB5519" w:rsidRDefault="00F30075" w:rsidP="008C0608">
      <w:pPr>
        <w:rPr>
          <w:lang w:val="de-DE"/>
        </w:rPr>
      </w:pPr>
    </w:p>
    <w:p w:rsidR="002D7B73" w:rsidRPr="00BB5519" w:rsidRDefault="002D7B73" w:rsidP="008C0608">
      <w:pPr>
        <w:rPr>
          <w:lang w:val="de-DE"/>
        </w:rPr>
      </w:pPr>
      <w:r w:rsidRPr="00BB5519">
        <w:rPr>
          <w:rFonts w:cs="Tahoma"/>
          <w:color w:val="000000"/>
          <w:szCs w:val="18"/>
          <w:lang w:val="de-DE"/>
        </w:rPr>
        <w:t>Dieses Nutzungsrecht erlaubt das Ausführen der Software auf bis zu vier lokalen virtuellen Computern.</w:t>
      </w:r>
      <w:r w:rsidR="009E4976" w:rsidRPr="00BB5519">
        <w:rPr>
          <w:rFonts w:cs="Tahoma"/>
          <w:color w:val="000000"/>
          <w:szCs w:val="18"/>
          <w:lang w:val="de-DE"/>
        </w:rPr>
        <w:t xml:space="preserve"> </w:t>
      </w:r>
      <w:r w:rsidRPr="00BB5519">
        <w:rPr>
          <w:rFonts w:cs="Tahoma"/>
          <w:color w:val="000000"/>
          <w:szCs w:val="18"/>
          <w:lang w:val="de-DE"/>
        </w:rPr>
        <w:t>Während das Nutzungsrecht eines Kunden für Windows 8 Enterprise nach Ablauf von Software Assurance fortbestehen kann, ist das beim Virtualisierungsnutzungsrecht nicht möglich.</w:t>
      </w:r>
      <w:r w:rsidR="009E4976" w:rsidRPr="00BB5519">
        <w:rPr>
          <w:rFonts w:cs="Tahoma"/>
          <w:color w:val="000000"/>
          <w:szCs w:val="18"/>
          <w:lang w:val="de-DE"/>
        </w:rPr>
        <w:t xml:space="preserve"> </w:t>
      </w:r>
      <w:r w:rsidRPr="00BB5519">
        <w:rPr>
          <w:rFonts w:cs="Tahoma"/>
          <w:color w:val="000000"/>
          <w:szCs w:val="18"/>
          <w:lang w:val="de-DE"/>
        </w:rPr>
        <w:t>Mehr Informationen zu diesem Nutzungsrecht finden Sie in den Produktbenutzungsrechten.</w:t>
      </w:r>
    </w:p>
    <w:p w:rsidR="00AD7081" w:rsidRPr="00D15040" w:rsidRDefault="00AD7081" w:rsidP="00AD7081">
      <w:pPr>
        <w:pStyle w:val="Heading3"/>
        <w:rPr>
          <w:rFonts w:ascii="Tahoma" w:hAnsi="Tahoma"/>
          <w:color w:val="000000"/>
          <w:lang w:val="de-DE"/>
        </w:rPr>
      </w:pPr>
      <w:bookmarkStart w:id="975" w:name="_Toc257907651"/>
      <w:bookmarkStart w:id="976" w:name="_Toc336338245"/>
      <w:bookmarkStart w:id="977" w:name="_Toc233026785"/>
    </w:p>
    <w:p w:rsidR="002D7B73" w:rsidRPr="00AD7081" w:rsidRDefault="002D7B73" w:rsidP="002D7B73">
      <w:pPr>
        <w:pStyle w:val="Heading3"/>
        <w:rPr>
          <w:rFonts w:ascii="Tahoma" w:hAnsi="Tahoma"/>
          <w:color w:val="000000"/>
          <w:sz w:val="24"/>
        </w:rPr>
      </w:pPr>
      <w:bookmarkStart w:id="978" w:name="_Toc354054942"/>
      <w:r w:rsidRPr="00AD7081">
        <w:rPr>
          <w:rFonts w:ascii="Tahoma" w:hAnsi="Tahoma"/>
          <w:color w:val="000000"/>
          <w:sz w:val="24"/>
        </w:rPr>
        <w:t>Windows Virtual Desktop Access (VDA)</w:t>
      </w:r>
      <w:bookmarkEnd w:id="975"/>
      <w:r w:rsidRPr="00AD7081">
        <w:rPr>
          <w:rFonts w:ascii="Tahoma" w:hAnsi="Tahoma"/>
          <w:color w:val="000000"/>
          <w:sz w:val="24"/>
        </w:rPr>
        <w:t>-Rechte</w:t>
      </w:r>
      <w:bookmarkEnd w:id="976"/>
      <w:bookmarkEnd w:id="978"/>
    </w:p>
    <w:p w:rsidR="00AD7081" w:rsidRDefault="00AD7081" w:rsidP="00AD7081">
      <w:pPr>
        <w:pStyle w:val="Heading3"/>
        <w:rPr>
          <w:rFonts w:ascii="Tahoma" w:hAnsi="Tahoma"/>
          <w:color w:val="000000"/>
        </w:rPr>
      </w:pPr>
    </w:p>
    <w:p w:rsidR="00EC5C9D" w:rsidRPr="00BB5519" w:rsidRDefault="00EC5C9D" w:rsidP="00EC5C9D">
      <w:pPr>
        <w:rPr>
          <w:lang w:val="de-DE"/>
        </w:rPr>
      </w:pPr>
      <w:r w:rsidRPr="00BB5519">
        <w:rPr>
          <w:rFonts w:eastAsia="Calibri" w:cs="Tahoma"/>
          <w:color w:val="000000"/>
          <w:szCs w:val="18"/>
          <w:lang w:val="de-DE"/>
        </w:rPr>
        <w:t xml:space="preserve">Windows VDA-Rechte sind für Kunden mit aktiver Software Assurance für das Windows Desktop-Betriebssystem und Kunden mit Lizenzen für Windows Intune </w:t>
      </w:r>
      <w:r w:rsidRPr="00BB5519">
        <w:rPr>
          <w:rFonts w:cs="Tahoma"/>
          <w:szCs w:val="18"/>
          <w:lang w:val="de-DE"/>
        </w:rPr>
        <w:t>(Pro Gerät)</w:t>
      </w:r>
      <w:r w:rsidRPr="00BB5519">
        <w:rPr>
          <w:rFonts w:eastAsia="Calibri" w:cs="Tahoma"/>
          <w:color w:val="000000"/>
          <w:szCs w:val="18"/>
          <w:lang w:val="de-DE"/>
        </w:rPr>
        <w:t xml:space="preserve"> verfügbar.</w:t>
      </w:r>
      <w:r w:rsidR="009E4976" w:rsidRPr="00BB5519">
        <w:rPr>
          <w:rFonts w:eastAsia="Calibri" w:cs="Tahoma"/>
          <w:color w:val="000000"/>
          <w:szCs w:val="18"/>
          <w:lang w:val="de-DE"/>
        </w:rPr>
        <w:t xml:space="preserve"> </w:t>
      </w:r>
      <w:r w:rsidRPr="00BB5519">
        <w:rPr>
          <w:rFonts w:eastAsia="Calibri" w:cs="Tahoma"/>
          <w:color w:val="000000"/>
          <w:szCs w:val="18"/>
          <w:lang w:val="de-DE"/>
        </w:rPr>
        <w:t>Sie sind außerdem als separate Abonnementlizenz verfügbar. Windows VDA kommt Kunden zugute, die Windows mithilfe von Thin Client-Geräten (normalerweise bei einem eingebetteten Betriebssystem vorinstalliert) bereitstellen möchten. Die VDA-Abonnementlizenz berechtigt die Kunden, die neueste Version des Windows Desktop-Betriebssystems, das während ihrer Abonnement-Laufzeit zur Verfügung gestellt wurde, auszuführen.</w:t>
      </w:r>
    </w:p>
    <w:p w:rsidR="00EC5C9D" w:rsidRPr="00BB5519" w:rsidRDefault="00EC5C9D" w:rsidP="00EC5C9D">
      <w:pPr>
        <w:rPr>
          <w:lang w:val="de-DE"/>
        </w:rPr>
      </w:pPr>
    </w:p>
    <w:p w:rsidR="00EC5C9D" w:rsidRPr="00BB5519" w:rsidRDefault="00EC5C9D" w:rsidP="00EC5C9D">
      <w:pPr>
        <w:rPr>
          <w:lang w:val="de-DE"/>
        </w:rPr>
      </w:pPr>
      <w:r w:rsidRPr="00BB5519">
        <w:rPr>
          <w:rFonts w:eastAsia="Calibri" w:cs="Tahoma"/>
          <w:color w:val="000000"/>
          <w:szCs w:val="18"/>
          <w:lang w:val="de-DE"/>
        </w:rPr>
        <w:t>Weitere Informationen über VDA finden Sie unter den Produktbenutzungsrechten.</w:t>
      </w:r>
    </w:p>
    <w:bookmarkEnd w:id="977"/>
    <w:p w:rsidR="00023FE7" w:rsidRPr="00BB5519" w:rsidRDefault="00023FE7">
      <w:pPr>
        <w:rPr>
          <w:lang w:val="de-DE"/>
        </w:rPr>
      </w:pPr>
    </w:p>
    <w:p w:rsidR="00023FE7" w:rsidRPr="00D15040" w:rsidRDefault="00023FE7">
      <w:pPr>
        <w:rPr>
          <w:rStyle w:val="Heading3Char"/>
          <w:rFonts w:ascii="Tahoma" w:hAnsi="Tahoma"/>
          <w:sz w:val="24"/>
          <w:lang w:val="de-DE"/>
        </w:rPr>
      </w:pPr>
      <w:bookmarkStart w:id="979" w:name="_Toc336338246"/>
      <w:bookmarkStart w:id="980" w:name="_Toc354054943"/>
      <w:r w:rsidRPr="00D15040">
        <w:rPr>
          <w:rStyle w:val="Heading3Char"/>
          <w:rFonts w:ascii="Tahoma" w:hAnsi="Tahoma"/>
          <w:sz w:val="24"/>
          <w:lang w:val="de-DE"/>
        </w:rPr>
        <w:t>Step Up-Lizenzverfügbarkeit</w:t>
      </w:r>
      <w:bookmarkEnd w:id="979"/>
      <w:r w:rsidRPr="00D15040">
        <w:rPr>
          <w:rStyle w:val="Heading3Char"/>
          <w:rFonts w:ascii="Tahoma" w:hAnsi="Tahoma"/>
          <w:b w:val="0"/>
          <w:sz w:val="24"/>
          <w:lang w:val="de-DE"/>
        </w:rPr>
        <w:t>*</w:t>
      </w:r>
      <w:bookmarkEnd w:id="980"/>
    </w:p>
    <w:p w:rsidR="00023FE7" w:rsidRPr="00BB5519" w:rsidRDefault="00023FE7">
      <w:pPr>
        <w:rPr>
          <w:lang w:val="de-DE"/>
        </w:rPr>
      </w:pPr>
    </w:p>
    <w:p w:rsidR="00023FE7" w:rsidRPr="00BB5519" w:rsidRDefault="00AD6AD6" w:rsidP="00993DF2">
      <w:pPr>
        <w:rPr>
          <w:lang w:val="de-DE"/>
        </w:rPr>
      </w:pPr>
      <w:r w:rsidRPr="00BB5519">
        <w:rPr>
          <w:rFonts w:cs="Tahoma"/>
          <w:szCs w:val="18"/>
          <w:lang w:val="de-DE"/>
        </w:rPr>
        <w:t>Kunden können bei bestimmten Produkten mit einer Step Up-Lizenz von einer niedrigeren Edition zu einer höheren Edition migrieren.</w:t>
      </w:r>
      <w:r w:rsidR="009E4976" w:rsidRPr="00BB5519">
        <w:rPr>
          <w:rFonts w:cs="Tahoma"/>
          <w:szCs w:val="18"/>
          <w:lang w:val="de-DE"/>
        </w:rPr>
        <w:t xml:space="preserve"> </w:t>
      </w:r>
      <w:r w:rsidRPr="00BB5519">
        <w:rPr>
          <w:rFonts w:cs="Tahoma"/>
          <w:szCs w:val="18"/>
          <w:lang w:val="de-DE"/>
        </w:rPr>
        <w:t xml:space="preserve">Um eine Step Up-Lizenz erwerben zu können, müssen die Kunden über eine Lizenz mit aktiver Software Assurance für </w:t>
      </w:r>
      <w:r w:rsidRPr="00BB5519">
        <w:rPr>
          <w:rFonts w:cs="Tahoma"/>
          <w:color w:val="000000"/>
          <w:szCs w:val="18"/>
          <w:lang w:val="de-DE"/>
        </w:rPr>
        <w:t>das qualifizierende Produkt verfügen.</w:t>
      </w:r>
      <w:r w:rsidR="009E4976" w:rsidRPr="00BB5519">
        <w:rPr>
          <w:rFonts w:cs="Tahoma"/>
          <w:color w:val="000000"/>
          <w:szCs w:val="18"/>
          <w:lang w:val="de-DE"/>
        </w:rPr>
        <w:t xml:space="preserve"> </w:t>
      </w:r>
      <w:r w:rsidRPr="00BB5519">
        <w:rPr>
          <w:rFonts w:cs="Tahoma"/>
          <w:color w:val="000000"/>
          <w:szCs w:val="18"/>
          <w:lang w:val="de-DE"/>
        </w:rPr>
        <w:t>Die Step Up-Lizenz muss unter demselben Volumenlizenzprogramm-Vertrag und -Beitritt (sofern vorhanden) erworben werden, unter dem bzw. denen Software Assurance für das qualifizierende</w:t>
      </w:r>
      <w:r w:rsidRPr="00BB5519">
        <w:rPr>
          <w:rFonts w:cs="Tahoma"/>
          <w:szCs w:val="18"/>
          <w:lang w:val="de-DE"/>
        </w:rPr>
        <w:t xml:space="preserve"> Produkt ursprünglich erworben wurde.</w:t>
      </w:r>
      <w:r w:rsidR="009E4976" w:rsidRPr="00BB5519">
        <w:rPr>
          <w:rFonts w:cs="Tahoma"/>
          <w:szCs w:val="18"/>
          <w:lang w:val="de-DE"/>
        </w:rPr>
        <w:t xml:space="preserve"> </w:t>
      </w:r>
      <w:r w:rsidRPr="00BB5519">
        <w:rPr>
          <w:rFonts w:cs="Tahoma"/>
          <w:szCs w:val="18"/>
          <w:lang w:val="de-DE"/>
        </w:rPr>
        <w:t>Das Recht des Kunden, Software unter einer Step Up-Lizenz zu nutzen, setzt voraus, dass der Kunde eine Lizenz für das qualifizierende Produkt besitzt und diese behält.</w:t>
      </w:r>
      <w:r w:rsidR="009E4976" w:rsidRPr="00BB5519">
        <w:rPr>
          <w:rFonts w:cs="Tahoma"/>
          <w:szCs w:val="18"/>
          <w:lang w:val="de-DE"/>
        </w:rPr>
        <w:t xml:space="preserve"> </w:t>
      </w:r>
      <w:r w:rsidRPr="00BB5519">
        <w:rPr>
          <w:rFonts w:cs="Tahoma"/>
          <w:szCs w:val="18"/>
          <w:lang w:val="de-DE"/>
        </w:rPr>
        <w:t>Die Kunden können die Lizenz für das qualifizierende Produkt nicht separat von der Step Up-Lizenz übertragen.</w:t>
      </w:r>
      <w:r w:rsidR="009E4976" w:rsidRPr="00BB5519">
        <w:rPr>
          <w:rFonts w:cs="Tahoma"/>
          <w:szCs w:val="18"/>
          <w:lang w:val="de-DE"/>
        </w:rPr>
        <w:t xml:space="preserve"> </w:t>
      </w:r>
      <w:r w:rsidRPr="00BB5519">
        <w:rPr>
          <w:rFonts w:cs="Tahoma"/>
          <w:szCs w:val="18"/>
          <w:lang w:val="de-DE"/>
        </w:rPr>
        <w:t>Die zeitlich unbeschränkten Rechte im Rahmen einer Step Up-Lizenz haben Vorrang vor der und ersetzen die zugrunde liegende Lizenz für das qualifizierende Produkt.</w:t>
      </w:r>
      <w:r w:rsidR="009E4976" w:rsidRPr="00BB5519">
        <w:rPr>
          <w:rFonts w:cs="Tahoma"/>
          <w:szCs w:val="18"/>
          <w:lang w:val="de-DE"/>
        </w:rPr>
        <w:t xml:space="preserve"> </w:t>
      </w:r>
      <w:r w:rsidRPr="00BB5519">
        <w:rPr>
          <w:rFonts w:cs="Tahoma"/>
          <w:szCs w:val="18"/>
          <w:lang w:val="de-DE"/>
        </w:rPr>
        <w:t xml:space="preserve">Weitere Informationen erhalten Sie in der Volumenlizenz-Kurzdarstellung zu Step Up-Lizenzen für Enterprise Edition: </w:t>
      </w:r>
      <w:r w:rsidR="00993DF2" w:rsidRPr="00993DF2">
        <w:rPr>
          <w:rFonts w:cs="Tahoma"/>
          <w:szCs w:val="18"/>
          <w:lang w:val="de-DE"/>
        </w:rPr>
        <w:t>http://</w:t>
      </w:r>
      <w:hyperlink r:id="rId32" w:history="1">
        <w:r w:rsidR="00993DF2" w:rsidRPr="00993DF2">
          <w:rPr>
            <w:rStyle w:val="Hyperlink"/>
            <w:rFonts w:cs="Tahoma"/>
            <w:szCs w:val="18"/>
            <w:lang w:val="de-DE"/>
          </w:rPr>
          <w:t>www.microsoft.com/licensing</w:t>
        </w:r>
      </w:hyperlink>
      <w:r w:rsidRPr="00BB5519">
        <w:rPr>
          <w:rFonts w:cs="Tahoma"/>
          <w:szCs w:val="18"/>
          <w:lang w:val="de-DE"/>
        </w:rPr>
        <w:t xml:space="preserve"> </w:t>
      </w:r>
    </w:p>
    <w:p w:rsidR="00023FE7" w:rsidRPr="00BB5519" w:rsidRDefault="00023FE7">
      <w:pPr>
        <w:rPr>
          <w:lang w:val="de-D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BB5519" w:rsidTr="001E3F7D">
        <w:trPr>
          <w:tblHeader/>
        </w:trPr>
        <w:tc>
          <w:tcPr>
            <w:tcW w:w="4230" w:type="dxa"/>
            <w:shd w:val="clear" w:color="auto" w:fill="FABF8F"/>
            <w:tcMar>
              <w:top w:w="0" w:type="dxa"/>
              <w:left w:w="108" w:type="dxa"/>
              <w:bottom w:w="0" w:type="dxa"/>
              <w:right w:w="108" w:type="dxa"/>
            </w:tcMar>
            <w:hideMark/>
          </w:tcPr>
          <w:p w:rsidR="003573CD" w:rsidRPr="00BB5519" w:rsidRDefault="003573CD" w:rsidP="00554A35">
            <w:pPr>
              <w:jc w:val="center"/>
              <w:rPr>
                <w:rFonts w:eastAsia="Calibri" w:cs="Tahoma"/>
                <w:b/>
                <w:sz w:val="20"/>
                <w:szCs w:val="20"/>
              </w:rPr>
            </w:pPr>
            <w:r w:rsidRPr="00BB5519">
              <w:rPr>
                <w:rFonts w:cs="Tahoma"/>
                <w:b/>
                <w:sz w:val="20"/>
                <w:szCs w:val="20"/>
              </w:rPr>
              <w:t>Step Up von</w:t>
            </w:r>
          </w:p>
        </w:tc>
        <w:tc>
          <w:tcPr>
            <w:tcW w:w="4230" w:type="dxa"/>
            <w:shd w:val="clear" w:color="auto" w:fill="FABF8F"/>
            <w:tcMar>
              <w:top w:w="0" w:type="dxa"/>
              <w:left w:w="108" w:type="dxa"/>
              <w:bottom w:w="0" w:type="dxa"/>
              <w:right w:w="108" w:type="dxa"/>
            </w:tcMar>
            <w:hideMark/>
          </w:tcPr>
          <w:p w:rsidR="003573CD" w:rsidRPr="00BB5519" w:rsidRDefault="003573CD" w:rsidP="00554A35">
            <w:pPr>
              <w:jc w:val="center"/>
              <w:rPr>
                <w:rFonts w:eastAsia="Calibri" w:cs="Tahoma"/>
                <w:b/>
                <w:sz w:val="20"/>
                <w:szCs w:val="20"/>
              </w:rPr>
            </w:pPr>
            <w:r w:rsidRPr="00BB5519">
              <w:rPr>
                <w:rFonts w:cs="Tahoma"/>
                <w:b/>
                <w:sz w:val="20"/>
                <w:szCs w:val="20"/>
              </w:rPr>
              <w:t>Step Up zu</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BizTalk</w:t>
            </w:r>
            <w:r w:rsidRPr="00621662">
              <w:rPr>
                <w:rFonts w:cs="Tahoma"/>
                <w:szCs w:val="18"/>
                <w:vertAlign w:val="superscript"/>
              </w:rPr>
              <w:t>®</w:t>
            </w:r>
            <w:r w:rsidRPr="00BB5519">
              <w:rPr>
                <w:rFonts w:cs="Tahoma"/>
                <w:szCs w:val="18"/>
              </w:rPr>
              <w:t xml:space="preserve"> Server Branch</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BizTalk</w:t>
            </w:r>
            <w:r w:rsidRPr="00621662">
              <w:rPr>
                <w:rFonts w:cs="Tahoma"/>
                <w:szCs w:val="18"/>
                <w:vertAlign w:val="superscript"/>
              </w:rPr>
              <w:t>®</w:t>
            </w:r>
            <w:r w:rsidRPr="00BB5519">
              <w:rPr>
                <w:rFonts w:cs="Tahoma"/>
                <w:szCs w:val="18"/>
              </w:rPr>
              <w:t xml:space="preserve"> Server Standard</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BizTalk</w:t>
            </w:r>
            <w:r w:rsidRPr="00621662">
              <w:rPr>
                <w:rFonts w:cs="Tahoma"/>
                <w:szCs w:val="18"/>
                <w:vertAlign w:val="superscript"/>
              </w:rPr>
              <w:t>®</w:t>
            </w:r>
            <w:r w:rsidRPr="00BB5519">
              <w:rPr>
                <w:rFonts w:cs="Tahoma"/>
                <w:szCs w:val="18"/>
              </w:rPr>
              <w:t xml:space="preserve"> Server Branch</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BizTalk</w:t>
            </w:r>
            <w:r w:rsidRPr="00621662">
              <w:rPr>
                <w:rFonts w:cs="Tahoma"/>
                <w:szCs w:val="18"/>
                <w:vertAlign w:val="superscript"/>
              </w:rPr>
              <w:t>®</w:t>
            </w:r>
            <w:r w:rsidRPr="00BB5519">
              <w:rPr>
                <w:rFonts w:cs="Tahoma"/>
                <w:szCs w:val="18"/>
              </w:rPr>
              <w:t xml:space="preserve"> Server Enterprise</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BizTalk</w:t>
            </w:r>
            <w:r w:rsidRPr="00621662">
              <w:rPr>
                <w:rFonts w:cs="Tahoma"/>
                <w:szCs w:val="18"/>
                <w:vertAlign w:val="superscript"/>
              </w:rPr>
              <w:t>®</w:t>
            </w:r>
            <w:r w:rsidRPr="00BB5519">
              <w:rPr>
                <w:rFonts w:cs="Tahoma"/>
                <w:szCs w:val="18"/>
              </w:rPr>
              <w:t xml:space="preserve"> Server Standard</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BizTalk</w:t>
            </w:r>
            <w:r w:rsidRPr="00621662">
              <w:rPr>
                <w:rFonts w:cs="Tahoma"/>
                <w:szCs w:val="18"/>
                <w:vertAlign w:val="superscript"/>
              </w:rPr>
              <w:t>®</w:t>
            </w:r>
            <w:r w:rsidRPr="00BB5519">
              <w:rPr>
                <w:rFonts w:cs="Tahoma"/>
                <w:szCs w:val="18"/>
              </w:rPr>
              <w:t xml:space="preserve"> Server Enterprise</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Commerce Server Standard</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Commerce Server Enterprise</w:t>
            </w:r>
          </w:p>
        </w:tc>
      </w:tr>
      <w:tr w:rsidR="003573CD" w:rsidRPr="00BB5519" w:rsidTr="001E3F7D">
        <w:trPr>
          <w:trHeight w:val="238"/>
        </w:trPr>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Core-CAL-Suite</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Enterprise-CAL-Suite</w:t>
            </w:r>
          </w:p>
        </w:tc>
      </w:tr>
      <w:tr w:rsidR="00E87953" w:rsidRPr="00BB5519" w:rsidTr="001E3F7D">
        <w:trPr>
          <w:trHeight w:val="247"/>
        </w:trPr>
        <w:tc>
          <w:tcPr>
            <w:tcW w:w="4230" w:type="dxa"/>
            <w:tcMar>
              <w:top w:w="0" w:type="dxa"/>
              <w:left w:w="108" w:type="dxa"/>
              <w:bottom w:w="0" w:type="dxa"/>
              <w:right w:w="108" w:type="dxa"/>
            </w:tcMar>
          </w:tcPr>
          <w:p w:rsidR="00E87953" w:rsidRPr="00BB5519" w:rsidRDefault="00E87953" w:rsidP="00734CF4">
            <w:pPr>
              <w:rPr>
                <w:rFonts w:cs="Tahoma"/>
                <w:color w:val="000000"/>
                <w:szCs w:val="18"/>
              </w:rPr>
            </w:pPr>
            <w:r w:rsidRPr="00BB5519">
              <w:rPr>
                <w:rFonts w:cs="Tahoma"/>
                <w:color w:val="000000"/>
                <w:szCs w:val="18"/>
              </w:rPr>
              <w:t>Core CAL Suite Bridge für Office 365</w:t>
            </w:r>
          </w:p>
        </w:tc>
        <w:tc>
          <w:tcPr>
            <w:tcW w:w="4230" w:type="dxa"/>
            <w:tcMar>
              <w:top w:w="0" w:type="dxa"/>
              <w:left w:w="108" w:type="dxa"/>
              <w:bottom w:w="0" w:type="dxa"/>
              <w:right w:w="108" w:type="dxa"/>
            </w:tcMar>
          </w:tcPr>
          <w:p w:rsidR="00E87953" w:rsidRPr="00BB5519" w:rsidRDefault="00E87953" w:rsidP="00734CF4">
            <w:pPr>
              <w:rPr>
                <w:rFonts w:cs="Tahoma"/>
                <w:color w:val="000000"/>
                <w:szCs w:val="18"/>
              </w:rPr>
            </w:pPr>
            <w:r w:rsidRPr="00BB5519">
              <w:rPr>
                <w:rFonts w:cs="Tahoma"/>
                <w:color w:val="000000"/>
                <w:szCs w:val="18"/>
              </w:rPr>
              <w:t>Enterprise CAL Suite Bridge für Office 365</w:t>
            </w:r>
          </w:p>
        </w:tc>
      </w:tr>
      <w:tr w:rsidR="00E87953" w:rsidRPr="00BB5519" w:rsidTr="001E3F7D">
        <w:trPr>
          <w:trHeight w:val="247"/>
        </w:trPr>
        <w:tc>
          <w:tcPr>
            <w:tcW w:w="4230" w:type="dxa"/>
            <w:tcMar>
              <w:top w:w="0" w:type="dxa"/>
              <w:left w:w="108" w:type="dxa"/>
              <w:bottom w:w="0" w:type="dxa"/>
              <w:right w:w="108" w:type="dxa"/>
            </w:tcMar>
          </w:tcPr>
          <w:p w:rsidR="00E87953" w:rsidRPr="00BB5519" w:rsidRDefault="00E87953" w:rsidP="007C6582">
            <w:pPr>
              <w:rPr>
                <w:rFonts w:cs="Tahoma"/>
                <w:color w:val="000000"/>
                <w:szCs w:val="18"/>
              </w:rPr>
            </w:pPr>
            <w:r w:rsidRPr="00BB5519">
              <w:rPr>
                <w:rFonts w:cs="Tahoma"/>
                <w:color w:val="000000"/>
                <w:szCs w:val="18"/>
              </w:rPr>
              <w:t>Core CAL Suite Bridge für Windows</w:t>
            </w:r>
            <w:r w:rsidRPr="00BB5519">
              <w:rPr>
                <w:rFonts w:cs="Tahoma"/>
                <w:color w:val="000000"/>
                <w:szCs w:val="18"/>
                <w:vertAlign w:val="superscript"/>
              </w:rPr>
              <w:t>®</w:t>
            </w:r>
            <w:r w:rsidRPr="00BB5519">
              <w:rPr>
                <w:rFonts w:cs="Tahoma"/>
                <w:color w:val="000000"/>
                <w:szCs w:val="18"/>
              </w:rPr>
              <w:t xml:space="preserve"> Intune</w:t>
            </w:r>
          </w:p>
        </w:tc>
        <w:tc>
          <w:tcPr>
            <w:tcW w:w="4230" w:type="dxa"/>
            <w:tcMar>
              <w:top w:w="0" w:type="dxa"/>
              <w:left w:w="108" w:type="dxa"/>
              <w:bottom w:w="0" w:type="dxa"/>
              <w:right w:w="108" w:type="dxa"/>
            </w:tcMar>
          </w:tcPr>
          <w:p w:rsidR="00E87953" w:rsidRPr="00BB5519" w:rsidRDefault="00E87953" w:rsidP="007C6582">
            <w:pPr>
              <w:rPr>
                <w:rFonts w:cs="Tahoma"/>
                <w:color w:val="000000"/>
                <w:szCs w:val="18"/>
              </w:rPr>
            </w:pPr>
            <w:r w:rsidRPr="00BB5519">
              <w:rPr>
                <w:rFonts w:cs="Tahoma"/>
                <w:color w:val="000000"/>
                <w:szCs w:val="18"/>
              </w:rPr>
              <w:t>Enterprise CAL Suite Bridge für Windows</w:t>
            </w:r>
            <w:r w:rsidRPr="00BB5519">
              <w:rPr>
                <w:rFonts w:cs="Tahoma"/>
                <w:color w:val="000000"/>
                <w:szCs w:val="18"/>
                <w:vertAlign w:val="superscript"/>
              </w:rPr>
              <w:t>®</w:t>
            </w:r>
            <w:r w:rsidRPr="00BB5519">
              <w:rPr>
                <w:rFonts w:cs="Tahoma"/>
                <w:color w:val="000000"/>
                <w:szCs w:val="18"/>
              </w:rPr>
              <w:t xml:space="preserve"> Intune</w:t>
            </w:r>
          </w:p>
        </w:tc>
      </w:tr>
      <w:tr w:rsidR="000466E8" w:rsidRPr="00BB5519" w:rsidTr="001E3F7D">
        <w:trPr>
          <w:trHeight w:val="247"/>
        </w:trPr>
        <w:tc>
          <w:tcPr>
            <w:tcW w:w="4230" w:type="dxa"/>
            <w:tcMar>
              <w:top w:w="0" w:type="dxa"/>
              <w:left w:w="108" w:type="dxa"/>
              <w:bottom w:w="0" w:type="dxa"/>
              <w:right w:w="108" w:type="dxa"/>
            </w:tcMar>
          </w:tcPr>
          <w:p w:rsidR="000466E8" w:rsidRPr="00BB5519" w:rsidRDefault="0054507B" w:rsidP="007C6582">
            <w:pPr>
              <w:rPr>
                <w:rFonts w:cs="Tahoma"/>
                <w:color w:val="000000"/>
                <w:szCs w:val="18"/>
              </w:rPr>
            </w:pPr>
            <w:r w:rsidRPr="00BB5519">
              <w:rPr>
                <w:rFonts w:cs="Tahoma"/>
                <w:color w:val="000000"/>
                <w:szCs w:val="18"/>
              </w:rPr>
              <w:t>Core CAL Suite Bridge für Office 365 und Windows</w:t>
            </w:r>
            <w:r w:rsidRPr="00BB5519">
              <w:rPr>
                <w:rFonts w:cs="Tahoma"/>
                <w:color w:val="000000"/>
                <w:szCs w:val="18"/>
                <w:vertAlign w:val="superscript"/>
              </w:rPr>
              <w:t>®</w:t>
            </w:r>
            <w:r w:rsidRPr="00BB5519">
              <w:rPr>
                <w:rFonts w:cs="Tahoma"/>
                <w:color w:val="000000"/>
                <w:szCs w:val="18"/>
              </w:rPr>
              <w:t xml:space="preserve"> Intune</w:t>
            </w:r>
          </w:p>
        </w:tc>
        <w:tc>
          <w:tcPr>
            <w:tcW w:w="4230" w:type="dxa"/>
            <w:tcMar>
              <w:top w:w="0" w:type="dxa"/>
              <w:left w:w="108" w:type="dxa"/>
              <w:bottom w:w="0" w:type="dxa"/>
              <w:right w:w="108" w:type="dxa"/>
            </w:tcMar>
          </w:tcPr>
          <w:p w:rsidR="000466E8" w:rsidRPr="00BB5519" w:rsidRDefault="00C3058D" w:rsidP="007C6582">
            <w:pPr>
              <w:rPr>
                <w:rFonts w:cs="Tahoma"/>
                <w:color w:val="000000"/>
                <w:szCs w:val="18"/>
              </w:rPr>
            </w:pPr>
            <w:r w:rsidRPr="00BB5519">
              <w:rPr>
                <w:rFonts w:eastAsia="Calibri" w:cs="Tahoma"/>
                <w:szCs w:val="18"/>
              </w:rPr>
              <w:t>Enterprise CAL Suite Bridge für Office 365 und Windows</w:t>
            </w:r>
            <w:r w:rsidRPr="00BB5519">
              <w:rPr>
                <w:rFonts w:cs="Tahoma"/>
                <w:color w:val="000000"/>
                <w:szCs w:val="18"/>
                <w:vertAlign w:val="superscript"/>
              </w:rPr>
              <w:t xml:space="preserve">® </w:t>
            </w:r>
            <w:r w:rsidRPr="00BB5519">
              <w:rPr>
                <w:rFonts w:eastAsia="Calibri" w:cs="Tahoma"/>
                <w:szCs w:val="18"/>
              </w:rPr>
              <w:t>Intune</w:t>
            </w:r>
          </w:p>
        </w:tc>
      </w:tr>
      <w:tr w:rsidR="004C6855" w:rsidRPr="00D244F0" w:rsidTr="001E3F7D">
        <w:trPr>
          <w:trHeight w:val="247"/>
        </w:trPr>
        <w:tc>
          <w:tcPr>
            <w:tcW w:w="4230" w:type="dxa"/>
            <w:tcMar>
              <w:top w:w="0" w:type="dxa"/>
              <w:left w:w="108" w:type="dxa"/>
              <w:bottom w:w="0" w:type="dxa"/>
              <w:right w:w="108" w:type="dxa"/>
            </w:tcMar>
            <w:hideMark/>
          </w:tcPr>
          <w:p w:rsidR="004C6855" w:rsidRPr="00BB5519" w:rsidRDefault="004C6855" w:rsidP="00554A35">
            <w:pPr>
              <w:rPr>
                <w:rFonts w:cs="Tahoma"/>
                <w:szCs w:val="18"/>
                <w:lang w:val="fr-FR"/>
              </w:rPr>
            </w:pPr>
            <w:r w:rsidRPr="00BB5519">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BB5519" w:rsidRDefault="004C6855" w:rsidP="00933674">
            <w:pPr>
              <w:rPr>
                <w:rFonts w:cs="Tahoma"/>
                <w:szCs w:val="18"/>
                <w:lang w:val="fr-FR"/>
              </w:rPr>
            </w:pPr>
            <w:r w:rsidRPr="00BB5519">
              <w:rPr>
                <w:rFonts w:cs="Tahoma"/>
                <w:color w:val="000000"/>
                <w:szCs w:val="18"/>
                <w:lang w:val="fr-FR"/>
              </w:rPr>
              <w:t>Core Infrastructure Server Suite Datacenter</w:t>
            </w:r>
          </w:p>
        </w:tc>
      </w:tr>
      <w:tr w:rsidR="003573CD" w:rsidRPr="00D244F0" w:rsidTr="001E3F7D">
        <w:tc>
          <w:tcPr>
            <w:tcW w:w="4230" w:type="dxa"/>
            <w:tcMar>
              <w:top w:w="0" w:type="dxa"/>
              <w:left w:w="108" w:type="dxa"/>
              <w:bottom w:w="0" w:type="dxa"/>
              <w:right w:w="108" w:type="dxa"/>
            </w:tcMar>
            <w:hideMark/>
          </w:tcPr>
          <w:p w:rsidR="003573CD" w:rsidRPr="00BB5519" w:rsidRDefault="003573CD" w:rsidP="00394D2B">
            <w:pPr>
              <w:rPr>
                <w:rFonts w:eastAsia="Calibri" w:cs="Tahoma"/>
                <w:szCs w:val="18"/>
              </w:rPr>
            </w:pPr>
            <w:r w:rsidRPr="00BB5519">
              <w:rPr>
                <w:rFonts w:cs="Tahoma"/>
                <w:szCs w:val="18"/>
              </w:rPr>
              <w:t>Desktop Education mit Core CAL</w:t>
            </w:r>
          </w:p>
        </w:tc>
        <w:tc>
          <w:tcPr>
            <w:tcW w:w="4230" w:type="dxa"/>
            <w:tcMar>
              <w:top w:w="0" w:type="dxa"/>
              <w:left w:w="108" w:type="dxa"/>
              <w:bottom w:w="0" w:type="dxa"/>
              <w:right w:w="108" w:type="dxa"/>
            </w:tcMar>
            <w:hideMark/>
          </w:tcPr>
          <w:p w:rsidR="003573CD" w:rsidRPr="00BB5519" w:rsidRDefault="003573CD" w:rsidP="00394D2B">
            <w:pPr>
              <w:rPr>
                <w:rFonts w:eastAsia="Calibri" w:cs="Tahoma"/>
                <w:szCs w:val="18"/>
                <w:lang w:val="fr-FR"/>
              </w:rPr>
            </w:pPr>
            <w:r w:rsidRPr="00BB5519">
              <w:rPr>
                <w:rFonts w:cs="Tahoma"/>
                <w:szCs w:val="18"/>
                <w:lang w:val="fr-FR"/>
              </w:rPr>
              <w:t>Desktop Education mit Enterprise CAL Suite</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Desktop School mit Core CAL</w:t>
            </w:r>
          </w:p>
        </w:tc>
        <w:tc>
          <w:tcPr>
            <w:tcW w:w="4230" w:type="dxa"/>
            <w:tcMar>
              <w:top w:w="0" w:type="dxa"/>
              <w:left w:w="108" w:type="dxa"/>
              <w:bottom w:w="0" w:type="dxa"/>
              <w:right w:w="108" w:type="dxa"/>
            </w:tcMar>
            <w:hideMark/>
          </w:tcPr>
          <w:p w:rsidR="003573CD" w:rsidRPr="00BB5519" w:rsidRDefault="00ED0F02" w:rsidP="00554A35">
            <w:pPr>
              <w:rPr>
                <w:rFonts w:eastAsia="Calibri" w:cs="Tahoma"/>
                <w:szCs w:val="18"/>
              </w:rPr>
            </w:pPr>
            <w:r w:rsidRPr="00BB5519">
              <w:rPr>
                <w:rFonts w:cs="Tahoma"/>
                <w:szCs w:val="18"/>
              </w:rPr>
              <w:t>Desktop School mit Enterprise CAL Suite</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lang w:val="fr-FR"/>
              </w:rPr>
            </w:pPr>
            <w:r w:rsidRPr="00BB5519">
              <w:rPr>
                <w:rFonts w:cs="Tahoma"/>
                <w:szCs w:val="18"/>
              </w:rPr>
              <w:t>Exchange Server Standard</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Exchange Server Enterprise</w:t>
            </w:r>
          </w:p>
        </w:tc>
      </w:tr>
      <w:tr w:rsidR="004D4D43" w:rsidRPr="00BB5519" w:rsidTr="001E3F7D">
        <w:tc>
          <w:tcPr>
            <w:tcW w:w="4230" w:type="dxa"/>
            <w:tcMar>
              <w:top w:w="0" w:type="dxa"/>
              <w:left w:w="108" w:type="dxa"/>
              <w:bottom w:w="0" w:type="dxa"/>
              <w:right w:w="108" w:type="dxa"/>
            </w:tcMar>
          </w:tcPr>
          <w:p w:rsidR="004D4D43" w:rsidRPr="00BB5519" w:rsidRDefault="004D4D43" w:rsidP="00AB4C80">
            <w:pPr>
              <w:rPr>
                <w:rFonts w:cs="Tahoma"/>
                <w:szCs w:val="18"/>
              </w:rPr>
            </w:pPr>
            <w:r w:rsidRPr="00BB5519">
              <w:rPr>
                <w:rFonts w:cs="Tahoma"/>
                <w:szCs w:val="18"/>
              </w:rPr>
              <w:t>Forefront TMG Standard</w:t>
            </w:r>
          </w:p>
        </w:tc>
        <w:tc>
          <w:tcPr>
            <w:tcW w:w="4230" w:type="dxa"/>
            <w:tcMar>
              <w:top w:w="0" w:type="dxa"/>
              <w:left w:w="108" w:type="dxa"/>
              <w:bottom w:w="0" w:type="dxa"/>
              <w:right w:w="108" w:type="dxa"/>
            </w:tcMar>
          </w:tcPr>
          <w:p w:rsidR="004D4D43" w:rsidRPr="00BB5519" w:rsidRDefault="004D4D43" w:rsidP="00AB4C80">
            <w:pPr>
              <w:rPr>
                <w:rFonts w:cs="Tahoma"/>
                <w:szCs w:val="18"/>
              </w:rPr>
            </w:pPr>
            <w:r w:rsidRPr="00BB5519">
              <w:rPr>
                <w:rFonts w:cs="Tahoma"/>
                <w:szCs w:val="18"/>
              </w:rPr>
              <w:t>Forefront TMG Enterprise</w:t>
            </w:r>
          </w:p>
        </w:tc>
      </w:tr>
      <w:tr w:rsidR="003573CD" w:rsidRPr="00BB5519" w:rsidTr="001E3F7D">
        <w:tc>
          <w:tcPr>
            <w:tcW w:w="4230" w:type="dxa"/>
            <w:tcMar>
              <w:top w:w="0" w:type="dxa"/>
              <w:left w:w="108" w:type="dxa"/>
              <w:bottom w:w="0" w:type="dxa"/>
              <w:right w:w="108" w:type="dxa"/>
            </w:tcMar>
            <w:hideMark/>
          </w:tcPr>
          <w:p w:rsidR="003573CD" w:rsidRPr="00BB5519" w:rsidRDefault="003573CD" w:rsidP="0024432D">
            <w:pPr>
              <w:rPr>
                <w:rFonts w:eastAsia="Calibri" w:cs="Tahoma"/>
                <w:szCs w:val="18"/>
              </w:rPr>
            </w:pPr>
            <w:r w:rsidRPr="00BB5519">
              <w:rPr>
                <w:rFonts w:cs="Tahoma"/>
                <w:szCs w:val="18"/>
              </w:rPr>
              <w:lastRenderedPageBreak/>
              <w:t>Internet Security and Acceleration (ISA) Standard</w:t>
            </w:r>
            <w:r w:rsidR="0024432D">
              <w:rPr>
                <w:rFonts w:cs="Tahoma"/>
                <w:szCs w:val="18"/>
              </w:rPr>
              <w:t> </w:t>
            </w:r>
            <w:r w:rsidRPr="00BB5519">
              <w:rPr>
                <w:rFonts w:cs="Tahoma"/>
                <w:szCs w:val="18"/>
              </w:rPr>
              <w:t>Server</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Internet Security and Acceleration (ISA) Enterprise Server</w:t>
            </w:r>
          </w:p>
        </w:tc>
      </w:tr>
      <w:tr w:rsidR="00781A60" w:rsidRPr="00BB5519" w:rsidTr="001E3F7D">
        <w:tc>
          <w:tcPr>
            <w:tcW w:w="4230" w:type="dxa"/>
            <w:tcMar>
              <w:top w:w="0" w:type="dxa"/>
              <w:left w:w="108" w:type="dxa"/>
              <w:bottom w:w="0" w:type="dxa"/>
              <w:right w:w="108" w:type="dxa"/>
            </w:tcMar>
          </w:tcPr>
          <w:p w:rsidR="00781A60" w:rsidRPr="00BB5519" w:rsidRDefault="00781A60" w:rsidP="00554A35">
            <w:pPr>
              <w:rPr>
                <w:rFonts w:cs="Tahoma"/>
                <w:szCs w:val="18"/>
              </w:rPr>
            </w:pPr>
            <w:r w:rsidRPr="00BB5519">
              <w:rPr>
                <w:rFonts w:cs="Tahoma"/>
                <w:szCs w:val="18"/>
              </w:rPr>
              <w:t>Microsoft Dynamics CRM Workgroup Server 2011</w:t>
            </w:r>
          </w:p>
        </w:tc>
        <w:tc>
          <w:tcPr>
            <w:tcW w:w="4230" w:type="dxa"/>
            <w:tcMar>
              <w:top w:w="0" w:type="dxa"/>
              <w:left w:w="108" w:type="dxa"/>
              <w:bottom w:w="0" w:type="dxa"/>
              <w:right w:w="108" w:type="dxa"/>
            </w:tcMar>
          </w:tcPr>
          <w:p w:rsidR="00781A60" w:rsidRPr="00BB5519" w:rsidRDefault="00781A60" w:rsidP="00554A35">
            <w:pPr>
              <w:rPr>
                <w:rFonts w:cs="Tahoma"/>
                <w:szCs w:val="18"/>
              </w:rPr>
            </w:pPr>
            <w:r w:rsidRPr="00BB5519">
              <w:rPr>
                <w:rFonts w:cs="Tahoma"/>
                <w:szCs w:val="18"/>
              </w:rPr>
              <w:t>Microsoft Dynamics CRM Server 2011</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 xml:space="preserve">Office Standard </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lang w:val="fr-FR"/>
              </w:rPr>
            </w:pPr>
            <w:r w:rsidRPr="00BB5519">
              <w:rPr>
                <w:rFonts w:cs="Tahoma"/>
                <w:szCs w:val="18"/>
              </w:rPr>
              <w:t xml:space="preserve">Office Professional Plus </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Professional Desktop</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Enterprise Desktop</w:t>
            </w:r>
          </w:p>
        </w:tc>
      </w:tr>
      <w:tr w:rsidR="008925CF" w:rsidRPr="00BB5519" w:rsidTr="001E3F7D">
        <w:tc>
          <w:tcPr>
            <w:tcW w:w="4230" w:type="dxa"/>
            <w:tcMar>
              <w:top w:w="0" w:type="dxa"/>
              <w:left w:w="108" w:type="dxa"/>
              <w:bottom w:w="0" w:type="dxa"/>
              <w:right w:w="108" w:type="dxa"/>
            </w:tcMar>
            <w:hideMark/>
          </w:tcPr>
          <w:p w:rsidR="008925CF" w:rsidRPr="00BB5519" w:rsidRDefault="008925CF" w:rsidP="004064E2">
            <w:pPr>
              <w:keepNext/>
              <w:keepLines/>
              <w:rPr>
                <w:rFonts w:cs="Tahoma"/>
                <w:color w:val="000000"/>
                <w:szCs w:val="18"/>
              </w:rPr>
            </w:pPr>
            <w:r w:rsidRPr="00BB5519">
              <w:rPr>
                <w:rFonts w:cs="Tahoma"/>
                <w:color w:val="000000"/>
                <w:szCs w:val="18"/>
              </w:rPr>
              <w:t>Professional Desktop mit Microsoft</w:t>
            </w:r>
            <w:bookmarkStart w:id="981" w:name="_Toc236810936"/>
            <w:r w:rsidRPr="00BB5519">
              <w:rPr>
                <w:rFonts w:cs="Tahoma"/>
                <w:color w:val="000000"/>
                <w:szCs w:val="18"/>
              </w:rPr>
              <w:t xml:space="preserve"> Desktop Optimization Pack </w:t>
            </w:r>
            <w:bookmarkEnd w:id="981"/>
          </w:p>
        </w:tc>
        <w:tc>
          <w:tcPr>
            <w:tcW w:w="4230" w:type="dxa"/>
            <w:tcMar>
              <w:top w:w="0" w:type="dxa"/>
              <w:left w:w="108" w:type="dxa"/>
              <w:bottom w:w="0" w:type="dxa"/>
              <w:right w:w="108" w:type="dxa"/>
            </w:tcMar>
            <w:hideMark/>
          </w:tcPr>
          <w:p w:rsidR="008925CF" w:rsidRPr="00BB5519" w:rsidRDefault="008925CF" w:rsidP="004064E2">
            <w:pPr>
              <w:keepNext/>
              <w:keepLines/>
              <w:rPr>
                <w:rFonts w:cs="Tahoma"/>
                <w:color w:val="000000"/>
                <w:szCs w:val="18"/>
              </w:rPr>
            </w:pPr>
            <w:r w:rsidRPr="00BB5519">
              <w:rPr>
                <w:rFonts w:cs="Tahoma"/>
                <w:color w:val="000000"/>
                <w:szCs w:val="18"/>
              </w:rPr>
              <w:t>Enterprise Desktop mit Microsoft Desktop Optimization Pack</w:t>
            </w:r>
          </w:p>
        </w:tc>
      </w:tr>
      <w:tr w:rsidR="009F254F" w:rsidRPr="00BB5519" w:rsidTr="001E3F7D">
        <w:tc>
          <w:tcPr>
            <w:tcW w:w="4230" w:type="dxa"/>
            <w:tcMar>
              <w:top w:w="0" w:type="dxa"/>
              <w:left w:w="108" w:type="dxa"/>
              <w:bottom w:w="0" w:type="dxa"/>
              <w:right w:w="108" w:type="dxa"/>
            </w:tcMar>
            <w:hideMark/>
          </w:tcPr>
          <w:p w:rsidR="009F254F" w:rsidRPr="00BB5519" w:rsidRDefault="009F254F" w:rsidP="004064E2">
            <w:pPr>
              <w:keepNext/>
              <w:keepLines/>
              <w:rPr>
                <w:rFonts w:eastAsia="Calibri" w:cs="Tahoma"/>
                <w:color w:val="000000"/>
                <w:szCs w:val="18"/>
              </w:rPr>
            </w:pPr>
            <w:r w:rsidRPr="00BB5519">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BB5519" w:rsidRDefault="009F254F" w:rsidP="004064E2">
            <w:pPr>
              <w:keepNext/>
              <w:keepLines/>
              <w:rPr>
                <w:rFonts w:eastAsia="Calibri" w:cs="Tahoma"/>
                <w:color w:val="000000"/>
                <w:szCs w:val="18"/>
              </w:rPr>
            </w:pPr>
            <w:r w:rsidRPr="00BB5519">
              <w:rPr>
                <w:rFonts w:cs="Tahoma"/>
                <w:color w:val="000000"/>
                <w:szCs w:val="18"/>
              </w:rPr>
              <w:t xml:space="preserve">Project Professional </w:t>
            </w:r>
          </w:p>
        </w:tc>
      </w:tr>
      <w:tr w:rsidR="003573CD" w:rsidRPr="00BB5519" w:rsidTr="001E3F7D">
        <w:tc>
          <w:tcPr>
            <w:tcW w:w="4230" w:type="dxa"/>
            <w:tcMar>
              <w:top w:w="0" w:type="dxa"/>
              <w:left w:w="108" w:type="dxa"/>
              <w:bottom w:w="0" w:type="dxa"/>
              <w:right w:w="108" w:type="dxa"/>
            </w:tcMar>
            <w:hideMark/>
          </w:tcPr>
          <w:p w:rsidR="003573CD" w:rsidRPr="00BB5519" w:rsidRDefault="00070D8F" w:rsidP="004064E2">
            <w:pPr>
              <w:keepNext/>
              <w:keepLines/>
              <w:rPr>
                <w:rFonts w:eastAsia="Calibri" w:cs="Tahoma"/>
                <w:color w:val="000000"/>
                <w:szCs w:val="18"/>
              </w:rPr>
            </w:pPr>
            <w:r>
              <w:rPr>
                <w:rFonts w:cs="Tahoma"/>
                <w:color w:val="000000"/>
                <w:szCs w:val="18"/>
              </w:rPr>
              <w:t>SQL Server</w:t>
            </w:r>
            <w:r w:rsidR="003573CD" w:rsidRPr="00BB5519">
              <w:rPr>
                <w:rFonts w:cs="Tahoma"/>
                <w:color w:val="000000"/>
                <w:szCs w:val="18"/>
              </w:rPr>
              <w:t>™ Standard Core</w:t>
            </w:r>
          </w:p>
        </w:tc>
        <w:tc>
          <w:tcPr>
            <w:tcW w:w="4230" w:type="dxa"/>
            <w:tcMar>
              <w:top w:w="0" w:type="dxa"/>
              <w:left w:w="108" w:type="dxa"/>
              <w:bottom w:w="0" w:type="dxa"/>
              <w:right w:w="108" w:type="dxa"/>
            </w:tcMar>
            <w:hideMark/>
          </w:tcPr>
          <w:p w:rsidR="003573CD" w:rsidRPr="00BB5519" w:rsidRDefault="003573CD" w:rsidP="004064E2">
            <w:pPr>
              <w:keepNext/>
              <w:keepLines/>
              <w:rPr>
                <w:rFonts w:eastAsia="Calibri" w:cs="Tahoma"/>
                <w:color w:val="000000"/>
                <w:szCs w:val="18"/>
              </w:rPr>
            </w:pPr>
            <w:r w:rsidRPr="00BB5519">
              <w:rPr>
                <w:rFonts w:cs="Tahoma"/>
                <w:color w:val="000000"/>
                <w:szCs w:val="18"/>
              </w:rPr>
              <w:t>SQL Server™ Enterprise Core</w:t>
            </w:r>
          </w:p>
        </w:tc>
      </w:tr>
      <w:tr w:rsidR="00270F92" w:rsidRPr="00BB5519" w:rsidTr="001E3F7D">
        <w:tc>
          <w:tcPr>
            <w:tcW w:w="4230" w:type="dxa"/>
            <w:tcMar>
              <w:top w:w="0" w:type="dxa"/>
              <w:left w:w="108" w:type="dxa"/>
              <w:bottom w:w="0" w:type="dxa"/>
              <w:right w:w="108" w:type="dxa"/>
            </w:tcMar>
            <w:hideMark/>
          </w:tcPr>
          <w:p w:rsidR="00270F92" w:rsidRPr="00BB5519" w:rsidRDefault="00070D8F" w:rsidP="00270F92">
            <w:pPr>
              <w:rPr>
                <w:rFonts w:eastAsia="Calibri" w:cs="Tahoma"/>
                <w:szCs w:val="18"/>
              </w:rPr>
            </w:pPr>
            <w:r>
              <w:rPr>
                <w:rFonts w:cs="Tahoma"/>
                <w:szCs w:val="18"/>
              </w:rPr>
              <w:t>SQL Server</w:t>
            </w:r>
            <w:r w:rsidR="00270F92" w:rsidRPr="00BB5519">
              <w:rPr>
                <w:rFonts w:cs="Tahoma"/>
                <w:szCs w:val="18"/>
              </w:rPr>
              <w:t xml:space="preserve">™ </w:t>
            </w:r>
            <w:r w:rsidR="00270F92" w:rsidRPr="00BB5519">
              <w:rPr>
                <w:rFonts w:cs="Tahoma"/>
                <w:color w:val="000000"/>
                <w:szCs w:val="18"/>
              </w:rPr>
              <w:t>Standard</w:t>
            </w:r>
          </w:p>
        </w:tc>
        <w:tc>
          <w:tcPr>
            <w:tcW w:w="4230" w:type="dxa"/>
            <w:tcMar>
              <w:top w:w="0" w:type="dxa"/>
              <w:left w:w="108" w:type="dxa"/>
              <w:bottom w:w="0" w:type="dxa"/>
              <w:right w:w="108" w:type="dxa"/>
            </w:tcMar>
            <w:hideMark/>
          </w:tcPr>
          <w:p w:rsidR="00270F92" w:rsidRPr="00BB5519" w:rsidRDefault="00270F92" w:rsidP="00BB516F">
            <w:pPr>
              <w:rPr>
                <w:rFonts w:eastAsia="Calibri" w:cs="Tahoma"/>
                <w:szCs w:val="18"/>
              </w:rPr>
            </w:pPr>
            <w:r w:rsidRPr="00BB5519">
              <w:rPr>
                <w:rFonts w:cs="Tahoma"/>
                <w:szCs w:val="18"/>
              </w:rPr>
              <w:t>SQL Server™ Business Intelligence</w:t>
            </w:r>
          </w:p>
        </w:tc>
      </w:tr>
      <w:tr w:rsidR="003573CD" w:rsidRPr="00BB5519" w:rsidTr="001E3F7D">
        <w:tc>
          <w:tcPr>
            <w:tcW w:w="4230" w:type="dxa"/>
            <w:tcMar>
              <w:top w:w="0" w:type="dxa"/>
              <w:left w:w="108" w:type="dxa"/>
              <w:bottom w:w="0" w:type="dxa"/>
              <w:right w:w="108" w:type="dxa"/>
            </w:tcMar>
            <w:hideMark/>
          </w:tcPr>
          <w:p w:rsidR="003573CD" w:rsidRPr="00BB5519" w:rsidRDefault="00D04131" w:rsidP="00554A35">
            <w:pPr>
              <w:rPr>
                <w:rFonts w:eastAsia="Calibri" w:cs="Tahoma"/>
                <w:szCs w:val="18"/>
              </w:rPr>
            </w:pPr>
            <w:r w:rsidRPr="00BB5519">
              <w:rPr>
                <w:rFonts w:cs="Tahoma"/>
                <w:szCs w:val="18"/>
              </w:rPr>
              <w:t>System Center 2012 Standard</w:t>
            </w:r>
          </w:p>
        </w:tc>
        <w:tc>
          <w:tcPr>
            <w:tcW w:w="4230" w:type="dxa"/>
            <w:tcMar>
              <w:top w:w="0" w:type="dxa"/>
              <w:left w:w="108" w:type="dxa"/>
              <w:bottom w:w="0" w:type="dxa"/>
              <w:right w:w="108" w:type="dxa"/>
            </w:tcMar>
            <w:hideMark/>
          </w:tcPr>
          <w:p w:rsidR="003573CD" w:rsidRPr="00BB5519" w:rsidRDefault="00D04131" w:rsidP="00554A35">
            <w:pPr>
              <w:rPr>
                <w:rFonts w:eastAsia="Calibri" w:cs="Tahoma"/>
                <w:szCs w:val="18"/>
              </w:rPr>
            </w:pPr>
            <w:r w:rsidRPr="00BB5519">
              <w:rPr>
                <w:rFonts w:cs="Tahoma"/>
                <w:szCs w:val="18"/>
              </w:rPr>
              <w:t>System Center 2012 Datacenter</w:t>
            </w:r>
          </w:p>
        </w:tc>
      </w:tr>
      <w:tr w:rsidR="009F254F" w:rsidRPr="00BB5519" w:rsidTr="001E3F7D">
        <w:tc>
          <w:tcPr>
            <w:tcW w:w="4230" w:type="dxa"/>
            <w:tcMar>
              <w:top w:w="0" w:type="dxa"/>
              <w:left w:w="108" w:type="dxa"/>
              <w:bottom w:w="0" w:type="dxa"/>
              <w:right w:w="108" w:type="dxa"/>
            </w:tcMar>
            <w:hideMark/>
          </w:tcPr>
          <w:p w:rsidR="009F254F" w:rsidRPr="00BB5519" w:rsidRDefault="009F254F" w:rsidP="00CA4488">
            <w:pPr>
              <w:rPr>
                <w:rFonts w:eastAsia="Calibri" w:cs="Tahoma"/>
                <w:color w:val="000000"/>
                <w:szCs w:val="18"/>
              </w:rPr>
            </w:pPr>
            <w:r w:rsidRPr="00BB5519">
              <w:rPr>
                <w:rFonts w:cs="Tahoma"/>
                <w:color w:val="000000"/>
                <w:szCs w:val="18"/>
              </w:rPr>
              <w:t>Visio</w:t>
            </w:r>
            <w:r w:rsidRPr="00621662">
              <w:rPr>
                <w:rFonts w:cs="Tahoma"/>
                <w:color w:val="000000"/>
                <w:szCs w:val="18"/>
                <w:vertAlign w:val="superscript"/>
              </w:rPr>
              <w:t>®</w:t>
            </w:r>
            <w:r w:rsidRPr="00BB5519">
              <w:rPr>
                <w:rFonts w:cs="Tahoma"/>
                <w:color w:val="000000"/>
                <w:szCs w:val="18"/>
              </w:rPr>
              <w:t xml:space="preserve"> Standard</w:t>
            </w:r>
          </w:p>
        </w:tc>
        <w:tc>
          <w:tcPr>
            <w:tcW w:w="4230" w:type="dxa"/>
            <w:tcMar>
              <w:top w:w="0" w:type="dxa"/>
              <w:left w:w="108" w:type="dxa"/>
              <w:bottom w:w="0" w:type="dxa"/>
              <w:right w:w="108" w:type="dxa"/>
            </w:tcMar>
            <w:hideMark/>
          </w:tcPr>
          <w:p w:rsidR="009F254F" w:rsidRPr="00BB5519" w:rsidRDefault="009F254F" w:rsidP="00CA4488">
            <w:pPr>
              <w:rPr>
                <w:rFonts w:eastAsia="Calibri" w:cs="Tahoma"/>
                <w:color w:val="000000"/>
                <w:szCs w:val="18"/>
              </w:rPr>
            </w:pPr>
            <w:r w:rsidRPr="00BB5519">
              <w:rPr>
                <w:rFonts w:cs="Tahoma"/>
                <w:color w:val="000000"/>
                <w:szCs w:val="18"/>
              </w:rPr>
              <w:t>Visio</w:t>
            </w:r>
            <w:r w:rsidRPr="00621662">
              <w:rPr>
                <w:rFonts w:cs="Tahoma"/>
                <w:color w:val="000000"/>
                <w:szCs w:val="18"/>
                <w:vertAlign w:val="superscript"/>
              </w:rPr>
              <w:t>®</w:t>
            </w:r>
            <w:r w:rsidRPr="00BB5519">
              <w:rPr>
                <w:rFonts w:cs="Tahoma"/>
                <w:color w:val="000000"/>
                <w:szCs w:val="18"/>
              </w:rPr>
              <w:t xml:space="preserve"> Professional</w:t>
            </w:r>
          </w:p>
        </w:tc>
      </w:tr>
      <w:tr w:rsidR="009F254F" w:rsidRPr="00BB5519" w:rsidTr="001E3F7D">
        <w:tc>
          <w:tcPr>
            <w:tcW w:w="4230" w:type="dxa"/>
            <w:tcMar>
              <w:top w:w="0" w:type="dxa"/>
              <w:left w:w="108" w:type="dxa"/>
              <w:bottom w:w="0" w:type="dxa"/>
              <w:right w:w="108" w:type="dxa"/>
            </w:tcMar>
            <w:hideMark/>
          </w:tcPr>
          <w:p w:rsidR="009F254F" w:rsidRPr="00BB5519" w:rsidRDefault="009F254F" w:rsidP="00CA4488">
            <w:pPr>
              <w:rPr>
                <w:rFonts w:eastAsia="Calibri" w:cs="Tahoma"/>
                <w:color w:val="000000"/>
                <w:szCs w:val="18"/>
              </w:rPr>
            </w:pPr>
            <w:r w:rsidRPr="00BB5519">
              <w:rPr>
                <w:rFonts w:cs="Tahoma"/>
                <w:color w:val="000000"/>
                <w:szCs w:val="18"/>
              </w:rPr>
              <w:t>Visual Studio Professional mit MSDN</w:t>
            </w:r>
          </w:p>
        </w:tc>
        <w:tc>
          <w:tcPr>
            <w:tcW w:w="4230" w:type="dxa"/>
            <w:tcMar>
              <w:top w:w="0" w:type="dxa"/>
              <w:left w:w="108" w:type="dxa"/>
              <w:bottom w:w="0" w:type="dxa"/>
              <w:right w:w="108" w:type="dxa"/>
            </w:tcMar>
            <w:hideMark/>
          </w:tcPr>
          <w:p w:rsidR="009F254F" w:rsidRPr="00BB5519" w:rsidRDefault="009F254F" w:rsidP="00CA4488">
            <w:pPr>
              <w:rPr>
                <w:rFonts w:eastAsia="Calibri" w:cs="Tahoma"/>
                <w:color w:val="000000"/>
                <w:szCs w:val="18"/>
              </w:rPr>
            </w:pPr>
            <w:r w:rsidRPr="00BB5519">
              <w:rPr>
                <w:rFonts w:cs="Tahoma"/>
                <w:color w:val="000000"/>
                <w:szCs w:val="18"/>
              </w:rPr>
              <w:t>Visual Studio Premium mit MSDN</w:t>
            </w:r>
          </w:p>
        </w:tc>
      </w:tr>
      <w:tr w:rsidR="009F254F" w:rsidRPr="00BB5519" w:rsidTr="001E3F7D">
        <w:tc>
          <w:tcPr>
            <w:tcW w:w="4230" w:type="dxa"/>
            <w:tcMar>
              <w:top w:w="0" w:type="dxa"/>
              <w:left w:w="108" w:type="dxa"/>
              <w:bottom w:w="0" w:type="dxa"/>
              <w:right w:w="108" w:type="dxa"/>
            </w:tcMar>
            <w:hideMark/>
          </w:tcPr>
          <w:p w:rsidR="009F254F" w:rsidRPr="00BB5519" w:rsidRDefault="009F254F" w:rsidP="00CA4488">
            <w:pPr>
              <w:rPr>
                <w:rFonts w:eastAsia="Calibri" w:cs="Tahoma"/>
                <w:szCs w:val="18"/>
              </w:rPr>
            </w:pPr>
            <w:r w:rsidRPr="00BB5519">
              <w:rPr>
                <w:rFonts w:cs="Tahoma"/>
                <w:szCs w:val="18"/>
              </w:rPr>
              <w:t>Visual Studio Premium mit MSDN</w:t>
            </w:r>
          </w:p>
        </w:tc>
        <w:tc>
          <w:tcPr>
            <w:tcW w:w="4230" w:type="dxa"/>
            <w:tcMar>
              <w:top w:w="0" w:type="dxa"/>
              <w:left w:w="108" w:type="dxa"/>
              <w:bottom w:w="0" w:type="dxa"/>
              <w:right w:w="108" w:type="dxa"/>
            </w:tcMar>
            <w:hideMark/>
          </w:tcPr>
          <w:p w:rsidR="009F254F" w:rsidRPr="00BB5519" w:rsidRDefault="009F254F" w:rsidP="00CA4488">
            <w:pPr>
              <w:rPr>
                <w:rFonts w:eastAsia="Calibri" w:cs="Tahoma"/>
                <w:szCs w:val="18"/>
              </w:rPr>
            </w:pPr>
            <w:r w:rsidRPr="00BB5519">
              <w:rPr>
                <w:rFonts w:cs="Tahoma"/>
                <w:szCs w:val="18"/>
              </w:rPr>
              <w:t>Visual Studio Ultimate mit MSDN</w:t>
            </w:r>
          </w:p>
        </w:tc>
      </w:tr>
      <w:tr w:rsidR="009F254F" w:rsidRPr="00BB5519" w:rsidTr="001E3F7D">
        <w:tc>
          <w:tcPr>
            <w:tcW w:w="4230" w:type="dxa"/>
            <w:tcMar>
              <w:top w:w="0" w:type="dxa"/>
              <w:left w:w="108" w:type="dxa"/>
              <w:bottom w:w="0" w:type="dxa"/>
              <w:right w:w="108" w:type="dxa"/>
            </w:tcMar>
            <w:hideMark/>
          </w:tcPr>
          <w:p w:rsidR="009F254F" w:rsidRPr="00BB5519" w:rsidRDefault="009F254F" w:rsidP="00CA4488">
            <w:pPr>
              <w:rPr>
                <w:rFonts w:eastAsia="Calibri" w:cs="Tahoma"/>
                <w:szCs w:val="18"/>
              </w:rPr>
            </w:pPr>
            <w:r w:rsidRPr="00BB5519">
              <w:rPr>
                <w:rFonts w:cs="Tahoma"/>
                <w:szCs w:val="18"/>
              </w:rPr>
              <w:t>Visual Studio Test Professional mit MSDN</w:t>
            </w:r>
          </w:p>
        </w:tc>
        <w:tc>
          <w:tcPr>
            <w:tcW w:w="4230" w:type="dxa"/>
            <w:tcMar>
              <w:top w:w="0" w:type="dxa"/>
              <w:left w:w="108" w:type="dxa"/>
              <w:bottom w:w="0" w:type="dxa"/>
              <w:right w:w="108" w:type="dxa"/>
            </w:tcMar>
            <w:hideMark/>
          </w:tcPr>
          <w:p w:rsidR="009F254F" w:rsidRPr="00BB5519" w:rsidRDefault="009F254F" w:rsidP="007E710C">
            <w:pPr>
              <w:rPr>
                <w:rFonts w:eastAsia="Calibri" w:cs="Tahoma"/>
                <w:szCs w:val="18"/>
              </w:rPr>
            </w:pPr>
            <w:r w:rsidRPr="00BB5519">
              <w:rPr>
                <w:rFonts w:cs="Tahoma"/>
                <w:szCs w:val="18"/>
              </w:rPr>
              <w:t>Visual Studio Premium mit MSDN</w:t>
            </w:r>
          </w:p>
        </w:tc>
      </w:tr>
      <w:tr w:rsidR="003573CD" w:rsidRPr="00BB5519" w:rsidTr="001E3F7D">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Windows</w:t>
            </w:r>
            <w:r w:rsidRPr="00621662">
              <w:rPr>
                <w:rFonts w:cs="Tahoma"/>
                <w:szCs w:val="18"/>
                <w:vertAlign w:val="superscript"/>
              </w:rPr>
              <w:t>®</w:t>
            </w:r>
            <w:r w:rsidRPr="00BB5519">
              <w:rPr>
                <w:rFonts w:cs="Tahoma"/>
                <w:szCs w:val="18"/>
              </w:rPr>
              <w:t xml:space="preserve"> Server™ Standard</w:t>
            </w:r>
          </w:p>
        </w:tc>
        <w:tc>
          <w:tcPr>
            <w:tcW w:w="4230" w:type="dxa"/>
            <w:tcMar>
              <w:top w:w="0" w:type="dxa"/>
              <w:left w:w="108" w:type="dxa"/>
              <w:bottom w:w="0" w:type="dxa"/>
              <w:right w:w="108" w:type="dxa"/>
            </w:tcMar>
            <w:hideMark/>
          </w:tcPr>
          <w:p w:rsidR="003573CD" w:rsidRPr="00BB5519" w:rsidRDefault="003573CD" w:rsidP="00554A35">
            <w:pPr>
              <w:rPr>
                <w:rFonts w:eastAsia="Calibri" w:cs="Tahoma"/>
                <w:szCs w:val="18"/>
              </w:rPr>
            </w:pPr>
            <w:r w:rsidRPr="00BB5519">
              <w:rPr>
                <w:rFonts w:cs="Tahoma"/>
                <w:szCs w:val="18"/>
              </w:rPr>
              <w:t>Windows</w:t>
            </w:r>
            <w:r w:rsidRPr="00621662">
              <w:rPr>
                <w:rFonts w:cs="Tahoma"/>
                <w:szCs w:val="18"/>
                <w:vertAlign w:val="superscript"/>
              </w:rPr>
              <w:t>®</w:t>
            </w:r>
            <w:r w:rsidRPr="00BB5519">
              <w:rPr>
                <w:rFonts w:cs="Tahoma"/>
                <w:szCs w:val="18"/>
              </w:rPr>
              <w:t xml:space="preserve"> Server™ Datacenter</w:t>
            </w:r>
          </w:p>
        </w:tc>
      </w:tr>
    </w:tbl>
    <w:p w:rsidR="003573CD" w:rsidRPr="00BB5519" w:rsidRDefault="003573CD" w:rsidP="00055FBB">
      <w:pPr>
        <w:pStyle w:val="AppendixBodyText"/>
        <w:spacing w:before="40"/>
        <w:ind w:left="1713" w:hanging="1267"/>
        <w:rPr>
          <w:lang w:val="de-DE"/>
        </w:rPr>
      </w:pPr>
      <w:r w:rsidRPr="00BB5519">
        <w:rPr>
          <w:rFonts w:ascii="Tahoma" w:hAnsi="Tahoma" w:cs="Tahoma"/>
          <w:b/>
          <w:i/>
          <w:sz w:val="16"/>
          <w:szCs w:val="16"/>
          <w:lang w:val="de-DE"/>
        </w:rPr>
        <w:t>*Anmerkung:</w:t>
      </w:r>
      <w:r w:rsidRPr="00BB5519">
        <w:rPr>
          <w:rFonts w:ascii="Tahoma" w:hAnsi="Tahoma" w:cs="Tahoma"/>
          <w:i/>
          <w:sz w:val="16"/>
          <w:szCs w:val="16"/>
          <w:lang w:val="de-DE"/>
        </w:rPr>
        <w:t xml:space="preserve"> Änderungen an der Liste der Produkte, für die Step Up-Lizenzen angeboten werden, sind vorbehalten.</w:t>
      </w:r>
    </w:p>
    <w:p w:rsidR="003573CD" w:rsidRPr="00BB5519" w:rsidRDefault="003573CD">
      <w:pPr>
        <w:rPr>
          <w:lang w:val="de-DE"/>
        </w:rPr>
      </w:pPr>
    </w:p>
    <w:p w:rsidR="00023FE7" w:rsidRPr="00BB5519" w:rsidRDefault="00023FE7">
      <w:pPr>
        <w:pStyle w:val="AppendixBodyText"/>
        <w:ind w:left="1710" w:hanging="1260"/>
        <w:rPr>
          <w:lang w:val="de-DE"/>
        </w:rPr>
      </w:pPr>
      <w:r w:rsidRPr="00BB5519">
        <w:rPr>
          <w:rFonts w:ascii="Tahoma" w:hAnsi="Tahoma" w:cs="Tahoma"/>
          <w:b/>
          <w:i/>
          <w:lang w:val="de-DE"/>
        </w:rPr>
        <w:t xml:space="preserve"> </w:t>
      </w:r>
    </w:p>
    <w:p w:rsidR="00023FE7" w:rsidRPr="00D244F0" w:rsidRDefault="00CA395A" w:rsidP="00D22D59">
      <w:pPr>
        <w:pStyle w:val="Heading1"/>
        <w:spacing w:before="0"/>
        <w:rPr>
          <w:lang w:val="de-DE"/>
        </w:rPr>
      </w:pPr>
      <w:r w:rsidRPr="00D244F0">
        <w:rPr>
          <w:lang w:val="de-DE"/>
        </w:rPr>
        <w:br w:type="page"/>
      </w:r>
      <w:bookmarkStart w:id="982" w:name="_Toc317591256"/>
      <w:bookmarkStart w:id="983" w:name="_Toc336338247"/>
      <w:bookmarkStart w:id="984" w:name="_Toc354054944"/>
      <w:r w:rsidRPr="00D244F0">
        <w:rPr>
          <w:lang w:val="de-DE"/>
        </w:rPr>
        <w:lastRenderedPageBreak/>
        <w:t>ABSCHNITT 8 – SERVICES</w:t>
      </w:r>
      <w:bookmarkEnd w:id="982"/>
      <w:bookmarkEnd w:id="983"/>
      <w:bookmarkEnd w:id="984"/>
    </w:p>
    <w:p w:rsidR="00023FE7" w:rsidRPr="00BB5519" w:rsidRDefault="00023FE7">
      <w:pPr>
        <w:rPr>
          <w:lang w:val="de-DE"/>
        </w:rPr>
      </w:pPr>
    </w:p>
    <w:p w:rsidR="00DD7F8E" w:rsidRPr="00BB5519" w:rsidRDefault="00DD7F8E" w:rsidP="00055FBB">
      <w:pPr>
        <w:ind w:right="90"/>
        <w:jc w:val="both"/>
        <w:rPr>
          <w:lang w:val="de-DE"/>
        </w:rPr>
      </w:pPr>
      <w:r w:rsidRPr="00BB5519">
        <w:rPr>
          <w:rFonts w:eastAsia="Times New Roman" w:cs="Tahoma"/>
          <w:szCs w:val="20"/>
          <w:lang w:val="de-DE"/>
        </w:rP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w:t>
      </w:r>
      <w:r w:rsidR="009E4976" w:rsidRPr="00BB5519">
        <w:rPr>
          <w:rFonts w:eastAsia="Times New Roman" w:cs="Tahoma"/>
          <w:szCs w:val="20"/>
          <w:lang w:val="de-DE"/>
        </w:rPr>
        <w:t xml:space="preserve"> </w:t>
      </w:r>
      <w:r w:rsidRPr="00BB5519">
        <w:rPr>
          <w:rFonts w:cs="Tahoma"/>
          <w:color w:val="000000"/>
          <w:szCs w:val="18"/>
          <w:lang w:val="de-DE"/>
        </w:rPr>
        <w:t>Falls der Volumenlizenzvertrag oder die allgemeinen Servicebestimmungen des Kunden keine Angaben zum Services-Eigentum und zur Lizenzierungssprache enthalten, gelten die unten unter „Zusätzliche Servicebestimmungen“ dargelegten Nutzungs-, Eigentums- und Lizenzrechte.</w:t>
      </w:r>
      <w:r w:rsidR="009E4976" w:rsidRPr="00BB5519">
        <w:rPr>
          <w:rFonts w:cs="Tahoma"/>
          <w:color w:val="000000"/>
          <w:szCs w:val="18"/>
          <w:lang w:val="de-DE"/>
        </w:rPr>
        <w:t xml:space="preserve"> </w:t>
      </w:r>
      <w:r w:rsidRPr="00BB5519">
        <w:rPr>
          <w:rFonts w:eastAsia="Times New Roman" w:cs="Tahoma"/>
          <w:szCs w:val="20"/>
          <w:lang w:val="de-DE"/>
        </w:rPr>
        <w:t>Falls der Kunde keine aktuelle Rahmen-Servicevereinbarung mit Microsoft besitzt, gelten alle Zusätzlichen Servicebestimmungen im Abschnitt unten.</w:t>
      </w:r>
    </w:p>
    <w:p w:rsidR="00DD7F8E" w:rsidRPr="00BB5519" w:rsidRDefault="00DD7F8E" w:rsidP="00607FE8">
      <w:pPr>
        <w:jc w:val="both"/>
        <w:rPr>
          <w:lang w:val="de-DE"/>
        </w:rPr>
      </w:pPr>
    </w:p>
    <w:p w:rsidR="00DD7F8E" w:rsidRPr="00BB5519" w:rsidRDefault="00DD7F8E" w:rsidP="00607FE8">
      <w:pPr>
        <w:spacing w:after="75"/>
        <w:rPr>
          <w:lang w:val="de-DE"/>
        </w:rPr>
      </w:pPr>
      <w:r w:rsidRPr="00BB5519">
        <w:rPr>
          <w:rFonts w:eastAsia="Times New Roman" w:cs="Tahoma"/>
          <w:szCs w:val="20"/>
          <w:lang w:val="de-DE"/>
        </w:rPr>
        <w:t xml:space="preserve">Die Abschnitte unten enthalten eine detaillierte Beschreibung der Services, die Kunden erwerben können. </w:t>
      </w:r>
    </w:p>
    <w:p w:rsidR="00DD7F8E" w:rsidRPr="00BB5519" w:rsidRDefault="00DD7F8E" w:rsidP="00607FE8">
      <w:pPr>
        <w:spacing w:after="75"/>
        <w:rPr>
          <w:lang w:val="de-DE"/>
        </w:rPr>
      </w:pPr>
      <w:r w:rsidRPr="00BB5519">
        <w:rPr>
          <w:rFonts w:eastAsia="Times New Roman" w:cs="Tahoma"/>
          <w:szCs w:val="20"/>
          <w:lang w:val="de-DE"/>
        </w:rP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rsidR="00F42FB8" w:rsidRPr="00BB5519" w:rsidRDefault="00F42FB8" w:rsidP="00DD7F8E">
      <w:pPr>
        <w:rPr>
          <w:lang w:val="de-DE"/>
        </w:rPr>
      </w:pPr>
    </w:p>
    <w:p w:rsidR="00DD7F8E" w:rsidRPr="00055FBB" w:rsidRDefault="00DD7F8E" w:rsidP="00DD7F8E">
      <w:pPr>
        <w:rPr>
          <w:b/>
          <w:sz w:val="24"/>
          <w:szCs w:val="24"/>
        </w:rPr>
      </w:pPr>
      <w:r w:rsidRPr="00BB5519">
        <w:rPr>
          <w:b/>
          <w:sz w:val="24"/>
          <w:szCs w:val="24"/>
        </w:rPr>
        <w:t>Microsoft Premier-Supportangebote</w:t>
      </w:r>
    </w:p>
    <w:p w:rsidR="00DB2D1E" w:rsidRPr="00BB5519" w:rsidRDefault="00DB2D1E" w:rsidP="00DC0853"/>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9"/>
        <w:gridCol w:w="1441"/>
        <w:gridCol w:w="1710"/>
        <w:gridCol w:w="1592"/>
        <w:gridCol w:w="1468"/>
      </w:tblGrid>
      <w:tr w:rsidR="00DB2D1E" w:rsidRPr="00BB5519" w:rsidTr="00FC1DE7">
        <w:tc>
          <w:tcPr>
            <w:tcW w:w="3149" w:type="dxa"/>
            <w:shd w:val="clear" w:color="auto" w:fill="FABF8F"/>
            <w:vAlign w:val="center"/>
          </w:tcPr>
          <w:p w:rsidR="00DB2D1E" w:rsidRPr="00BB5519" w:rsidRDefault="00D958B9" w:rsidP="00DE73D4">
            <w:pPr>
              <w:jc w:val="center"/>
              <w:rPr>
                <w:rFonts w:cs="Tahoma"/>
                <w:color w:val="000000"/>
                <w:szCs w:val="18"/>
              </w:rPr>
            </w:pPr>
            <w:r>
              <w:rPr>
                <w:rFonts w:cs="Tahoma"/>
                <w:b/>
                <w:bCs/>
                <w:color w:val="000000"/>
                <w:sz w:val="20"/>
                <w:szCs w:val="18"/>
              </w:rPr>
              <w:t>Bereich</w:t>
            </w:r>
            <w:r w:rsidR="00DB2D1E" w:rsidRPr="00BB5519">
              <w:rPr>
                <w:rFonts w:cs="Tahoma"/>
                <w:b/>
                <w:bCs/>
                <w:color w:val="000000"/>
                <w:sz w:val="20"/>
                <w:szCs w:val="18"/>
                <w:vertAlign w:val="superscript"/>
              </w:rPr>
              <w:t>1</w:t>
            </w:r>
          </w:p>
        </w:tc>
        <w:tc>
          <w:tcPr>
            <w:tcW w:w="1441" w:type="dxa"/>
            <w:shd w:val="clear" w:color="auto" w:fill="FABF8F"/>
            <w:vAlign w:val="center"/>
          </w:tcPr>
          <w:p w:rsidR="00DB2D1E" w:rsidRPr="00BB5519" w:rsidRDefault="00DB2D1E" w:rsidP="00DE73D4">
            <w:pPr>
              <w:jc w:val="center"/>
              <w:rPr>
                <w:rFonts w:cs="Tahoma"/>
                <w:color w:val="000000"/>
                <w:sz w:val="20"/>
                <w:szCs w:val="20"/>
              </w:rPr>
            </w:pPr>
            <w:r w:rsidRPr="00BB5519">
              <w:rPr>
                <w:rFonts w:cs="Tahoma"/>
                <w:b/>
                <w:bCs/>
                <w:color w:val="000000"/>
                <w:sz w:val="20"/>
                <w:szCs w:val="20"/>
              </w:rPr>
              <w:t>Premier Core</w:t>
            </w:r>
          </w:p>
        </w:tc>
        <w:tc>
          <w:tcPr>
            <w:tcW w:w="1710" w:type="dxa"/>
            <w:shd w:val="clear" w:color="auto" w:fill="FABF8F"/>
          </w:tcPr>
          <w:p w:rsidR="00DB2D1E" w:rsidRPr="00BB5519" w:rsidRDefault="00DB2D1E" w:rsidP="00DE73D4">
            <w:pPr>
              <w:jc w:val="center"/>
              <w:rPr>
                <w:rFonts w:cs="Tahoma"/>
                <w:b/>
                <w:bCs/>
                <w:color w:val="000000"/>
                <w:sz w:val="20"/>
                <w:szCs w:val="18"/>
              </w:rPr>
            </w:pPr>
            <w:r w:rsidRPr="00BB5519">
              <w:rPr>
                <w:rFonts w:cs="Tahoma"/>
                <w:b/>
                <w:bCs/>
                <w:color w:val="000000"/>
                <w:sz w:val="20"/>
                <w:szCs w:val="18"/>
              </w:rPr>
              <w:t>Premier Foundation</w:t>
            </w:r>
          </w:p>
        </w:tc>
        <w:tc>
          <w:tcPr>
            <w:tcW w:w="1592" w:type="dxa"/>
            <w:shd w:val="clear" w:color="auto" w:fill="FABF8F"/>
            <w:vAlign w:val="center"/>
          </w:tcPr>
          <w:p w:rsidR="00DB2D1E" w:rsidRPr="00BB5519" w:rsidRDefault="00DB2D1E" w:rsidP="00DE73D4">
            <w:pPr>
              <w:jc w:val="center"/>
              <w:rPr>
                <w:rFonts w:cs="Tahoma"/>
                <w:color w:val="000000"/>
                <w:szCs w:val="18"/>
              </w:rPr>
            </w:pPr>
            <w:r w:rsidRPr="00BB5519">
              <w:rPr>
                <w:rFonts w:cs="Tahoma"/>
                <w:b/>
                <w:bCs/>
                <w:color w:val="000000"/>
                <w:sz w:val="20"/>
                <w:szCs w:val="18"/>
              </w:rPr>
              <w:t>Premier Standard</w:t>
            </w:r>
          </w:p>
        </w:tc>
        <w:tc>
          <w:tcPr>
            <w:tcW w:w="1468" w:type="dxa"/>
            <w:shd w:val="clear" w:color="auto" w:fill="FABF8F"/>
            <w:vAlign w:val="center"/>
          </w:tcPr>
          <w:p w:rsidR="00DB2D1E" w:rsidRPr="00BB5519" w:rsidRDefault="00DB2D1E" w:rsidP="00DE73D4">
            <w:pPr>
              <w:jc w:val="center"/>
              <w:rPr>
                <w:rFonts w:cs="Tahoma"/>
                <w:color w:val="000000"/>
                <w:szCs w:val="18"/>
              </w:rPr>
            </w:pPr>
            <w:r w:rsidRPr="00BB5519">
              <w:rPr>
                <w:rFonts w:cs="Tahoma"/>
                <w:b/>
                <w:bCs/>
                <w:color w:val="000000"/>
                <w:sz w:val="20"/>
                <w:szCs w:val="18"/>
              </w:rPr>
              <w:t>Premier Plus</w:t>
            </w:r>
          </w:p>
        </w:tc>
      </w:tr>
      <w:tr w:rsidR="00DB2D1E" w:rsidRPr="00BB5519" w:rsidTr="00FC1DE7">
        <w:tc>
          <w:tcPr>
            <w:tcW w:w="3149" w:type="dxa"/>
            <w:vAlign w:val="center"/>
          </w:tcPr>
          <w:p w:rsidR="00DB2D1E" w:rsidRPr="00BB5519" w:rsidRDefault="00DB2D1E" w:rsidP="00DE73D4">
            <w:pPr>
              <w:rPr>
                <w:rFonts w:cs="Tahoma"/>
                <w:color w:val="000000"/>
                <w:szCs w:val="18"/>
              </w:rPr>
            </w:pPr>
            <w:r w:rsidRPr="00BB5519">
              <w:rPr>
                <w:rFonts w:cs="Tahoma"/>
                <w:color w:val="000000"/>
                <w:szCs w:val="18"/>
              </w:rPr>
              <w:t xml:space="preserve">Support Account Management </w:t>
            </w:r>
          </w:p>
        </w:tc>
        <w:tc>
          <w:tcPr>
            <w:tcW w:w="1441"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710"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592"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c>
          <w:tcPr>
            <w:tcW w:w="1468"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r>
      <w:tr w:rsidR="00DB2D1E" w:rsidRPr="00BB5519" w:rsidTr="00FC1DE7">
        <w:trPr>
          <w:trHeight w:val="512"/>
        </w:trPr>
        <w:tc>
          <w:tcPr>
            <w:tcW w:w="3149" w:type="dxa"/>
            <w:vAlign w:val="center"/>
          </w:tcPr>
          <w:p w:rsidR="00DB2D1E" w:rsidRPr="00BB5519" w:rsidRDefault="00DB2D1E" w:rsidP="00DE73D4">
            <w:pPr>
              <w:rPr>
                <w:rFonts w:cs="Tahoma"/>
                <w:color w:val="000000"/>
                <w:szCs w:val="18"/>
              </w:rPr>
            </w:pPr>
            <w:r w:rsidRPr="00BB5519">
              <w:rPr>
                <w:rFonts w:cs="Tahoma"/>
                <w:color w:val="000000"/>
                <w:szCs w:val="18"/>
              </w:rPr>
              <w:t>Accountprofilerstellung &amp; Berichterstattung</w:t>
            </w:r>
          </w:p>
        </w:tc>
        <w:tc>
          <w:tcPr>
            <w:tcW w:w="1441" w:type="dxa"/>
            <w:vAlign w:val="center"/>
          </w:tcPr>
          <w:p w:rsidR="00DB2D1E" w:rsidRPr="00BB5519" w:rsidRDefault="00DB2D1E" w:rsidP="00DE73D4">
            <w:pPr>
              <w:jc w:val="center"/>
              <w:rPr>
                <w:rFonts w:cs="Tahoma"/>
                <w:color w:val="000000"/>
                <w:szCs w:val="18"/>
              </w:rPr>
            </w:pPr>
            <w:r w:rsidRPr="00BB5519">
              <w:rPr>
                <w:rFonts w:cs="Tahoma"/>
                <w:color w:val="000000"/>
                <w:szCs w:val="18"/>
              </w:rPr>
              <w:t>Monatlich</w:t>
            </w:r>
          </w:p>
        </w:tc>
        <w:tc>
          <w:tcPr>
            <w:tcW w:w="1710" w:type="dxa"/>
            <w:vAlign w:val="center"/>
          </w:tcPr>
          <w:p w:rsidR="00DB2D1E" w:rsidRPr="00BB5519" w:rsidRDefault="00DB2D1E" w:rsidP="00DE73D4">
            <w:pPr>
              <w:jc w:val="center"/>
              <w:rPr>
                <w:rFonts w:cs="Tahoma"/>
                <w:color w:val="000000"/>
                <w:szCs w:val="18"/>
              </w:rPr>
            </w:pPr>
            <w:r w:rsidRPr="00BB5519">
              <w:rPr>
                <w:rFonts w:cs="Tahoma"/>
                <w:color w:val="000000"/>
                <w:szCs w:val="18"/>
              </w:rPr>
              <w:t>Monatlich</w:t>
            </w:r>
          </w:p>
        </w:tc>
        <w:tc>
          <w:tcPr>
            <w:tcW w:w="1592" w:type="dxa"/>
            <w:vAlign w:val="center"/>
          </w:tcPr>
          <w:p w:rsidR="00DB2D1E" w:rsidRPr="00BB5519" w:rsidRDefault="00DB2D1E" w:rsidP="00DE73D4">
            <w:pPr>
              <w:jc w:val="center"/>
              <w:rPr>
                <w:rFonts w:cs="Tahoma"/>
                <w:color w:val="000000"/>
                <w:szCs w:val="18"/>
              </w:rPr>
            </w:pPr>
            <w:r w:rsidRPr="00BB5519">
              <w:rPr>
                <w:rFonts w:cs="Tahoma"/>
                <w:color w:val="000000"/>
                <w:szCs w:val="18"/>
              </w:rPr>
              <w:t>Monatlich</w:t>
            </w:r>
          </w:p>
        </w:tc>
        <w:tc>
          <w:tcPr>
            <w:tcW w:w="1468" w:type="dxa"/>
            <w:vAlign w:val="center"/>
          </w:tcPr>
          <w:p w:rsidR="00DB2D1E" w:rsidRPr="00BB5519" w:rsidRDefault="00DB2D1E" w:rsidP="00DE73D4">
            <w:pPr>
              <w:jc w:val="center"/>
              <w:rPr>
                <w:rFonts w:cs="Tahoma"/>
                <w:color w:val="000000"/>
                <w:szCs w:val="18"/>
              </w:rPr>
            </w:pPr>
            <w:r w:rsidRPr="00BB5519">
              <w:rPr>
                <w:rFonts w:cs="Tahoma"/>
                <w:color w:val="000000"/>
                <w:szCs w:val="18"/>
              </w:rPr>
              <w:t>Monatlich</w:t>
            </w:r>
          </w:p>
        </w:tc>
      </w:tr>
      <w:tr w:rsidR="00DB2D1E" w:rsidRPr="00055FBB" w:rsidTr="00FC1DE7">
        <w:trPr>
          <w:trHeight w:val="1160"/>
        </w:trPr>
        <w:tc>
          <w:tcPr>
            <w:tcW w:w="3149" w:type="dxa"/>
            <w:vAlign w:val="center"/>
          </w:tcPr>
          <w:p w:rsidR="00DB2D1E" w:rsidRPr="00055FBB" w:rsidRDefault="00DB2D1E" w:rsidP="00DE73D4">
            <w:pPr>
              <w:rPr>
                <w:rFonts w:cs="Tahoma"/>
                <w:color w:val="000000"/>
                <w:szCs w:val="18"/>
                <w:lang w:val="de-DE"/>
              </w:rPr>
            </w:pPr>
            <w:r w:rsidRPr="00055FBB">
              <w:rPr>
                <w:rFonts w:cs="Tahoma"/>
                <w:color w:val="000000"/>
                <w:szCs w:val="18"/>
                <w:lang w:val="de-DE"/>
              </w:rPr>
              <w:t xml:space="preserve">Supportunterstützung </w:t>
            </w:r>
            <w:r w:rsidR="00055FBB" w:rsidRPr="00055FBB">
              <w:rPr>
                <w:rFonts w:cs="Tahoma"/>
                <w:color w:val="000000"/>
                <w:szCs w:val="18"/>
                <w:lang w:val="de-DE"/>
              </w:rPr>
              <w:br/>
            </w:r>
            <w:r w:rsidRPr="00055FBB">
              <w:rPr>
                <w:rFonts w:cs="Tahoma"/>
                <w:color w:val="000000"/>
                <w:szCs w:val="18"/>
                <w:lang w:val="de-DE"/>
              </w:rPr>
              <w:t>(jährlich zugeteilte Stunden)</w:t>
            </w:r>
          </w:p>
        </w:tc>
        <w:tc>
          <w:tcPr>
            <w:tcW w:w="1441" w:type="dxa"/>
            <w:vAlign w:val="center"/>
          </w:tcPr>
          <w:p w:rsidR="00DB2D1E" w:rsidRPr="00055FBB" w:rsidRDefault="00DB2D1E" w:rsidP="00DE73D4">
            <w:pPr>
              <w:jc w:val="center"/>
              <w:rPr>
                <w:rFonts w:cs="Tahoma"/>
                <w:color w:val="000000"/>
                <w:szCs w:val="18"/>
                <w:lang w:val="de-DE"/>
              </w:rPr>
            </w:pPr>
            <w:r w:rsidRPr="00055FBB">
              <w:rPr>
                <w:rFonts w:cs="Tahoma"/>
                <w:color w:val="000000"/>
                <w:szCs w:val="18"/>
                <w:lang w:val="de-DE"/>
              </w:rPr>
              <w:t>Bis zu 10 Stunden</w:t>
            </w:r>
          </w:p>
        </w:tc>
        <w:tc>
          <w:tcPr>
            <w:tcW w:w="1710" w:type="dxa"/>
          </w:tcPr>
          <w:p w:rsidR="00DB2D1E" w:rsidRPr="00BB5519" w:rsidRDefault="00DB2D1E" w:rsidP="00FC1DE7">
            <w:pPr>
              <w:jc w:val="center"/>
              <w:rPr>
                <w:rFonts w:cs="Tahoma"/>
                <w:color w:val="000000"/>
                <w:szCs w:val="18"/>
                <w:lang w:val="de-DE"/>
              </w:rPr>
            </w:pPr>
            <w:r w:rsidRPr="00BB5519">
              <w:rPr>
                <w:rFonts w:cs="Tahoma"/>
                <w:color w:val="000000"/>
                <w:szCs w:val="18"/>
                <w:lang w:val="de-DE"/>
              </w:rPr>
              <w:t xml:space="preserve">Bis zu 10 </w:t>
            </w:r>
            <w:r w:rsidR="00FC1DE7">
              <w:rPr>
                <w:rFonts w:cs="Tahoma"/>
                <w:color w:val="000000"/>
                <w:szCs w:val="18"/>
                <w:lang w:val="de-DE"/>
              </w:rPr>
              <w:br/>
            </w:r>
            <w:r w:rsidRPr="00BB5519">
              <w:rPr>
                <w:rFonts w:cs="Tahoma"/>
                <w:color w:val="000000"/>
                <w:szCs w:val="18"/>
                <w:lang w:val="de-DE"/>
              </w:rPr>
              <w:t>Stunden+ 1 Systemdiagnose</w:t>
            </w:r>
            <w:r w:rsidRPr="00BB5519">
              <w:rPr>
                <w:rFonts w:cs="Tahoma"/>
                <w:color w:val="000000"/>
                <w:szCs w:val="18"/>
                <w:lang w:val="de-DE"/>
              </w:rPr>
              <w:br/>
              <w:t>+ 1 Workshop</w:t>
            </w:r>
          </w:p>
        </w:tc>
        <w:tc>
          <w:tcPr>
            <w:tcW w:w="1592" w:type="dxa"/>
            <w:vAlign w:val="center"/>
          </w:tcPr>
          <w:p w:rsidR="00DB2D1E" w:rsidRPr="00055FBB" w:rsidRDefault="00DB2D1E" w:rsidP="00DE73D4">
            <w:pPr>
              <w:jc w:val="center"/>
              <w:rPr>
                <w:rFonts w:cs="Tahoma"/>
                <w:color w:val="000000"/>
                <w:szCs w:val="18"/>
                <w:lang w:val="de-DE"/>
              </w:rPr>
            </w:pPr>
            <w:r w:rsidRPr="00055FBB">
              <w:rPr>
                <w:rFonts w:cs="Tahoma"/>
                <w:color w:val="000000"/>
                <w:szCs w:val="18"/>
                <w:lang w:val="de-DE"/>
              </w:rPr>
              <w:t>Bis zu 120 Stunden</w:t>
            </w:r>
          </w:p>
        </w:tc>
        <w:tc>
          <w:tcPr>
            <w:tcW w:w="1468" w:type="dxa"/>
            <w:vAlign w:val="center"/>
          </w:tcPr>
          <w:p w:rsidR="00DB2D1E" w:rsidRPr="00055FBB" w:rsidRDefault="00DB2D1E" w:rsidP="00DE73D4">
            <w:pPr>
              <w:jc w:val="center"/>
              <w:rPr>
                <w:rFonts w:cs="Tahoma"/>
                <w:color w:val="000000"/>
                <w:szCs w:val="18"/>
                <w:lang w:val="de-DE"/>
              </w:rPr>
            </w:pPr>
            <w:r w:rsidRPr="00055FBB">
              <w:rPr>
                <w:rFonts w:cs="Tahoma"/>
                <w:color w:val="000000"/>
                <w:szCs w:val="18"/>
                <w:lang w:val="de-DE"/>
              </w:rPr>
              <w:t>Bis zu 160 Stunden</w:t>
            </w:r>
          </w:p>
        </w:tc>
      </w:tr>
      <w:tr w:rsidR="00DB2D1E" w:rsidRPr="00BB5519" w:rsidTr="00FC1DE7">
        <w:tc>
          <w:tcPr>
            <w:tcW w:w="3149" w:type="dxa"/>
            <w:vAlign w:val="center"/>
          </w:tcPr>
          <w:p w:rsidR="00DB2D1E" w:rsidRPr="00FC1DE7" w:rsidRDefault="00DB2D1E" w:rsidP="00055FBB">
            <w:pPr>
              <w:rPr>
                <w:rFonts w:cs="Tahoma"/>
                <w:color w:val="000000"/>
                <w:szCs w:val="18"/>
                <w:lang w:val="de-DE"/>
              </w:rPr>
            </w:pPr>
            <w:r w:rsidRPr="00055FBB">
              <w:rPr>
                <w:rFonts w:cs="Tahoma"/>
                <w:color w:val="000000"/>
                <w:szCs w:val="18"/>
                <w:lang w:val="de-DE"/>
              </w:rPr>
              <w:t>Problembehebungssupp</w:t>
            </w:r>
            <w:r w:rsidRPr="00FC1DE7">
              <w:rPr>
                <w:rFonts w:cs="Tahoma"/>
                <w:color w:val="000000"/>
                <w:szCs w:val="18"/>
                <w:lang w:val="de-DE"/>
              </w:rPr>
              <w:t>ort (jährlich</w:t>
            </w:r>
            <w:r w:rsidR="00055FBB" w:rsidRPr="00FC1DE7">
              <w:rPr>
                <w:rFonts w:cs="Tahoma"/>
                <w:color w:val="000000"/>
                <w:szCs w:val="18"/>
                <w:lang w:val="de-DE"/>
              </w:rPr>
              <w:t> </w:t>
            </w:r>
            <w:r w:rsidRPr="00FC1DE7">
              <w:rPr>
                <w:rFonts w:cs="Tahoma"/>
                <w:color w:val="000000"/>
                <w:szCs w:val="18"/>
                <w:lang w:val="de-DE"/>
              </w:rPr>
              <w:t>zugeteilt)</w:t>
            </w:r>
          </w:p>
        </w:tc>
        <w:tc>
          <w:tcPr>
            <w:tcW w:w="1441" w:type="dxa"/>
            <w:vAlign w:val="center"/>
          </w:tcPr>
          <w:p w:rsidR="00DB2D1E" w:rsidRPr="00FC1DE7" w:rsidRDefault="00DB2D1E" w:rsidP="00DE73D4">
            <w:pPr>
              <w:jc w:val="center"/>
              <w:rPr>
                <w:rFonts w:cs="Tahoma"/>
                <w:color w:val="000000"/>
                <w:szCs w:val="18"/>
                <w:lang w:val="de-DE"/>
              </w:rPr>
            </w:pPr>
            <w:r w:rsidRPr="00FC1DE7">
              <w:rPr>
                <w:rFonts w:cs="Tahoma"/>
                <w:color w:val="000000"/>
                <w:szCs w:val="18"/>
                <w:lang w:val="de-DE"/>
              </w:rPr>
              <w:t>Bis zu 40 Stunden</w:t>
            </w:r>
          </w:p>
        </w:tc>
        <w:tc>
          <w:tcPr>
            <w:tcW w:w="1710" w:type="dxa"/>
          </w:tcPr>
          <w:p w:rsidR="00DB2D1E" w:rsidRPr="00FC1DE7" w:rsidRDefault="00DB2D1E" w:rsidP="00DE73D4">
            <w:pPr>
              <w:spacing w:before="120"/>
              <w:jc w:val="center"/>
              <w:rPr>
                <w:rFonts w:cs="Tahoma"/>
                <w:color w:val="000000"/>
                <w:szCs w:val="18"/>
                <w:lang w:val="de-DE"/>
              </w:rPr>
            </w:pPr>
            <w:r w:rsidRPr="00FC1DE7">
              <w:rPr>
                <w:rFonts w:cs="Tahoma"/>
                <w:color w:val="000000"/>
                <w:szCs w:val="18"/>
                <w:lang w:val="de-DE"/>
              </w:rPr>
              <w:t>Bis zu 30 Stunden</w:t>
            </w:r>
          </w:p>
        </w:tc>
        <w:tc>
          <w:tcPr>
            <w:tcW w:w="1592" w:type="dxa"/>
            <w:vAlign w:val="center"/>
          </w:tcPr>
          <w:p w:rsidR="00DB2D1E" w:rsidRPr="00BB5519" w:rsidRDefault="00DB2D1E" w:rsidP="00DE73D4">
            <w:pPr>
              <w:jc w:val="center"/>
              <w:rPr>
                <w:rFonts w:cs="Tahoma"/>
                <w:color w:val="000000"/>
                <w:szCs w:val="18"/>
              </w:rPr>
            </w:pPr>
            <w:r w:rsidRPr="00FC1DE7">
              <w:rPr>
                <w:rFonts w:cs="Tahoma"/>
                <w:color w:val="000000"/>
                <w:szCs w:val="18"/>
                <w:lang w:val="de-DE"/>
              </w:rPr>
              <w:t xml:space="preserve">Bis zu </w:t>
            </w:r>
            <w:r w:rsidRPr="00BB5519">
              <w:rPr>
                <w:rFonts w:cs="Tahoma"/>
                <w:color w:val="000000"/>
                <w:szCs w:val="18"/>
              </w:rPr>
              <w:t>80 Stunden</w:t>
            </w:r>
          </w:p>
        </w:tc>
        <w:tc>
          <w:tcPr>
            <w:tcW w:w="1468" w:type="dxa"/>
            <w:vAlign w:val="center"/>
          </w:tcPr>
          <w:p w:rsidR="00DB2D1E" w:rsidRPr="00BB5519" w:rsidRDefault="00DB2D1E" w:rsidP="00DE73D4">
            <w:pPr>
              <w:jc w:val="center"/>
              <w:rPr>
                <w:rFonts w:cs="Tahoma"/>
                <w:color w:val="000000"/>
                <w:szCs w:val="18"/>
              </w:rPr>
            </w:pPr>
            <w:r w:rsidRPr="00BB5519">
              <w:rPr>
                <w:rFonts w:cs="Tahoma"/>
                <w:color w:val="000000"/>
                <w:szCs w:val="18"/>
              </w:rPr>
              <w:t>Bis zu 140 Stunden</w:t>
            </w:r>
          </w:p>
        </w:tc>
      </w:tr>
      <w:tr w:rsidR="00DB2D1E" w:rsidRPr="00BB5519" w:rsidTr="00FC1DE7">
        <w:trPr>
          <w:trHeight w:val="782"/>
        </w:trPr>
        <w:tc>
          <w:tcPr>
            <w:tcW w:w="3149" w:type="dxa"/>
            <w:vAlign w:val="center"/>
          </w:tcPr>
          <w:p w:rsidR="00DB2D1E" w:rsidRPr="00BB5519" w:rsidRDefault="00DB2D1E" w:rsidP="00DE73D4">
            <w:pPr>
              <w:rPr>
                <w:rFonts w:cs="Tahoma"/>
                <w:color w:val="000000"/>
                <w:szCs w:val="18"/>
                <w:lang w:val="de-DE"/>
              </w:rPr>
            </w:pPr>
            <w:r w:rsidRPr="00BB5519">
              <w:rPr>
                <w:rFonts w:cs="Tahoma"/>
                <w:color w:val="000000"/>
                <w:szCs w:val="18"/>
                <w:lang w:val="de-DE"/>
              </w:rPr>
              <w:t>Eskalationsverwaltung für kritische Situationen rund um die Uhr (Schweregrad 1)</w:t>
            </w:r>
          </w:p>
        </w:tc>
        <w:tc>
          <w:tcPr>
            <w:tcW w:w="1441"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710"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592"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c>
          <w:tcPr>
            <w:tcW w:w="1468"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r>
      <w:tr w:rsidR="00DB2D1E" w:rsidRPr="00BB5519" w:rsidTr="00FC1DE7">
        <w:tc>
          <w:tcPr>
            <w:tcW w:w="3149" w:type="dxa"/>
            <w:vAlign w:val="center"/>
          </w:tcPr>
          <w:p w:rsidR="00DB2D1E" w:rsidRPr="00BB5519" w:rsidRDefault="00DB2D1E" w:rsidP="00DE73D4">
            <w:pPr>
              <w:rPr>
                <w:rFonts w:cs="Tahoma"/>
                <w:color w:val="000000"/>
                <w:szCs w:val="18"/>
              </w:rPr>
            </w:pPr>
            <w:r w:rsidRPr="00BB5519">
              <w:rPr>
                <w:rFonts w:cs="Tahoma"/>
                <w:color w:val="000000"/>
                <w:szCs w:val="18"/>
              </w:rPr>
              <w:t>Schneller Support vor Ort</w:t>
            </w:r>
          </w:p>
        </w:tc>
        <w:tc>
          <w:tcPr>
            <w:tcW w:w="1441"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710"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592"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c>
          <w:tcPr>
            <w:tcW w:w="1468"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r>
      <w:tr w:rsidR="00DB2D1E" w:rsidRPr="00BB5519" w:rsidTr="00FC1DE7">
        <w:tc>
          <w:tcPr>
            <w:tcW w:w="3149" w:type="dxa"/>
            <w:vAlign w:val="center"/>
          </w:tcPr>
          <w:p w:rsidR="00DB2D1E" w:rsidRPr="00BB5519" w:rsidRDefault="00DB2D1E" w:rsidP="00DE73D4">
            <w:pPr>
              <w:rPr>
                <w:rFonts w:cs="Tahoma"/>
                <w:color w:val="000000"/>
                <w:szCs w:val="18"/>
              </w:rPr>
            </w:pPr>
            <w:r w:rsidRPr="00BB5519">
              <w:rPr>
                <w:rFonts w:cs="Tahoma"/>
                <w:color w:val="000000"/>
                <w:szCs w:val="18"/>
              </w:rPr>
              <w:t>Proaktive Informationsdienste</w:t>
            </w:r>
          </w:p>
        </w:tc>
        <w:tc>
          <w:tcPr>
            <w:tcW w:w="1441"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710"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592"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c>
          <w:tcPr>
            <w:tcW w:w="1468"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r>
      <w:tr w:rsidR="00DB2D1E" w:rsidRPr="00BB5519" w:rsidTr="00FC1DE7">
        <w:tc>
          <w:tcPr>
            <w:tcW w:w="3149" w:type="dxa"/>
            <w:vAlign w:val="center"/>
          </w:tcPr>
          <w:p w:rsidR="00DB2D1E" w:rsidRPr="00BB5519" w:rsidRDefault="00DB2D1E" w:rsidP="00DE73D4">
            <w:pPr>
              <w:rPr>
                <w:rFonts w:cs="Tahoma"/>
                <w:color w:val="000000"/>
                <w:szCs w:val="18"/>
              </w:rPr>
            </w:pPr>
            <w:r w:rsidRPr="00BB5519">
              <w:rPr>
                <w:rFonts w:cs="Tahoma"/>
                <w:color w:val="000000"/>
                <w:szCs w:val="18"/>
              </w:rPr>
              <w:t>Microsoft Premier Online</w:t>
            </w:r>
          </w:p>
        </w:tc>
        <w:tc>
          <w:tcPr>
            <w:tcW w:w="1441"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710" w:type="dxa"/>
            <w:vAlign w:val="center"/>
          </w:tcPr>
          <w:p w:rsidR="00DB2D1E" w:rsidRPr="00BB5519" w:rsidRDefault="00DB2D1E" w:rsidP="00DE73D4">
            <w:pPr>
              <w:jc w:val="center"/>
              <w:rPr>
                <w:rFonts w:cs="Tahoma"/>
                <w:color w:val="000000"/>
                <w:szCs w:val="18"/>
              </w:rPr>
            </w:pPr>
            <w:r w:rsidRPr="00BB5519">
              <w:rPr>
                <w:rFonts w:ascii="MS UI Gothic" w:eastAsia="MS UI Gothic" w:hAnsi="MS UI Gothic" w:cs="MS UI Gothic"/>
                <w:color w:val="000000"/>
                <w:szCs w:val="18"/>
              </w:rPr>
              <w:t>✓</w:t>
            </w:r>
          </w:p>
        </w:tc>
        <w:tc>
          <w:tcPr>
            <w:tcW w:w="1592"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c>
          <w:tcPr>
            <w:tcW w:w="1468" w:type="dxa"/>
            <w:vAlign w:val="center"/>
          </w:tcPr>
          <w:p w:rsidR="00DB2D1E" w:rsidRPr="00BB5519" w:rsidRDefault="00DB2D1E" w:rsidP="00DE73D4">
            <w:pPr>
              <w:jc w:val="center"/>
              <w:rPr>
                <w:rFonts w:cs="Tahoma"/>
                <w:color w:val="000000"/>
                <w:szCs w:val="18"/>
              </w:rPr>
            </w:pPr>
            <w:r w:rsidRPr="00BB5519">
              <w:rPr>
                <w:rFonts w:cs="Tahoma"/>
                <w:color w:val="000000"/>
                <w:szCs w:val="18"/>
              </w:rPr>
              <w:t>√</w:t>
            </w:r>
          </w:p>
        </w:tc>
      </w:tr>
      <w:tr w:rsidR="00DB2D1E" w:rsidRPr="00BB5519" w:rsidTr="00FC1DE7">
        <w:tc>
          <w:tcPr>
            <w:tcW w:w="3149" w:type="dxa"/>
            <w:vAlign w:val="center"/>
          </w:tcPr>
          <w:p w:rsidR="00DB2D1E" w:rsidRPr="00BB5519" w:rsidRDefault="00DB2D1E" w:rsidP="00DE73D4">
            <w:pPr>
              <w:rPr>
                <w:rFonts w:cs="Tahoma"/>
                <w:color w:val="000000"/>
                <w:szCs w:val="18"/>
              </w:rPr>
            </w:pPr>
            <w:r w:rsidRPr="00BB5519">
              <w:rPr>
                <w:rFonts w:cs="Tahoma"/>
                <w:color w:val="000000"/>
                <w:szCs w:val="18"/>
              </w:rPr>
              <w:t xml:space="preserve">Zusätzliche Stunden </w:t>
            </w:r>
          </w:p>
        </w:tc>
        <w:tc>
          <w:tcPr>
            <w:tcW w:w="1441" w:type="dxa"/>
            <w:vAlign w:val="center"/>
          </w:tcPr>
          <w:p w:rsidR="00DB2D1E" w:rsidRPr="00BB5519" w:rsidRDefault="00DB2D1E" w:rsidP="00055FBB">
            <w:pPr>
              <w:jc w:val="center"/>
              <w:rPr>
                <w:rFonts w:cs="Tahoma"/>
                <w:color w:val="000000"/>
                <w:szCs w:val="18"/>
              </w:rPr>
            </w:pPr>
            <w:r w:rsidRPr="00BB5519">
              <w:rPr>
                <w:rFonts w:cs="Tahoma"/>
                <w:color w:val="000000"/>
                <w:szCs w:val="18"/>
              </w:rPr>
              <w:t>20 Stunden pro</w:t>
            </w:r>
            <w:r w:rsidR="00055FBB">
              <w:rPr>
                <w:rFonts w:cs="Tahoma"/>
                <w:color w:val="000000"/>
                <w:szCs w:val="18"/>
              </w:rPr>
              <w:t> </w:t>
            </w:r>
            <w:r w:rsidRPr="00BB5519">
              <w:rPr>
                <w:rFonts w:cs="Tahoma"/>
                <w:color w:val="000000"/>
                <w:szCs w:val="18"/>
              </w:rPr>
              <w:t>Paket</w:t>
            </w:r>
          </w:p>
        </w:tc>
        <w:tc>
          <w:tcPr>
            <w:tcW w:w="1710" w:type="dxa"/>
            <w:vAlign w:val="center"/>
          </w:tcPr>
          <w:p w:rsidR="00DB2D1E" w:rsidRPr="00BB5519" w:rsidRDefault="00DB2D1E" w:rsidP="00055FBB">
            <w:pPr>
              <w:jc w:val="center"/>
              <w:rPr>
                <w:rFonts w:cs="Tahoma"/>
                <w:color w:val="000000"/>
                <w:szCs w:val="18"/>
              </w:rPr>
            </w:pPr>
            <w:r w:rsidRPr="00BB5519">
              <w:rPr>
                <w:rFonts w:cs="Tahoma"/>
                <w:color w:val="000000"/>
                <w:szCs w:val="18"/>
              </w:rPr>
              <w:t>20 Stunden pro</w:t>
            </w:r>
            <w:r w:rsidR="00055FBB">
              <w:rPr>
                <w:rFonts w:cs="Tahoma"/>
                <w:color w:val="000000"/>
                <w:szCs w:val="18"/>
              </w:rPr>
              <w:t> </w:t>
            </w:r>
            <w:r w:rsidRPr="00BB5519">
              <w:rPr>
                <w:rFonts w:cs="Tahoma"/>
                <w:color w:val="000000"/>
                <w:szCs w:val="18"/>
              </w:rPr>
              <w:t>Paket</w:t>
            </w:r>
          </w:p>
        </w:tc>
        <w:tc>
          <w:tcPr>
            <w:tcW w:w="1592" w:type="dxa"/>
            <w:vAlign w:val="center"/>
          </w:tcPr>
          <w:p w:rsidR="00DB2D1E" w:rsidRPr="00BB5519" w:rsidRDefault="00DB2D1E" w:rsidP="00055FBB">
            <w:pPr>
              <w:jc w:val="center"/>
              <w:rPr>
                <w:rFonts w:cs="Tahoma"/>
                <w:color w:val="000000"/>
                <w:szCs w:val="18"/>
              </w:rPr>
            </w:pPr>
            <w:r w:rsidRPr="00BB5519">
              <w:rPr>
                <w:rFonts w:cs="Tahoma"/>
                <w:color w:val="000000"/>
                <w:szCs w:val="18"/>
              </w:rPr>
              <w:t>20 Stunden pro</w:t>
            </w:r>
            <w:r w:rsidR="00055FBB">
              <w:rPr>
                <w:rFonts w:cs="Tahoma"/>
                <w:color w:val="000000"/>
                <w:szCs w:val="18"/>
              </w:rPr>
              <w:t> </w:t>
            </w:r>
            <w:r w:rsidRPr="00BB5519">
              <w:rPr>
                <w:rFonts w:cs="Tahoma"/>
                <w:color w:val="000000"/>
                <w:szCs w:val="18"/>
              </w:rPr>
              <w:t>Paket</w:t>
            </w:r>
          </w:p>
        </w:tc>
        <w:tc>
          <w:tcPr>
            <w:tcW w:w="1468" w:type="dxa"/>
            <w:vAlign w:val="center"/>
          </w:tcPr>
          <w:p w:rsidR="00DB2D1E" w:rsidRPr="00BB5519" w:rsidRDefault="00DB2D1E" w:rsidP="00055FBB">
            <w:pPr>
              <w:jc w:val="center"/>
              <w:rPr>
                <w:rFonts w:cs="Tahoma"/>
                <w:color w:val="000000"/>
                <w:szCs w:val="18"/>
              </w:rPr>
            </w:pPr>
            <w:r w:rsidRPr="00BB5519">
              <w:rPr>
                <w:rFonts w:cs="Tahoma"/>
                <w:color w:val="000000"/>
                <w:szCs w:val="18"/>
              </w:rPr>
              <w:t>20 Stunden pro</w:t>
            </w:r>
            <w:r w:rsidR="00055FBB">
              <w:rPr>
                <w:rFonts w:cs="Tahoma"/>
                <w:color w:val="000000"/>
                <w:szCs w:val="18"/>
              </w:rPr>
              <w:t> </w:t>
            </w:r>
            <w:r w:rsidRPr="00BB5519">
              <w:rPr>
                <w:rFonts w:cs="Tahoma"/>
                <w:color w:val="000000"/>
                <w:szCs w:val="18"/>
              </w:rPr>
              <w:t>Paket</w:t>
            </w:r>
          </w:p>
        </w:tc>
      </w:tr>
    </w:tbl>
    <w:p w:rsidR="00DB2D1E" w:rsidRPr="00BB5519" w:rsidRDefault="00DB2D1E" w:rsidP="00DB2D1E">
      <w:pPr>
        <w:pStyle w:val="tableclose"/>
        <w:tabs>
          <w:tab w:val="left" w:pos="810"/>
        </w:tabs>
        <w:ind w:left="810" w:hanging="720"/>
        <w:rPr>
          <w:lang w:val="de-DE"/>
        </w:rPr>
      </w:pPr>
      <w:r w:rsidRPr="00BB5519">
        <w:rPr>
          <w:rFonts w:ascii="Tahoma" w:hAnsi="Tahoma" w:cs="Tahoma"/>
          <w:i/>
          <w:color w:val="000000"/>
          <w:sz w:val="16"/>
          <w:szCs w:val="16"/>
          <w:vertAlign w:val="superscript"/>
          <w:lang w:val="de-DE"/>
        </w:rPr>
        <w:t xml:space="preserve"> 1</w:t>
      </w:r>
      <w:r w:rsidRPr="00BB5519">
        <w:rPr>
          <w:rFonts w:ascii="Tahoma" w:hAnsi="Tahoma" w:cs="Tahoma"/>
          <w:i/>
          <w:color w:val="000000"/>
          <w:sz w:val="16"/>
          <w:szCs w:val="16"/>
          <w:lang w:val="de-DE"/>
        </w:rPr>
        <w:t xml:space="preserve"> Die Geschäftszeiten sind lokal festgelegt.</w:t>
      </w:r>
    </w:p>
    <w:p w:rsidR="00DB2D1E" w:rsidRPr="00BB5519" w:rsidRDefault="00DB2D1E" w:rsidP="00F42FB8">
      <w:pPr>
        <w:pStyle w:val="BodyText2"/>
        <w:spacing w:after="0" w:line="240" w:lineRule="auto"/>
        <w:rPr>
          <w:lang w:val="de-DE"/>
        </w:rPr>
      </w:pPr>
    </w:p>
    <w:p w:rsidR="00DB2D1E" w:rsidRPr="00BB5519" w:rsidRDefault="00DB2D1E" w:rsidP="00CA52FE">
      <w:pPr>
        <w:pStyle w:val="BodyText2"/>
        <w:spacing w:after="0" w:line="240" w:lineRule="auto"/>
        <w:rPr>
          <w:lang w:val="de-DE"/>
        </w:rPr>
      </w:pPr>
      <w:r w:rsidRPr="00BB5519">
        <w:rPr>
          <w:rFonts w:ascii="Tahoma" w:hAnsi="Tahoma" w:cs="Tahoma"/>
          <w:b/>
          <w:bCs/>
          <w:color w:val="000000"/>
          <w:sz w:val="18"/>
          <w:szCs w:val="18"/>
          <w:lang w:val="de-DE"/>
        </w:rPr>
        <w:t>Supportaccountverwaltung</w:t>
      </w:r>
      <w:r w:rsidRPr="00610C3F">
        <w:rPr>
          <w:rFonts w:ascii="Tahoma" w:hAnsi="Tahoma" w:cs="Tahoma"/>
          <w:b/>
          <w:bCs/>
          <w:color w:val="000000"/>
          <w:sz w:val="18"/>
          <w:szCs w:val="18"/>
          <w:lang w:val="de-DE"/>
        </w:rPr>
        <w:t xml:space="preserve"> </w:t>
      </w:r>
      <w:r w:rsidRPr="00BB5519">
        <w:rPr>
          <w:rFonts w:ascii="Tahoma" w:hAnsi="Tahoma" w:cs="Tahoma"/>
          <w:color w:val="000000"/>
          <w:sz w:val="18"/>
          <w:szCs w:val="18"/>
          <w:lang w:val="de-DE"/>
        </w:rPr>
        <w:t xml:space="preserve">hilft, Beziehungen zum Management- und Diensterbringungspersonal des Kunden aufzubauen und aufrechtzuerhalten, und unterstützt den Kunden dabei, jedes Element seines Service-Plans so zu arrangieren, dass die Geschäftsanforderungen erfüllt werden. </w:t>
      </w:r>
    </w:p>
    <w:p w:rsidR="00CA52FE" w:rsidRPr="00BB5519" w:rsidRDefault="00CA52FE" w:rsidP="00CA52FE">
      <w:pPr>
        <w:pStyle w:val="BodyText2"/>
        <w:spacing w:after="0" w:line="240" w:lineRule="auto"/>
        <w:rPr>
          <w:lang w:val="de-DE"/>
        </w:rPr>
      </w:pPr>
    </w:p>
    <w:p w:rsidR="00DB2D1E" w:rsidRPr="00BB5519" w:rsidRDefault="00DB2D1E" w:rsidP="00CA52FE">
      <w:pPr>
        <w:jc w:val="both"/>
        <w:rPr>
          <w:lang w:val="de-DE"/>
        </w:rPr>
      </w:pPr>
      <w:r w:rsidRPr="00BB5519">
        <w:rPr>
          <w:rFonts w:cs="Tahoma"/>
          <w:b/>
          <w:bCs/>
          <w:color w:val="000000"/>
          <w:szCs w:val="18"/>
          <w:lang w:val="de-DE"/>
        </w:rPr>
        <w:t xml:space="preserve">Supportunterstützung </w:t>
      </w:r>
      <w:r w:rsidRPr="00BB5519">
        <w:rPr>
          <w:rFonts w:cs="Tahoma"/>
          <w:color w:val="000000"/>
          <w:szCs w:val="18"/>
          <w:lang w:val="de-DE"/>
        </w:rPr>
        <w:t>bietet kurzfristige Ratschläge und Hilfestellung (basierend auf verfügbaren Microsoft-Ressourcen) für Probleme, die nicht durch den Problembehebungssupport abgedeckt sind, einschließlich der Unterstützung bei Design-, Entwicklungs- und Bereitstellungsproblemen.</w:t>
      </w:r>
    </w:p>
    <w:p w:rsidR="00CA52FE" w:rsidRPr="00BB5519" w:rsidRDefault="00CA52FE" w:rsidP="00CA52FE">
      <w:pPr>
        <w:jc w:val="both"/>
        <w:rPr>
          <w:lang w:val="de-DE"/>
        </w:rPr>
      </w:pPr>
    </w:p>
    <w:p w:rsidR="00676723" w:rsidRPr="00BB5519" w:rsidRDefault="00DB2D1E" w:rsidP="00610C3F">
      <w:pPr>
        <w:rPr>
          <w:lang w:val="de-DE"/>
        </w:rPr>
      </w:pPr>
      <w:r w:rsidRPr="00BB5519">
        <w:rPr>
          <w:rFonts w:cs="Tahoma"/>
          <w:b/>
          <w:bCs/>
          <w:color w:val="000000"/>
          <w:szCs w:val="18"/>
          <w:lang w:val="de-DE"/>
        </w:rPr>
        <w:t xml:space="preserve">Problembehebungssupport </w:t>
      </w:r>
      <w:r w:rsidRPr="00BB5519">
        <w:rPr>
          <w:rFonts w:cs="Tahoma"/>
          <w:color w:val="000000"/>
          <w:szCs w:val="18"/>
          <w:lang w:val="de-DE"/>
        </w:rPr>
        <w:t>bietet Unterstützung für Probleme mit bestimmten Symptomen, die bei der Verwendung von Microsoft-Produkten aufgetreten sind, wenn eine vernünftige Erwartung besteht, dass das Problem</w:t>
      </w:r>
      <w:r w:rsidR="00610C3F">
        <w:rPr>
          <w:rFonts w:cs="Tahoma"/>
          <w:color w:val="000000"/>
          <w:szCs w:val="18"/>
          <w:lang w:val="de-DE"/>
        </w:rPr>
        <w:t> </w:t>
      </w:r>
      <w:r w:rsidRPr="00BB5519">
        <w:rPr>
          <w:rFonts w:cs="Tahoma"/>
          <w:color w:val="000000"/>
          <w:szCs w:val="18"/>
          <w:lang w:val="de-DE"/>
        </w:rPr>
        <w:t>von Microsoft-Produkten verursacht wird.</w:t>
      </w:r>
    </w:p>
    <w:p w:rsidR="00676723" w:rsidRPr="00BB5519" w:rsidRDefault="00676723">
      <w:pPr>
        <w:rPr>
          <w:lang w:val="de-DE"/>
        </w:rPr>
      </w:pPr>
      <w:r w:rsidRPr="00BB5519">
        <w:rPr>
          <w:rFonts w:cs="Tahoma"/>
          <w:color w:val="000000"/>
          <w:szCs w:val="18"/>
          <w:lang w:val="de-DE"/>
        </w:rPr>
        <w:br w:type="page"/>
      </w:r>
    </w:p>
    <w:p w:rsidR="00DB2D1E" w:rsidRPr="00BB5519" w:rsidRDefault="00DB2D1E" w:rsidP="00CA52FE">
      <w:pPr>
        <w:rPr>
          <w:lang w:val="de-DE"/>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BB5519"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BB5519" w:rsidRDefault="001C1727" w:rsidP="00DE73D4">
            <w:pPr>
              <w:pStyle w:val="tableclose"/>
              <w:spacing w:line="276" w:lineRule="auto"/>
              <w:rPr>
                <w:rFonts w:ascii="Tahoma" w:hAnsi="Tahoma" w:cs="Tahoma"/>
                <w:b/>
                <w:color w:val="000000"/>
              </w:rPr>
            </w:pPr>
            <w:r w:rsidRPr="00BB5519">
              <w:rPr>
                <w:rFonts w:cs="Tahoma"/>
                <w:color w:val="000000"/>
                <w:sz w:val="6"/>
                <w:lang w:val="de-DE"/>
              </w:rPr>
              <w:br w:type="page"/>
            </w:r>
            <w:r w:rsidRPr="00BB5519">
              <w:rPr>
                <w:rFonts w:ascii="Tahoma" w:hAnsi="Tahoma" w:cs="Tahoma"/>
                <w:b/>
                <w:color w:val="000000"/>
              </w:rPr>
              <w:t>Schweregrad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B5519" w:rsidRDefault="00DB2D1E" w:rsidP="00DE73D4">
            <w:pPr>
              <w:pStyle w:val="tableclose"/>
              <w:spacing w:line="276" w:lineRule="auto"/>
              <w:rPr>
                <w:rFonts w:ascii="Tahoma" w:hAnsi="Tahoma" w:cs="Tahoma"/>
                <w:b/>
                <w:color w:val="000000"/>
              </w:rPr>
            </w:pPr>
            <w:r w:rsidRPr="00BB5519">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B5519" w:rsidRDefault="00DB2D1E" w:rsidP="00DE73D4">
            <w:pPr>
              <w:pStyle w:val="tableclose"/>
              <w:spacing w:line="276" w:lineRule="auto"/>
              <w:rPr>
                <w:rFonts w:ascii="Tahoma" w:hAnsi="Tahoma" w:cs="Tahoma"/>
                <w:b/>
                <w:color w:val="000000"/>
              </w:rPr>
            </w:pPr>
            <w:r w:rsidRPr="00BB5519">
              <w:rPr>
                <w:rFonts w:ascii="Tahoma" w:hAnsi="Tahoma" w:cs="Tahoma"/>
                <w:b/>
                <w:color w:val="000000"/>
              </w:rPr>
              <w:t>Unsere erwartete Reaktion</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BB5519" w:rsidRDefault="00DB2D1E" w:rsidP="00DE73D4">
            <w:pPr>
              <w:pStyle w:val="tableclose"/>
              <w:spacing w:line="276" w:lineRule="auto"/>
              <w:rPr>
                <w:rFonts w:ascii="Tahoma" w:hAnsi="Tahoma" w:cs="Tahoma"/>
                <w:b/>
                <w:color w:val="000000"/>
              </w:rPr>
            </w:pPr>
            <w:r w:rsidRPr="00BB5519">
              <w:rPr>
                <w:rFonts w:ascii="Tahoma" w:hAnsi="Tahoma" w:cs="Tahoma"/>
                <w:b/>
                <w:color w:val="000000"/>
              </w:rPr>
              <w:t>Vom Kunden erwartete Reaktion</w:t>
            </w:r>
          </w:p>
        </w:tc>
      </w:tr>
      <w:tr w:rsidR="00DB2D1E" w:rsidRPr="00D244F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BB5519" w:rsidRDefault="00DB2D1E" w:rsidP="00DE73D4">
            <w:pPr>
              <w:pStyle w:val="tableclose"/>
              <w:spacing w:line="276" w:lineRule="auto"/>
              <w:rPr>
                <w:rFonts w:ascii="Tahoma" w:hAnsi="Tahoma" w:cs="Tahoma"/>
                <w:color w:val="000000"/>
                <w:sz w:val="18"/>
                <w:szCs w:val="18"/>
              </w:rPr>
            </w:pPr>
            <w:r w:rsidRPr="00BB5519">
              <w:rPr>
                <w:rFonts w:ascii="Tahoma" w:hAnsi="Tahoma" w:cs="Tahoma"/>
                <w:color w:val="000000"/>
                <w:sz w:val="18"/>
                <w:szCs w:val="18"/>
              </w:rPr>
              <w:t>1.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2C1048">
            <w:pPr>
              <w:pStyle w:val="ListBullet3"/>
              <w:numPr>
                <w:ilvl w:val="0"/>
                <w:numId w:val="78"/>
              </w:numPr>
              <w:spacing w:line="276" w:lineRule="auto"/>
              <w:rPr>
                <w:lang w:val="de-DE"/>
              </w:rPr>
            </w:pPr>
            <w:r w:rsidRPr="00BB5519">
              <w:rPr>
                <w:rFonts w:ascii="Tahoma" w:hAnsi="Tahoma" w:cs="Tahoma"/>
                <w:color w:val="000000"/>
                <w:sz w:val="18"/>
                <w:szCs w:val="18"/>
                <w:lang w:val="de-DE"/>
              </w:rPr>
              <w:t xml:space="preserve">Katastrophale Auswirkungen auf das Geschäft: </w:t>
            </w:r>
          </w:p>
          <w:p w:rsidR="00DB2D1E" w:rsidRPr="00BB5519" w:rsidRDefault="00DB2D1E" w:rsidP="002C1048">
            <w:pPr>
              <w:pStyle w:val="ListBullet3"/>
              <w:numPr>
                <w:ilvl w:val="0"/>
                <w:numId w:val="78"/>
              </w:numPr>
              <w:spacing w:line="276" w:lineRule="auto"/>
              <w:rPr>
                <w:lang w:val="de-DE"/>
              </w:rPr>
            </w:pPr>
            <w:r w:rsidRPr="00BB5519">
              <w:rPr>
                <w:rFonts w:ascii="Tahoma" w:hAnsi="Tahoma" w:cs="Tahoma"/>
                <w:color w:val="000000"/>
                <w:sz w:val="18"/>
                <w:szCs w:val="18"/>
                <w:lang w:val="de-DE"/>
              </w:rPr>
              <w:t>Vollständiger Verlust eines zentralen (geschäftskritischen) Geschäftsprozesses, Arbeit kann vernünftigerweise nicht fortgesetzt werden</w:t>
            </w:r>
          </w:p>
          <w:p w:rsidR="00DB2D1E" w:rsidRPr="00BB5519" w:rsidRDefault="00DB2D1E" w:rsidP="002C1048">
            <w:pPr>
              <w:pStyle w:val="ListBullet3"/>
              <w:numPr>
                <w:ilvl w:val="0"/>
                <w:numId w:val="78"/>
              </w:numPr>
              <w:spacing w:line="276" w:lineRule="auto"/>
              <w:rPr>
                <w:rFonts w:ascii="Tahoma" w:hAnsi="Tahoma" w:cs="Tahoma"/>
                <w:color w:val="000000"/>
                <w:sz w:val="18"/>
                <w:szCs w:val="18"/>
              </w:rPr>
            </w:pPr>
            <w:r w:rsidRPr="00BB5519">
              <w:rPr>
                <w:rFonts w:ascii="Tahoma" w:hAnsi="Tahoma" w:cs="Tahoma"/>
                <w:color w:val="000000"/>
                <w:sz w:val="18"/>
                <w:szCs w:val="18"/>
              </w:rPr>
              <w:t>Sofortige Bearbeitung erforderlich</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2C1048">
            <w:pPr>
              <w:pStyle w:val="ListBullet3"/>
              <w:numPr>
                <w:ilvl w:val="0"/>
                <w:numId w:val="79"/>
              </w:numPr>
              <w:spacing w:line="276" w:lineRule="auto"/>
              <w:rPr>
                <w:lang w:val="de-DE"/>
              </w:rPr>
            </w:pPr>
            <w:r w:rsidRPr="00BB5519">
              <w:rPr>
                <w:rFonts w:ascii="Tahoma" w:hAnsi="Tahoma" w:cs="Tahoma"/>
                <w:color w:val="000000"/>
                <w:sz w:val="18"/>
                <w:szCs w:val="18"/>
                <w:lang w:val="de-DE"/>
              </w:rPr>
              <w:t>1</w:t>
            </w:r>
            <w:r w:rsidRPr="00BB5519">
              <w:rPr>
                <w:rFonts w:ascii="Tahoma" w:hAnsi="Tahoma" w:cs="Tahoma"/>
                <w:color w:val="000000"/>
                <w:sz w:val="18"/>
                <w:szCs w:val="18"/>
                <w:vertAlign w:val="superscript"/>
                <w:lang w:val="de-DE"/>
              </w:rPr>
              <w:t>.</w:t>
            </w:r>
            <w:r w:rsidRPr="00BB5519">
              <w:rPr>
                <w:rFonts w:ascii="Tahoma" w:hAnsi="Tahoma" w:cs="Tahoma"/>
                <w:color w:val="000000"/>
                <w:sz w:val="18"/>
                <w:szCs w:val="18"/>
                <w:lang w:val="de-DE"/>
              </w:rPr>
              <w:t xml:space="preserve"> Reaktion auf Anruf in 1 Stunde oder weniger</w:t>
            </w:r>
          </w:p>
          <w:p w:rsidR="00DB2D1E" w:rsidRPr="00BB5519" w:rsidRDefault="00DB2D1E" w:rsidP="002C1048">
            <w:pPr>
              <w:pStyle w:val="ListBullet3"/>
              <w:numPr>
                <w:ilvl w:val="0"/>
                <w:numId w:val="79"/>
              </w:numPr>
              <w:spacing w:line="276" w:lineRule="auto"/>
              <w:rPr>
                <w:lang w:val="de-DE"/>
              </w:rPr>
            </w:pPr>
            <w:r w:rsidRPr="00BB5519">
              <w:rPr>
                <w:rFonts w:ascii="Tahoma" w:hAnsi="Tahoma" w:cs="Tahoma"/>
                <w:color w:val="000000"/>
                <w:sz w:val="18"/>
                <w:szCs w:val="18"/>
                <w:lang w:val="de-DE"/>
              </w:rPr>
              <w:t>Unsere Ressourcen schnellstmöglich am Standort des Kunden</w:t>
            </w:r>
          </w:p>
          <w:p w:rsidR="00DB2D1E" w:rsidRPr="00BB5519" w:rsidRDefault="00DB2D1E" w:rsidP="002C1048">
            <w:pPr>
              <w:pStyle w:val="ListBullet3"/>
              <w:numPr>
                <w:ilvl w:val="0"/>
                <w:numId w:val="79"/>
              </w:numPr>
              <w:spacing w:line="276" w:lineRule="auto"/>
              <w:rPr>
                <w:lang w:val="de-DE"/>
              </w:rPr>
            </w:pPr>
            <w:r w:rsidRPr="00BB5519">
              <w:rPr>
                <w:rFonts w:ascii="Tahoma" w:hAnsi="Tahoma" w:cs="Tahoma"/>
                <w:color w:val="000000"/>
                <w:sz w:val="18"/>
                <w:szCs w:val="18"/>
                <w:lang w:val="de-DE"/>
              </w:rPr>
              <w:t>Durchgehende Bemühungen rund um die Uhr</w:t>
            </w:r>
          </w:p>
          <w:p w:rsidR="00DB2D1E" w:rsidRPr="00BB5519" w:rsidRDefault="00DB2D1E" w:rsidP="002C1048">
            <w:pPr>
              <w:pStyle w:val="ListBullet3"/>
              <w:numPr>
                <w:ilvl w:val="0"/>
                <w:numId w:val="79"/>
              </w:numPr>
              <w:spacing w:line="276" w:lineRule="auto"/>
              <w:rPr>
                <w:lang w:val="de-DE"/>
              </w:rPr>
            </w:pPr>
            <w:r w:rsidRPr="00BB5519">
              <w:rPr>
                <w:rFonts w:ascii="Tahoma" w:hAnsi="Tahoma" w:cs="Tahoma"/>
                <w:color w:val="000000"/>
                <w:sz w:val="18"/>
                <w:szCs w:val="18"/>
                <w:lang w:val="de-DE"/>
              </w:rPr>
              <w:t>Schnelle Eskalation innerhalb von Microsoft an Produktteams</w:t>
            </w:r>
          </w:p>
          <w:p w:rsidR="00DB2D1E" w:rsidRPr="00BB5519" w:rsidRDefault="00DB2D1E" w:rsidP="002C1048">
            <w:pPr>
              <w:pStyle w:val="ListBullet3"/>
              <w:numPr>
                <w:ilvl w:val="0"/>
                <w:numId w:val="79"/>
              </w:numPr>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 xml:space="preserve">Benachrichtigung der leitenden Führungskräfte von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ListBullet3"/>
              <w:numPr>
                <w:ilvl w:val="0"/>
                <w:numId w:val="80"/>
              </w:numPr>
              <w:spacing w:line="276" w:lineRule="auto"/>
              <w:rPr>
                <w:lang w:val="de-DE"/>
              </w:rPr>
            </w:pPr>
            <w:r w:rsidRPr="00BB5519">
              <w:rPr>
                <w:rFonts w:ascii="Tahoma" w:hAnsi="Tahoma" w:cs="Tahoma"/>
                <w:color w:val="000000"/>
                <w:sz w:val="18"/>
                <w:szCs w:val="18"/>
                <w:lang w:val="de-DE"/>
              </w:rPr>
              <w:t>Benachrichtigung der leitenden Führungskräfte des</w:t>
            </w:r>
            <w:r w:rsidR="00610C3F">
              <w:rPr>
                <w:rFonts w:ascii="Tahoma" w:hAnsi="Tahoma" w:cs="Tahoma"/>
                <w:color w:val="000000"/>
                <w:sz w:val="18"/>
                <w:szCs w:val="18"/>
                <w:lang w:val="de-DE"/>
              </w:rPr>
              <w:t> </w:t>
            </w:r>
            <w:r w:rsidRPr="00BB5519">
              <w:rPr>
                <w:rFonts w:ascii="Tahoma" w:hAnsi="Tahoma" w:cs="Tahoma"/>
                <w:color w:val="000000"/>
                <w:sz w:val="18"/>
                <w:szCs w:val="18"/>
                <w:lang w:val="de-DE"/>
              </w:rPr>
              <w:t xml:space="preserve">Kunden </w:t>
            </w:r>
          </w:p>
          <w:p w:rsidR="00DB2D1E" w:rsidRPr="00BB5519" w:rsidRDefault="00DB2D1E" w:rsidP="00610C3F">
            <w:pPr>
              <w:pStyle w:val="ListBullet3"/>
              <w:numPr>
                <w:ilvl w:val="0"/>
                <w:numId w:val="80"/>
              </w:numPr>
              <w:spacing w:line="276" w:lineRule="auto"/>
              <w:rPr>
                <w:lang w:val="de-DE"/>
              </w:rPr>
            </w:pPr>
            <w:r w:rsidRPr="00BB5519">
              <w:rPr>
                <w:rFonts w:ascii="Tahoma" w:hAnsi="Tahoma" w:cs="Tahoma"/>
                <w:color w:val="000000"/>
                <w:sz w:val="18"/>
                <w:szCs w:val="18"/>
                <w:lang w:val="de-DE"/>
              </w:rPr>
              <w:t>Zuweisung geeigneter Ressourcen zur Aufrechterhaltung durchgehender Bemühungen rund um</w:t>
            </w:r>
            <w:r w:rsidR="00610C3F">
              <w:rPr>
                <w:rFonts w:ascii="Tahoma" w:hAnsi="Tahoma" w:cs="Tahoma"/>
                <w:color w:val="000000"/>
                <w:sz w:val="18"/>
                <w:szCs w:val="18"/>
                <w:lang w:val="de-DE"/>
              </w:rPr>
              <w:t> </w:t>
            </w:r>
            <w:r w:rsidRPr="00BB5519">
              <w:rPr>
                <w:rFonts w:ascii="Tahoma" w:hAnsi="Tahoma" w:cs="Tahoma"/>
                <w:color w:val="000000"/>
                <w:sz w:val="18"/>
                <w:szCs w:val="18"/>
                <w:lang w:val="de-DE"/>
              </w:rPr>
              <w:t>die Uhr</w:t>
            </w:r>
            <w:r w:rsidRPr="00BB5519">
              <w:rPr>
                <w:rFonts w:ascii="Tahoma" w:hAnsi="Tahoma" w:cs="Tahoma"/>
                <w:color w:val="000000"/>
                <w:sz w:val="18"/>
                <w:szCs w:val="18"/>
                <w:vertAlign w:val="superscript"/>
                <w:lang w:val="de-DE"/>
              </w:rPr>
              <w:t>2</w:t>
            </w:r>
          </w:p>
          <w:p w:rsidR="00DB2D1E" w:rsidRPr="00BB5519" w:rsidRDefault="00DB2D1E" w:rsidP="00610C3F">
            <w:pPr>
              <w:pStyle w:val="ListBullet3"/>
              <w:numPr>
                <w:ilvl w:val="0"/>
                <w:numId w:val="80"/>
              </w:numPr>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Schneller Zugriff und</w:t>
            </w:r>
            <w:r w:rsidR="00610C3F">
              <w:rPr>
                <w:rFonts w:ascii="Tahoma" w:hAnsi="Tahoma" w:cs="Tahoma"/>
                <w:color w:val="000000"/>
                <w:sz w:val="18"/>
                <w:szCs w:val="18"/>
                <w:lang w:val="de-DE"/>
              </w:rPr>
              <w:t> </w:t>
            </w:r>
            <w:r w:rsidRPr="00BB5519">
              <w:rPr>
                <w:rFonts w:ascii="Tahoma" w:hAnsi="Tahoma" w:cs="Tahoma"/>
                <w:color w:val="000000"/>
                <w:sz w:val="18"/>
                <w:szCs w:val="18"/>
                <w:lang w:val="de-DE"/>
              </w:rPr>
              <w:t>schnelle Reaktion</w:t>
            </w:r>
            <w:r w:rsidR="00610C3F">
              <w:rPr>
                <w:rFonts w:ascii="Tahoma" w:hAnsi="Tahoma" w:cs="Tahoma"/>
                <w:color w:val="000000"/>
                <w:sz w:val="18"/>
                <w:szCs w:val="18"/>
                <w:lang w:val="de-DE"/>
              </w:rPr>
              <w:t> </w:t>
            </w:r>
            <w:r w:rsidRPr="00BB5519">
              <w:rPr>
                <w:rFonts w:ascii="Tahoma" w:hAnsi="Tahoma" w:cs="Tahoma"/>
                <w:color w:val="000000"/>
                <w:sz w:val="18"/>
                <w:szCs w:val="18"/>
                <w:lang w:val="de-DE"/>
              </w:rPr>
              <w:t>durch Änderungs</w:t>
            </w:r>
            <w:r w:rsidR="00610C3F">
              <w:rPr>
                <w:rFonts w:ascii="Tahoma" w:hAnsi="Tahoma" w:cs="Tahoma"/>
                <w:color w:val="000000"/>
                <w:sz w:val="18"/>
                <w:szCs w:val="18"/>
                <w:lang w:val="de-DE"/>
              </w:rPr>
              <w:t>-</w:t>
            </w:r>
            <w:r w:rsidRPr="00BB5519">
              <w:rPr>
                <w:rFonts w:ascii="Tahoma" w:hAnsi="Tahoma" w:cs="Tahoma"/>
                <w:color w:val="000000"/>
                <w:sz w:val="18"/>
                <w:szCs w:val="18"/>
                <w:lang w:val="de-DE"/>
              </w:rPr>
              <w:t>kontrollautorität</w:t>
            </w:r>
          </w:p>
        </w:tc>
      </w:tr>
      <w:tr w:rsidR="00DB2D1E" w:rsidRPr="00BB551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BB5519" w:rsidRDefault="00DB2D1E" w:rsidP="00DE73D4">
            <w:pPr>
              <w:pStyle w:val="tableclose"/>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A Einreichung nur per Telefon</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2C1048">
            <w:pPr>
              <w:pStyle w:val="ListBullet3"/>
              <w:numPr>
                <w:ilvl w:val="0"/>
                <w:numId w:val="78"/>
              </w:numPr>
              <w:spacing w:line="276" w:lineRule="auto"/>
              <w:rPr>
                <w:lang w:val="de-DE"/>
              </w:rPr>
            </w:pPr>
            <w:r w:rsidRPr="00BB5519">
              <w:rPr>
                <w:rFonts w:ascii="Tahoma" w:hAnsi="Tahoma" w:cs="Tahoma"/>
                <w:color w:val="000000"/>
                <w:sz w:val="18"/>
                <w:szCs w:val="18"/>
                <w:lang w:val="de-DE"/>
              </w:rPr>
              <w:t xml:space="preserve">Kritische Auswirkungen auf das Geschäft: </w:t>
            </w:r>
          </w:p>
          <w:p w:rsidR="00DB2D1E" w:rsidRPr="00BB5519" w:rsidRDefault="00DB2D1E" w:rsidP="00610C3F">
            <w:pPr>
              <w:pStyle w:val="ListBullet3"/>
              <w:numPr>
                <w:ilvl w:val="0"/>
                <w:numId w:val="78"/>
              </w:numPr>
              <w:spacing w:line="276" w:lineRule="auto"/>
              <w:rPr>
                <w:lang w:val="de-DE"/>
              </w:rPr>
            </w:pPr>
            <w:r w:rsidRPr="00BB5519">
              <w:rPr>
                <w:rFonts w:ascii="Tahoma" w:hAnsi="Tahoma" w:cs="Tahoma"/>
                <w:color w:val="000000"/>
                <w:sz w:val="18"/>
                <w:szCs w:val="18"/>
                <w:lang w:val="de-DE"/>
              </w:rPr>
              <w:t>Erheblicher Verlust oder</w:t>
            </w:r>
            <w:r w:rsidR="00610C3F">
              <w:rPr>
                <w:rFonts w:ascii="Tahoma" w:hAnsi="Tahoma" w:cs="Tahoma"/>
                <w:color w:val="000000"/>
                <w:sz w:val="18"/>
                <w:szCs w:val="18"/>
                <w:lang w:val="de-DE"/>
              </w:rPr>
              <w:t> </w:t>
            </w:r>
            <w:r w:rsidRPr="00BB5519">
              <w:rPr>
                <w:rFonts w:ascii="Tahoma" w:hAnsi="Tahoma" w:cs="Tahoma"/>
                <w:color w:val="000000"/>
                <w:sz w:val="18"/>
                <w:szCs w:val="18"/>
                <w:lang w:val="de-DE"/>
              </w:rPr>
              <w:t>erhebliche Beeinträchtigung von</w:t>
            </w:r>
            <w:r w:rsidR="00610C3F">
              <w:rPr>
                <w:rFonts w:ascii="Tahoma" w:hAnsi="Tahoma" w:cs="Tahoma"/>
                <w:color w:val="000000"/>
                <w:sz w:val="18"/>
                <w:szCs w:val="18"/>
                <w:lang w:val="de-DE"/>
              </w:rPr>
              <w:t> </w:t>
            </w:r>
            <w:r w:rsidRPr="00BB5519">
              <w:rPr>
                <w:rFonts w:ascii="Tahoma" w:hAnsi="Tahoma" w:cs="Tahoma"/>
                <w:color w:val="000000"/>
                <w:sz w:val="18"/>
                <w:szCs w:val="18"/>
                <w:lang w:val="de-DE"/>
              </w:rPr>
              <w:t>Diensten</w:t>
            </w:r>
          </w:p>
          <w:p w:rsidR="00DB2D1E" w:rsidRPr="00BB5519" w:rsidRDefault="00DB2D1E" w:rsidP="002C1048">
            <w:pPr>
              <w:pStyle w:val="ListBullet3"/>
              <w:numPr>
                <w:ilvl w:val="0"/>
                <w:numId w:val="78"/>
              </w:numPr>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Bearbeitung innerhalb von 1 Stunde erforderlich</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ListBullet3"/>
              <w:numPr>
                <w:ilvl w:val="0"/>
                <w:numId w:val="79"/>
              </w:numPr>
              <w:spacing w:line="276" w:lineRule="auto"/>
              <w:rPr>
                <w:lang w:val="de-DE"/>
              </w:rPr>
            </w:pPr>
            <w:r w:rsidRPr="00BB5519">
              <w:rPr>
                <w:rFonts w:ascii="Tahoma" w:hAnsi="Tahoma" w:cs="Tahoma"/>
                <w:color w:val="000000"/>
                <w:sz w:val="18"/>
                <w:szCs w:val="18"/>
                <w:lang w:val="de-DE"/>
              </w:rPr>
              <w:t>1</w:t>
            </w:r>
            <w:r w:rsidRPr="00BB5519">
              <w:rPr>
                <w:rFonts w:ascii="Tahoma" w:hAnsi="Tahoma" w:cs="Tahoma"/>
                <w:color w:val="000000"/>
                <w:sz w:val="18"/>
                <w:szCs w:val="18"/>
                <w:vertAlign w:val="superscript"/>
                <w:lang w:val="de-DE"/>
              </w:rPr>
              <w:t>.</w:t>
            </w:r>
            <w:r w:rsidRPr="00BB5519">
              <w:rPr>
                <w:rFonts w:ascii="Tahoma" w:hAnsi="Tahoma" w:cs="Tahoma"/>
                <w:color w:val="000000"/>
                <w:sz w:val="18"/>
                <w:szCs w:val="18"/>
                <w:lang w:val="de-DE"/>
              </w:rPr>
              <w:t xml:space="preserve"> Reaktion auf Anruf in 1</w:t>
            </w:r>
            <w:r w:rsidR="00610C3F">
              <w:rPr>
                <w:rFonts w:ascii="Tahoma" w:hAnsi="Tahoma" w:cs="Tahoma"/>
                <w:color w:val="000000"/>
                <w:sz w:val="18"/>
                <w:szCs w:val="18"/>
                <w:lang w:val="de-DE"/>
              </w:rPr>
              <w:t> </w:t>
            </w:r>
            <w:r w:rsidRPr="00BB5519">
              <w:rPr>
                <w:rFonts w:ascii="Tahoma" w:hAnsi="Tahoma" w:cs="Tahoma"/>
                <w:color w:val="000000"/>
                <w:sz w:val="18"/>
                <w:szCs w:val="18"/>
                <w:lang w:val="de-DE"/>
              </w:rPr>
              <w:t>Stunde oder weniger</w:t>
            </w:r>
          </w:p>
          <w:p w:rsidR="00DB2D1E" w:rsidRPr="00BB5519" w:rsidRDefault="00DB2D1E" w:rsidP="002C1048">
            <w:pPr>
              <w:pStyle w:val="ListBullet3"/>
              <w:numPr>
                <w:ilvl w:val="0"/>
                <w:numId w:val="79"/>
              </w:numPr>
              <w:spacing w:line="276" w:lineRule="auto"/>
              <w:rPr>
                <w:lang w:val="de-DE"/>
              </w:rPr>
            </w:pPr>
            <w:r w:rsidRPr="00BB5519">
              <w:rPr>
                <w:rFonts w:ascii="Tahoma" w:hAnsi="Tahoma" w:cs="Tahoma"/>
                <w:color w:val="000000"/>
                <w:sz w:val="18"/>
                <w:szCs w:val="18"/>
                <w:lang w:val="de-DE"/>
              </w:rPr>
              <w:t>Unsere Ressourcen nach Bedarf am Standort des Kunden</w:t>
            </w:r>
          </w:p>
          <w:p w:rsidR="00DB2D1E" w:rsidRPr="00BB5519" w:rsidRDefault="00DB2D1E" w:rsidP="002C1048">
            <w:pPr>
              <w:pStyle w:val="ListBullet3"/>
              <w:numPr>
                <w:ilvl w:val="0"/>
                <w:numId w:val="79"/>
              </w:numPr>
              <w:spacing w:line="276" w:lineRule="auto"/>
              <w:rPr>
                <w:lang w:val="de-DE"/>
              </w:rPr>
            </w:pPr>
            <w:r w:rsidRPr="00BB5519">
              <w:rPr>
                <w:rFonts w:ascii="Tahoma" w:hAnsi="Tahoma" w:cs="Tahoma"/>
                <w:color w:val="000000"/>
                <w:sz w:val="18"/>
                <w:szCs w:val="18"/>
                <w:lang w:val="de-DE"/>
              </w:rPr>
              <w:t>Durchgehende Bemühungen rund um die Uhr</w:t>
            </w:r>
          </w:p>
          <w:p w:rsidR="00DB2D1E" w:rsidRPr="00BB5519" w:rsidRDefault="00DB2D1E" w:rsidP="002C1048">
            <w:pPr>
              <w:pStyle w:val="ListBullet3"/>
              <w:numPr>
                <w:ilvl w:val="0"/>
                <w:numId w:val="79"/>
              </w:numPr>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Benachrichtigung der leitenden Manager von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2C1048">
            <w:pPr>
              <w:pStyle w:val="ListBullet3"/>
              <w:numPr>
                <w:ilvl w:val="0"/>
                <w:numId w:val="80"/>
              </w:numPr>
              <w:spacing w:line="276" w:lineRule="auto"/>
              <w:rPr>
                <w:lang w:val="de-DE"/>
              </w:rPr>
            </w:pPr>
            <w:r w:rsidRPr="00BB5519">
              <w:rPr>
                <w:rFonts w:ascii="Tahoma" w:hAnsi="Tahoma" w:cs="Tahoma"/>
                <w:color w:val="000000"/>
                <w:sz w:val="18"/>
                <w:szCs w:val="18"/>
                <w:lang w:val="de-DE"/>
              </w:rPr>
              <w:t>Zuweisung geeigneter Ressourcen zur Aufrechterhaltung durchgehender Bemühungen rund um die Uhr</w:t>
            </w:r>
            <w:r w:rsidRPr="00BB5519">
              <w:rPr>
                <w:rFonts w:ascii="Tahoma" w:hAnsi="Tahoma" w:cs="Tahoma"/>
                <w:color w:val="000000"/>
                <w:sz w:val="18"/>
                <w:szCs w:val="18"/>
                <w:vertAlign w:val="superscript"/>
                <w:lang w:val="de-DE"/>
              </w:rPr>
              <w:t>2</w:t>
            </w:r>
          </w:p>
          <w:p w:rsidR="00DB2D1E" w:rsidRPr="00BB5519" w:rsidRDefault="00DB2D1E" w:rsidP="002C1048">
            <w:pPr>
              <w:pStyle w:val="ListBullet3"/>
              <w:numPr>
                <w:ilvl w:val="0"/>
                <w:numId w:val="80"/>
              </w:numPr>
              <w:spacing w:line="276" w:lineRule="auto"/>
              <w:rPr>
                <w:lang w:val="de-DE"/>
              </w:rPr>
            </w:pPr>
            <w:r w:rsidRPr="00BB5519">
              <w:rPr>
                <w:rFonts w:ascii="Tahoma" w:hAnsi="Tahoma" w:cs="Tahoma"/>
                <w:color w:val="000000"/>
                <w:sz w:val="18"/>
                <w:szCs w:val="18"/>
                <w:lang w:val="de-DE"/>
              </w:rPr>
              <w:t>Schneller Zugriff und schnelle Reaktion durch Änderungsko</w:t>
            </w:r>
            <w:r w:rsidR="00610C3F">
              <w:rPr>
                <w:rFonts w:ascii="Tahoma" w:hAnsi="Tahoma" w:cs="Tahoma"/>
                <w:color w:val="000000"/>
                <w:sz w:val="18"/>
                <w:szCs w:val="18"/>
                <w:lang w:val="de-DE"/>
              </w:rPr>
              <w:t>-</w:t>
            </w:r>
            <w:r w:rsidRPr="00BB5519">
              <w:rPr>
                <w:rFonts w:ascii="Tahoma" w:hAnsi="Tahoma" w:cs="Tahoma"/>
                <w:color w:val="000000"/>
                <w:sz w:val="18"/>
                <w:szCs w:val="18"/>
                <w:lang w:val="de-DE"/>
              </w:rPr>
              <w:t>ntrollautorität</w:t>
            </w:r>
          </w:p>
          <w:p w:rsidR="00DB2D1E" w:rsidRPr="00BB5519" w:rsidRDefault="00DB2D1E" w:rsidP="002C1048">
            <w:pPr>
              <w:pStyle w:val="ListBullet3"/>
              <w:numPr>
                <w:ilvl w:val="0"/>
                <w:numId w:val="80"/>
              </w:numPr>
              <w:spacing w:line="276" w:lineRule="auto"/>
              <w:rPr>
                <w:rFonts w:ascii="Tahoma" w:hAnsi="Tahoma" w:cs="Tahoma"/>
                <w:color w:val="000000"/>
                <w:sz w:val="18"/>
                <w:szCs w:val="18"/>
              </w:rPr>
            </w:pPr>
            <w:r w:rsidRPr="00BB5519">
              <w:rPr>
                <w:rFonts w:ascii="Tahoma" w:hAnsi="Tahoma" w:cs="Tahoma"/>
                <w:color w:val="000000"/>
                <w:sz w:val="18"/>
                <w:szCs w:val="18"/>
              </w:rPr>
              <w:t>Benachrichtigung des Managements</w:t>
            </w:r>
          </w:p>
        </w:tc>
      </w:tr>
      <w:tr w:rsidR="00DB2D1E" w:rsidRPr="00D244F0"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tableclose"/>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B Einreichung per Telefon oder</w:t>
            </w:r>
            <w:r w:rsidR="00610C3F">
              <w:rPr>
                <w:rFonts w:ascii="Tahoma" w:hAnsi="Tahoma" w:cs="Tahoma"/>
                <w:color w:val="000000"/>
                <w:sz w:val="18"/>
                <w:szCs w:val="18"/>
                <w:lang w:val="de-DE"/>
              </w:rPr>
              <w:t> </w:t>
            </w:r>
            <w:r w:rsidRPr="00BB5519">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ListBullet3"/>
              <w:numPr>
                <w:ilvl w:val="0"/>
                <w:numId w:val="78"/>
              </w:numPr>
              <w:spacing w:line="276" w:lineRule="auto"/>
              <w:rPr>
                <w:lang w:val="de-DE"/>
              </w:rPr>
            </w:pPr>
            <w:r w:rsidRPr="00BB5519">
              <w:rPr>
                <w:rFonts w:ascii="Tahoma" w:hAnsi="Tahoma" w:cs="Tahoma"/>
                <w:color w:val="000000"/>
                <w:sz w:val="18"/>
                <w:szCs w:val="18"/>
                <w:lang w:val="de-DE"/>
              </w:rPr>
              <w:t>Mittelschwere Auswirkungen auf das</w:t>
            </w:r>
            <w:r w:rsidR="00610C3F">
              <w:rPr>
                <w:rFonts w:ascii="Tahoma" w:hAnsi="Tahoma" w:cs="Tahoma"/>
                <w:color w:val="000000"/>
                <w:sz w:val="18"/>
                <w:szCs w:val="18"/>
                <w:lang w:val="de-DE"/>
              </w:rPr>
              <w:t> </w:t>
            </w:r>
            <w:r w:rsidRPr="00BB5519">
              <w:rPr>
                <w:rFonts w:ascii="Tahoma" w:hAnsi="Tahoma" w:cs="Tahoma"/>
                <w:color w:val="000000"/>
                <w:sz w:val="18"/>
                <w:szCs w:val="18"/>
                <w:lang w:val="de-DE"/>
              </w:rPr>
              <w:t xml:space="preserve">Geschäft: </w:t>
            </w:r>
          </w:p>
          <w:p w:rsidR="00DB2D1E" w:rsidRPr="00BB5519" w:rsidRDefault="00DB2D1E" w:rsidP="002C1048">
            <w:pPr>
              <w:pStyle w:val="ListBullet3"/>
              <w:numPr>
                <w:ilvl w:val="0"/>
                <w:numId w:val="78"/>
              </w:numPr>
              <w:spacing w:line="276" w:lineRule="auto"/>
              <w:rPr>
                <w:lang w:val="de-DE"/>
              </w:rPr>
            </w:pPr>
            <w:r w:rsidRPr="00BB5519">
              <w:rPr>
                <w:rFonts w:ascii="Tahoma" w:hAnsi="Tahoma" w:cs="Tahoma"/>
                <w:color w:val="000000"/>
                <w:sz w:val="18"/>
                <w:szCs w:val="18"/>
                <w:lang w:val="de-DE"/>
              </w:rPr>
              <w:t>Mittelmäßiger Verlust oder mittelmäßige Beeinträchtigung von Diensten, die Arbeit kann jedoch vernünftigerweise mit Beeinträchtigungen fortgesetzt werden.</w:t>
            </w:r>
          </w:p>
          <w:p w:rsidR="00DB2D1E" w:rsidRPr="00BB5519" w:rsidRDefault="00DB2D1E" w:rsidP="002C1048">
            <w:pPr>
              <w:pStyle w:val="ListBullet3"/>
              <w:numPr>
                <w:ilvl w:val="0"/>
                <w:numId w:val="78"/>
              </w:numPr>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Bearbeitung innerhalb von 2 Geschäftsstunden erforderlich</w:t>
            </w:r>
            <w:r w:rsidRPr="00BB5519">
              <w:rPr>
                <w:rFonts w:ascii="Tahoma" w:hAnsi="Tahoma" w:cs="Tahoma"/>
                <w:color w:val="000000"/>
                <w:sz w:val="18"/>
                <w:szCs w:val="18"/>
                <w:vertAlign w:val="superscript"/>
                <w:lang w:val="de-DE"/>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ListBullet3"/>
              <w:numPr>
                <w:ilvl w:val="0"/>
                <w:numId w:val="79"/>
              </w:numPr>
              <w:spacing w:line="276" w:lineRule="auto"/>
              <w:rPr>
                <w:lang w:val="de-DE"/>
              </w:rPr>
            </w:pPr>
            <w:r w:rsidRPr="00BB5519">
              <w:rPr>
                <w:rFonts w:ascii="Tahoma" w:hAnsi="Tahoma" w:cs="Tahoma"/>
                <w:color w:val="000000"/>
                <w:sz w:val="18"/>
                <w:szCs w:val="18"/>
                <w:lang w:val="de-DE"/>
              </w:rPr>
              <w:t>1. Reaktion auf Anruf in 2</w:t>
            </w:r>
            <w:r w:rsidR="00610C3F">
              <w:rPr>
                <w:rFonts w:ascii="Tahoma" w:hAnsi="Tahoma" w:cs="Tahoma"/>
                <w:color w:val="000000"/>
                <w:sz w:val="18"/>
                <w:szCs w:val="18"/>
                <w:lang w:val="de-DE"/>
              </w:rPr>
              <w:t> </w:t>
            </w:r>
            <w:r w:rsidRPr="00BB5519">
              <w:rPr>
                <w:rFonts w:ascii="Tahoma" w:hAnsi="Tahoma" w:cs="Tahoma"/>
                <w:color w:val="000000"/>
                <w:sz w:val="18"/>
                <w:szCs w:val="18"/>
                <w:lang w:val="de-DE"/>
              </w:rPr>
              <w:t>Stunden oder weniger</w:t>
            </w:r>
          </w:p>
          <w:p w:rsidR="00DB2D1E" w:rsidRPr="00BB5519" w:rsidRDefault="00DB2D1E" w:rsidP="002C1048">
            <w:pPr>
              <w:pStyle w:val="ListBullet3"/>
              <w:numPr>
                <w:ilvl w:val="0"/>
                <w:numId w:val="79"/>
              </w:numPr>
              <w:spacing w:line="276" w:lineRule="auto"/>
            </w:pPr>
            <w:r w:rsidRPr="00BB5519">
              <w:rPr>
                <w:rFonts w:ascii="Tahoma" w:hAnsi="Tahoma" w:cs="Tahoma"/>
                <w:color w:val="000000"/>
                <w:sz w:val="18"/>
                <w:szCs w:val="18"/>
              </w:rPr>
              <w:t>Bemühungen nur während der Geschäftszeiten</w:t>
            </w:r>
            <w:r w:rsidRPr="00BB5519">
              <w:rPr>
                <w:rFonts w:ascii="Tahoma" w:hAnsi="Tahoma" w:cs="Tahoma"/>
                <w:color w:val="000000"/>
                <w:sz w:val="18"/>
                <w:szCs w:val="18"/>
                <w:vertAlign w:val="superscript"/>
              </w:rPr>
              <w:t>1</w:t>
            </w:r>
          </w:p>
          <w:p w:rsidR="00DB2D1E" w:rsidRPr="00BB5519"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2C1048">
            <w:pPr>
              <w:pStyle w:val="ListBullet3"/>
              <w:numPr>
                <w:ilvl w:val="0"/>
                <w:numId w:val="80"/>
              </w:numPr>
              <w:spacing w:line="276" w:lineRule="auto"/>
              <w:rPr>
                <w:lang w:val="de-DE"/>
              </w:rPr>
            </w:pPr>
            <w:r w:rsidRPr="00BB5519">
              <w:rPr>
                <w:rFonts w:ascii="Tahoma" w:hAnsi="Tahoma" w:cs="Tahoma"/>
                <w:color w:val="000000"/>
                <w:sz w:val="18"/>
                <w:szCs w:val="18"/>
                <w:lang w:val="de-DE"/>
              </w:rPr>
              <w:t>Zuweisung geeigneter Ressourcen zur Aufrechterhaltung durchgehender Bemühungen während der Geschäftszeiten</w:t>
            </w:r>
            <w:r w:rsidRPr="00BB5519">
              <w:rPr>
                <w:rFonts w:ascii="Tahoma" w:hAnsi="Tahoma" w:cs="Tahoma"/>
                <w:color w:val="000000"/>
                <w:sz w:val="18"/>
                <w:szCs w:val="18"/>
                <w:vertAlign w:val="superscript"/>
                <w:lang w:val="de-DE"/>
              </w:rPr>
              <w:t>1</w:t>
            </w:r>
          </w:p>
          <w:p w:rsidR="00DB2D1E" w:rsidRPr="00BB5519" w:rsidRDefault="00DB2D1E" w:rsidP="00610C3F">
            <w:pPr>
              <w:pStyle w:val="ListBullet3"/>
              <w:numPr>
                <w:ilvl w:val="0"/>
                <w:numId w:val="80"/>
              </w:numPr>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Zugriff und Reaktion von Änderung</w:t>
            </w:r>
            <w:r w:rsidR="00610C3F">
              <w:rPr>
                <w:rFonts w:ascii="Tahoma" w:hAnsi="Tahoma" w:cs="Tahoma"/>
                <w:color w:val="000000"/>
                <w:sz w:val="18"/>
                <w:szCs w:val="18"/>
                <w:lang w:val="de-DE"/>
              </w:rPr>
              <w:t>-</w:t>
            </w:r>
            <w:r w:rsidRPr="00BB5519">
              <w:rPr>
                <w:rFonts w:ascii="Tahoma" w:hAnsi="Tahoma" w:cs="Tahoma"/>
                <w:color w:val="000000"/>
                <w:sz w:val="18"/>
                <w:szCs w:val="18"/>
                <w:lang w:val="de-DE"/>
              </w:rPr>
              <w:t>skontrollautorität innerhalb von 4</w:t>
            </w:r>
            <w:r w:rsidR="00610C3F">
              <w:rPr>
                <w:rFonts w:ascii="Tahoma" w:hAnsi="Tahoma" w:cs="Tahoma"/>
                <w:color w:val="000000"/>
                <w:sz w:val="18"/>
                <w:szCs w:val="18"/>
                <w:lang w:val="de-DE"/>
              </w:rPr>
              <w:t> </w:t>
            </w:r>
            <w:r w:rsidRPr="00BB5519">
              <w:rPr>
                <w:rFonts w:ascii="Tahoma" w:hAnsi="Tahoma" w:cs="Tahoma"/>
                <w:color w:val="000000"/>
                <w:sz w:val="18"/>
                <w:szCs w:val="18"/>
                <w:lang w:val="de-DE"/>
              </w:rPr>
              <w:t>Geschäftsstunden</w:t>
            </w:r>
            <w:r w:rsidRPr="00BB5519">
              <w:rPr>
                <w:rFonts w:ascii="Tahoma" w:hAnsi="Tahoma" w:cs="Tahoma"/>
                <w:color w:val="000000"/>
                <w:sz w:val="18"/>
                <w:szCs w:val="18"/>
                <w:vertAlign w:val="superscript"/>
                <w:lang w:val="de-DE"/>
              </w:rPr>
              <w:t>1</w:t>
            </w:r>
          </w:p>
        </w:tc>
      </w:tr>
      <w:tr w:rsidR="00DB2D1E" w:rsidRPr="00BB551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tableclose"/>
              <w:keepNext/>
              <w:keepLines/>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lastRenderedPageBreak/>
              <w:t>C Einreichung per Telefon oder</w:t>
            </w:r>
            <w:r w:rsidR="00610C3F">
              <w:rPr>
                <w:rFonts w:ascii="Tahoma" w:hAnsi="Tahoma" w:cs="Tahoma"/>
                <w:color w:val="000000"/>
                <w:sz w:val="18"/>
                <w:szCs w:val="18"/>
                <w:lang w:val="de-DE"/>
              </w:rPr>
              <w:t> </w:t>
            </w:r>
            <w:r w:rsidRPr="00BB5519">
              <w:rPr>
                <w:rFonts w:ascii="Tahoma" w:hAnsi="Tahoma" w:cs="Tahoma"/>
                <w:color w:val="000000"/>
                <w:sz w:val="18"/>
                <w:szCs w:val="18"/>
                <w:lang w:val="de-DE"/>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ListBullet3"/>
              <w:keepNext/>
              <w:keepLines/>
              <w:numPr>
                <w:ilvl w:val="0"/>
                <w:numId w:val="78"/>
              </w:numPr>
              <w:spacing w:line="276" w:lineRule="auto"/>
              <w:rPr>
                <w:lang w:val="de-DE"/>
              </w:rPr>
            </w:pPr>
            <w:r w:rsidRPr="00BB5519">
              <w:rPr>
                <w:rFonts w:ascii="Tahoma" w:hAnsi="Tahoma" w:cs="Tahoma"/>
                <w:color w:val="000000"/>
                <w:sz w:val="18"/>
                <w:szCs w:val="18"/>
                <w:lang w:val="de-DE"/>
              </w:rPr>
              <w:t xml:space="preserve">Minimale Auswirkungen auf das Geschäft: </w:t>
            </w:r>
          </w:p>
          <w:p w:rsidR="00DB2D1E" w:rsidRPr="00BB5519" w:rsidRDefault="00DB2D1E" w:rsidP="00610C3F">
            <w:pPr>
              <w:pStyle w:val="ListBullet3"/>
              <w:keepNext/>
              <w:keepLines/>
              <w:numPr>
                <w:ilvl w:val="0"/>
                <w:numId w:val="78"/>
              </w:numPr>
              <w:spacing w:line="276" w:lineRule="auto"/>
              <w:rPr>
                <w:lang w:val="de-DE"/>
              </w:rPr>
            </w:pPr>
            <w:r w:rsidRPr="00BB5519">
              <w:rPr>
                <w:rFonts w:ascii="Tahoma" w:hAnsi="Tahoma" w:cs="Tahoma"/>
                <w:color w:val="000000"/>
                <w:sz w:val="18"/>
                <w:szCs w:val="18"/>
                <w:lang w:val="de-DE"/>
              </w:rPr>
              <w:t>Im Wesentlichen funktionsfähig, mit geringen oder keinen Beeinträchtigungen von Diensten.</w:t>
            </w:r>
          </w:p>
          <w:p w:rsidR="00DB2D1E" w:rsidRPr="00BB5519" w:rsidRDefault="00DB2D1E" w:rsidP="00610C3F">
            <w:pPr>
              <w:pStyle w:val="ListBullet3"/>
              <w:keepNext/>
              <w:keepLines/>
              <w:numPr>
                <w:ilvl w:val="0"/>
                <w:numId w:val="78"/>
              </w:numPr>
              <w:spacing w:line="276" w:lineRule="auto"/>
              <w:rPr>
                <w:rFonts w:ascii="Tahoma" w:hAnsi="Tahoma" w:cs="Tahoma"/>
                <w:color w:val="000000"/>
                <w:sz w:val="18"/>
                <w:szCs w:val="18"/>
                <w:lang w:val="de-DE"/>
              </w:rPr>
            </w:pPr>
            <w:r w:rsidRPr="00BB5519">
              <w:rPr>
                <w:rFonts w:ascii="Tahoma" w:hAnsi="Tahoma" w:cs="Tahoma"/>
                <w:color w:val="000000"/>
                <w:sz w:val="18"/>
                <w:szCs w:val="18"/>
                <w:lang w:val="de-DE"/>
              </w:rPr>
              <w:t>Bearbeitung innerhalb von 4 Geschäftsstunden erforderlich</w:t>
            </w:r>
            <w:r w:rsidRPr="00BB5519">
              <w:rPr>
                <w:rFonts w:ascii="Tahoma" w:hAnsi="Tahoma" w:cs="Tahoma"/>
                <w:color w:val="000000"/>
                <w:sz w:val="18"/>
                <w:szCs w:val="18"/>
                <w:vertAlign w:val="superscript"/>
                <w:lang w:val="de-DE"/>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ListBullet3"/>
              <w:keepNext/>
              <w:keepLines/>
              <w:numPr>
                <w:ilvl w:val="0"/>
                <w:numId w:val="79"/>
              </w:numPr>
              <w:spacing w:line="276" w:lineRule="auto"/>
              <w:rPr>
                <w:lang w:val="de-DE"/>
              </w:rPr>
            </w:pPr>
            <w:r w:rsidRPr="00BB5519">
              <w:rPr>
                <w:rFonts w:ascii="Tahoma" w:hAnsi="Tahoma" w:cs="Tahoma"/>
                <w:color w:val="000000"/>
                <w:sz w:val="18"/>
                <w:szCs w:val="18"/>
                <w:lang w:val="de-DE"/>
              </w:rPr>
              <w:t>1. Reaktion auf Anruf in 4 Stunden oder weniger</w:t>
            </w:r>
          </w:p>
          <w:p w:rsidR="00DB2D1E" w:rsidRPr="00BB5519" w:rsidRDefault="00DB2D1E" w:rsidP="00610C3F">
            <w:pPr>
              <w:pStyle w:val="ListBullet3"/>
              <w:keepNext/>
              <w:keepLines/>
              <w:numPr>
                <w:ilvl w:val="0"/>
                <w:numId w:val="79"/>
              </w:numPr>
              <w:spacing w:line="276" w:lineRule="auto"/>
            </w:pPr>
            <w:r w:rsidRPr="00BB5519">
              <w:rPr>
                <w:rFonts w:ascii="Tahoma" w:hAnsi="Tahoma" w:cs="Tahoma"/>
                <w:color w:val="000000"/>
                <w:sz w:val="18"/>
                <w:szCs w:val="18"/>
              </w:rPr>
              <w:t>Bemühungen nur während der Geschäftszeiten</w:t>
            </w:r>
            <w:r w:rsidRPr="00BB5519">
              <w:rPr>
                <w:rFonts w:ascii="Tahoma" w:hAnsi="Tahoma" w:cs="Tahoma"/>
                <w:color w:val="000000"/>
                <w:sz w:val="18"/>
                <w:szCs w:val="18"/>
                <w:vertAlign w:val="superscript"/>
              </w:rPr>
              <w:t>1</w:t>
            </w:r>
          </w:p>
          <w:p w:rsidR="00DB2D1E" w:rsidRPr="00BB5519" w:rsidRDefault="00DB2D1E" w:rsidP="00610C3F">
            <w:pPr>
              <w:pStyle w:val="tableclose"/>
              <w:keepNext/>
              <w:keepLine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BB5519" w:rsidRDefault="00DB2D1E" w:rsidP="00610C3F">
            <w:pPr>
              <w:pStyle w:val="ListBullet3"/>
              <w:keepNext/>
              <w:keepLines/>
              <w:numPr>
                <w:ilvl w:val="0"/>
                <w:numId w:val="80"/>
              </w:numPr>
              <w:spacing w:line="276" w:lineRule="auto"/>
            </w:pPr>
            <w:r w:rsidRPr="00BB5519">
              <w:rPr>
                <w:rFonts w:ascii="Tahoma" w:hAnsi="Tahoma" w:cs="Tahoma"/>
                <w:color w:val="000000"/>
                <w:sz w:val="18"/>
                <w:szCs w:val="18"/>
              </w:rPr>
              <w:t>Genaue Kontaktinformationen zum Fallinhaber</w:t>
            </w:r>
          </w:p>
          <w:p w:rsidR="00DB2D1E" w:rsidRPr="00BB5519" w:rsidRDefault="00DB2D1E" w:rsidP="00610C3F">
            <w:pPr>
              <w:pStyle w:val="ListBullet3"/>
              <w:keepNext/>
              <w:keepLines/>
              <w:numPr>
                <w:ilvl w:val="0"/>
                <w:numId w:val="80"/>
              </w:numPr>
              <w:spacing w:line="276" w:lineRule="auto"/>
              <w:rPr>
                <w:rFonts w:ascii="Tahoma" w:hAnsi="Tahoma" w:cs="Tahoma"/>
                <w:color w:val="000000"/>
                <w:sz w:val="18"/>
                <w:szCs w:val="18"/>
              </w:rPr>
            </w:pPr>
            <w:r w:rsidRPr="00BB5519">
              <w:rPr>
                <w:rFonts w:ascii="Tahoma" w:hAnsi="Tahoma" w:cs="Tahoma"/>
                <w:color w:val="000000"/>
                <w:sz w:val="18"/>
                <w:szCs w:val="18"/>
              </w:rPr>
              <w:t>Reaktion innerhalb von</w:t>
            </w:r>
            <w:r w:rsidR="00610C3F">
              <w:rPr>
                <w:rFonts w:ascii="Tahoma" w:hAnsi="Tahoma" w:cs="Tahoma"/>
                <w:color w:val="000000"/>
                <w:sz w:val="18"/>
                <w:szCs w:val="18"/>
              </w:rPr>
              <w:t> </w:t>
            </w:r>
            <w:r w:rsidRPr="00BB5519">
              <w:rPr>
                <w:rFonts w:ascii="Tahoma" w:hAnsi="Tahoma" w:cs="Tahoma"/>
                <w:color w:val="000000"/>
                <w:sz w:val="18"/>
                <w:szCs w:val="18"/>
              </w:rPr>
              <w:t>24 Stunden.</w:t>
            </w:r>
          </w:p>
        </w:tc>
      </w:tr>
    </w:tbl>
    <w:p w:rsidR="00DB2D1E" w:rsidRPr="00BB5519" w:rsidRDefault="00DB2D1E" w:rsidP="00610C3F">
      <w:pPr>
        <w:pStyle w:val="tableclose"/>
        <w:spacing w:before="20"/>
        <w:rPr>
          <w:lang w:val="de-DE"/>
        </w:rPr>
      </w:pPr>
      <w:r w:rsidRPr="00BB5519">
        <w:rPr>
          <w:rFonts w:ascii="Tahoma" w:hAnsi="Tahoma" w:cs="Tahoma"/>
          <w:i/>
          <w:color w:val="000000"/>
          <w:sz w:val="16"/>
          <w:szCs w:val="16"/>
          <w:vertAlign w:val="superscript"/>
          <w:lang w:val="de-DE"/>
        </w:rPr>
        <w:t>1</w:t>
      </w:r>
      <w:r w:rsidRPr="00BB5519">
        <w:rPr>
          <w:rFonts w:ascii="Tahoma" w:hAnsi="Tahoma" w:cs="Tahoma"/>
          <w:i/>
          <w:color w:val="000000"/>
          <w:sz w:val="16"/>
          <w:szCs w:val="16"/>
          <w:lang w:val="de-DE"/>
        </w:rPr>
        <w:t xml:space="preserve"> Die Geschäftszeiten sind lokal festgelegt.</w:t>
      </w:r>
    </w:p>
    <w:p w:rsidR="00DB2D1E" w:rsidRPr="00BB5519" w:rsidRDefault="00DB2D1E" w:rsidP="00610C3F">
      <w:pPr>
        <w:pStyle w:val="tableclose"/>
        <w:ind w:left="108" w:hanging="108"/>
        <w:rPr>
          <w:lang w:val="de-DE"/>
        </w:rPr>
      </w:pPr>
      <w:r w:rsidRPr="00BB5519">
        <w:rPr>
          <w:rFonts w:ascii="Tahoma" w:hAnsi="Tahoma" w:cs="Tahoma"/>
          <w:i/>
          <w:color w:val="000000"/>
          <w:sz w:val="16"/>
          <w:szCs w:val="16"/>
          <w:vertAlign w:val="superscript"/>
          <w:lang w:val="de-DE"/>
        </w:rPr>
        <w:t>2</w:t>
      </w:r>
      <w:r w:rsidRPr="00BB5519">
        <w:rPr>
          <w:rFonts w:ascii="Tahoma" w:hAnsi="Tahoma" w:cs="Tahoma"/>
          <w:i/>
          <w:color w:val="000000"/>
          <w:sz w:val="16"/>
          <w:szCs w:val="16"/>
          <w:lang w:val="de-DE"/>
        </w:rPr>
        <w:t xml:space="preserve"> Möglicherweise müssen wir den Schweregrad herunterstufen, falls der Kunde nicht in der Lage ist, angemessene Ressourcen oder</w:t>
      </w:r>
      <w:r w:rsidR="00610C3F">
        <w:rPr>
          <w:rFonts w:ascii="Tahoma" w:hAnsi="Tahoma" w:cs="Tahoma"/>
          <w:i/>
          <w:color w:val="000000"/>
          <w:sz w:val="16"/>
          <w:szCs w:val="16"/>
          <w:lang w:val="de-DE"/>
        </w:rPr>
        <w:t> </w:t>
      </w:r>
      <w:r w:rsidRPr="00BB5519">
        <w:rPr>
          <w:rFonts w:ascii="Tahoma" w:hAnsi="Tahoma" w:cs="Tahoma"/>
          <w:i/>
          <w:color w:val="000000"/>
          <w:sz w:val="16"/>
          <w:szCs w:val="16"/>
          <w:lang w:val="de-DE"/>
        </w:rPr>
        <w:t>Reaktionen bereitzustellen, um uns die Fortsetzung der Bemühungen zur Problembehebung zu ermöglichen.</w:t>
      </w:r>
    </w:p>
    <w:p w:rsidR="00DB2D1E" w:rsidRPr="00BB5519" w:rsidRDefault="00DB2D1E" w:rsidP="00F42FB8">
      <w:pPr>
        <w:rPr>
          <w:lang w:val="de-DE"/>
        </w:rPr>
      </w:pPr>
    </w:p>
    <w:p w:rsidR="00DB2D1E" w:rsidRPr="00BB5519" w:rsidRDefault="00DB2D1E" w:rsidP="00DB2D1E">
      <w:pPr>
        <w:spacing w:after="120"/>
        <w:rPr>
          <w:lang w:val="de-DE"/>
        </w:rPr>
      </w:pPr>
      <w:r w:rsidRPr="00BB5519">
        <w:rPr>
          <w:rFonts w:cs="Tahoma"/>
          <w:b/>
          <w:bCs/>
          <w:color w:val="000000"/>
          <w:szCs w:val="18"/>
          <w:lang w:val="de-DE"/>
        </w:rPr>
        <w:t>Informationsdienste</w:t>
      </w:r>
      <w:r w:rsidRPr="00610C3F">
        <w:rPr>
          <w:rFonts w:cs="Tahoma"/>
          <w:b/>
          <w:bCs/>
          <w:color w:val="000000"/>
          <w:szCs w:val="18"/>
          <w:lang w:val="de-DE"/>
        </w:rPr>
        <w:t xml:space="preserve"> </w:t>
      </w:r>
      <w:r w:rsidRPr="00BB5519">
        <w:rPr>
          <w:rFonts w:cs="Tahoma"/>
          <w:color w:val="000000"/>
          <w:szCs w:val="18"/>
          <w:lang w:val="de-DE"/>
        </w:rPr>
        <w:t>umfassen den Zugang zur Premier-Onlinewebsite sowie regelmäßige geplante Supportwebcasts, die von Programmmanagern, Entwicklern und Fachleuten von Microsoft geleitet werden und wichtige Informationen zu Microsoft-Technologien bieten.</w:t>
      </w:r>
    </w:p>
    <w:p w:rsidR="00DB2D1E" w:rsidRPr="00BB5519" w:rsidRDefault="00DB2D1E" w:rsidP="00DB2D1E">
      <w:pPr>
        <w:rPr>
          <w:lang w:val="de-DE"/>
        </w:rPr>
      </w:pPr>
      <w:r w:rsidRPr="00BB5519">
        <w:rPr>
          <w:rFonts w:cs="Tahoma"/>
          <w:b/>
          <w:bCs/>
          <w:color w:val="000000"/>
          <w:szCs w:val="18"/>
          <w:lang w:val="de-DE"/>
        </w:rPr>
        <w:t xml:space="preserve">Zusätzliche Stunden </w:t>
      </w:r>
      <w:r w:rsidRPr="00BB5519">
        <w:rPr>
          <w:rFonts w:cs="Tahoma"/>
          <w:color w:val="000000"/>
          <w:szCs w:val="18"/>
          <w:lang w:val="de-DE"/>
        </w:rPr>
        <w:t xml:space="preserve">können für Supportunterstützung oder Problembehebungssupport verwendet werden. </w:t>
      </w:r>
    </w:p>
    <w:p w:rsidR="00DB2D1E" w:rsidRPr="00BB5519" w:rsidRDefault="00DB2D1E" w:rsidP="00DB2D1E">
      <w:pPr>
        <w:jc w:val="both"/>
        <w:rPr>
          <w:lang w:val="de-DE"/>
        </w:rPr>
      </w:pPr>
    </w:p>
    <w:p w:rsidR="00DC0853" w:rsidRPr="00D15040" w:rsidRDefault="00DC0853" w:rsidP="00DC0853">
      <w:pPr>
        <w:spacing w:after="60"/>
        <w:rPr>
          <w:rFonts w:cs="Tahoma"/>
          <w:b/>
          <w:bCs/>
          <w:color w:val="000000"/>
          <w:szCs w:val="18"/>
          <w:lang w:val="de-DE"/>
        </w:rPr>
      </w:pPr>
      <w:r w:rsidRPr="00D15040">
        <w:rPr>
          <w:rFonts w:cs="Tahoma"/>
          <w:b/>
          <w:bCs/>
          <w:color w:val="000000"/>
          <w:szCs w:val="18"/>
          <w:lang w:val="de-DE"/>
        </w:rPr>
        <w:t>Weitere Geschäftsregeln</w:t>
      </w:r>
    </w:p>
    <w:p w:rsidR="00DB2D1E" w:rsidRPr="00BB5519" w:rsidRDefault="00DB2D1E" w:rsidP="00610C3F">
      <w:pPr>
        <w:rPr>
          <w:lang w:val="de-DE"/>
        </w:rPr>
      </w:pPr>
      <w:r w:rsidRPr="00BB5519">
        <w:rPr>
          <w:rFonts w:cs="Tahoma"/>
          <w:color w:val="000000"/>
          <w:szCs w:val="18"/>
          <w:lang w:val="de-DE"/>
        </w:rPr>
        <w:t>Alle Services stellen Support für kommerziell freigegebene, allgemein verfügbare Microsoft-Produkte bereit (sofern</w:t>
      </w:r>
      <w:r w:rsidR="00610C3F">
        <w:rPr>
          <w:rFonts w:cs="Tahoma"/>
          <w:color w:val="000000"/>
          <w:szCs w:val="18"/>
          <w:lang w:val="de-DE"/>
        </w:rPr>
        <w:t> </w:t>
      </w:r>
      <w:r w:rsidRPr="00BB5519">
        <w:rPr>
          <w:rFonts w:cs="Tahoma"/>
          <w:color w:val="000000"/>
          <w:szCs w:val="18"/>
          <w:lang w:val="de-DE"/>
        </w:rPr>
        <w:t>sie</w:t>
      </w:r>
      <w:r w:rsidR="00610C3F">
        <w:rPr>
          <w:rFonts w:cs="Tahoma"/>
          <w:color w:val="000000"/>
          <w:szCs w:val="18"/>
          <w:lang w:val="de-DE"/>
        </w:rPr>
        <w:t> </w:t>
      </w:r>
      <w:r w:rsidRPr="00BB5519">
        <w:rPr>
          <w:rFonts w:cs="Tahoma"/>
          <w:color w:val="000000"/>
          <w:szCs w:val="18"/>
          <w:lang w:val="de-DE"/>
        </w:rPr>
        <w:t>nicht auf der Premier-Onlinewebsite oder der Supportlebenszyklus-Website von Microsoft ausdrücklich ausgeschlossen sind).</w:t>
      </w:r>
      <w:r w:rsidR="009E4976" w:rsidRPr="00BB5519">
        <w:rPr>
          <w:rFonts w:cs="Tahoma"/>
          <w:color w:val="000000"/>
          <w:szCs w:val="18"/>
          <w:lang w:val="de-DE"/>
        </w:rPr>
        <w:t xml:space="preserve"> </w:t>
      </w:r>
      <w:r w:rsidRPr="00BB5519">
        <w:rPr>
          <w:rFonts w:cs="Tahoma"/>
          <w:color w:val="000000"/>
          <w:szCs w:val="18"/>
          <w:lang w:val="de-DE"/>
        </w:rPr>
        <w:t>Die Services werden im Allgemeinen stündlich abgerechnet und durch Fernübermittlung in englischer Sprache bereitgestellt (außer eine andere Sprache ist verfügbar).</w:t>
      </w:r>
      <w:r w:rsidR="009E4976" w:rsidRPr="00BB5519">
        <w:rPr>
          <w:rFonts w:cs="Tahoma"/>
          <w:color w:val="000000"/>
          <w:szCs w:val="18"/>
          <w:lang w:val="de-DE"/>
        </w:rPr>
        <w:t xml:space="preserve"> </w:t>
      </w:r>
      <w:r w:rsidRPr="00BB5519">
        <w:rPr>
          <w:rFonts w:cs="Tahoma"/>
          <w:color w:val="000000"/>
          <w:szCs w:val="18"/>
          <w:lang w:val="de-DE"/>
        </w:rPr>
        <w:t>Sie werden in dem Land erbracht, in dem der Volumenlizenzvertrag unterzeichnet wurde. Besuche vor Ort sind nicht vorausbezahlt und können nur erfolgen, wenn die entsprechenden Ressourcen verfügbar sind.</w:t>
      </w:r>
      <w:r w:rsidR="009E4976" w:rsidRPr="00BB5519">
        <w:rPr>
          <w:rFonts w:cs="Tahoma"/>
          <w:color w:val="000000"/>
          <w:szCs w:val="18"/>
          <w:lang w:val="de-DE"/>
        </w:rPr>
        <w:t xml:space="preserve"> </w:t>
      </w:r>
      <w:r w:rsidRPr="00BB5519">
        <w:rPr>
          <w:rFonts w:cs="Tahoma"/>
          <w:color w:val="000000"/>
          <w:szCs w:val="18"/>
          <w:lang w:val="de-DE"/>
        </w:rPr>
        <w:t>Services, die während eines Jahres nicht genutzt werden, verfallen.</w:t>
      </w:r>
      <w:r w:rsidR="009E4976" w:rsidRPr="00BB5519">
        <w:rPr>
          <w:rFonts w:cs="Tahoma"/>
          <w:color w:val="000000"/>
          <w:szCs w:val="18"/>
          <w:lang w:val="de-DE"/>
        </w:rPr>
        <w:t xml:space="preserve"> </w:t>
      </w:r>
      <w:r w:rsidRPr="00BB5519">
        <w:rPr>
          <w:rFonts w:cs="Tahoma"/>
          <w:color w:val="000000"/>
          <w:szCs w:val="18"/>
          <w:lang w:val="de-DE"/>
        </w:rPr>
        <w:t>Auf Anfrage des Kunden können wir über eine DFÜ-Remoteverbindung auf sein System zugreifen, um Probleme zu analysieren.</w:t>
      </w:r>
      <w:r w:rsidR="009E4976" w:rsidRPr="00BB5519">
        <w:rPr>
          <w:rFonts w:cs="Tahoma"/>
          <w:color w:val="000000"/>
          <w:szCs w:val="18"/>
          <w:lang w:val="de-DE"/>
        </w:rPr>
        <w:t xml:space="preserve"> </w:t>
      </w:r>
      <w:r w:rsidRPr="00BB5519">
        <w:rPr>
          <w:rFonts w:cs="Tahoma"/>
          <w:color w:val="000000"/>
          <w:szCs w:val="18"/>
          <w:lang w:val="de-DE"/>
        </w:rPr>
        <w:t>Der Kunde muss über einen Zugriff auf das Internet verfügen, um internetbasierte Dienste nutzen zu können.</w:t>
      </w:r>
    </w:p>
    <w:p w:rsidR="00DB2D1E" w:rsidRPr="00BB5519" w:rsidRDefault="00DB2D1E" w:rsidP="00DB2D1E">
      <w:pPr>
        <w:jc w:val="both"/>
        <w:rPr>
          <w:lang w:val="de-DE"/>
        </w:rPr>
      </w:pPr>
    </w:p>
    <w:p w:rsidR="00596386" w:rsidRPr="00D15040" w:rsidRDefault="00596386" w:rsidP="00596386">
      <w:pPr>
        <w:rPr>
          <w:b/>
          <w:sz w:val="24"/>
          <w:szCs w:val="24"/>
          <w:lang w:val="de-DE"/>
        </w:rPr>
      </w:pPr>
      <w:r w:rsidRPr="00D15040">
        <w:rPr>
          <w:b/>
          <w:sz w:val="24"/>
          <w:szCs w:val="24"/>
          <w:lang w:val="de-DE"/>
        </w:rPr>
        <w:t>Microsoft Windows Azure-Supportangebote</w:t>
      </w:r>
    </w:p>
    <w:p w:rsidR="00596386" w:rsidRPr="00BB5519" w:rsidRDefault="00596386" w:rsidP="00596386">
      <w:pPr>
        <w:rPr>
          <w:lang w:val="de-DE"/>
        </w:rPr>
      </w:pPr>
    </w:p>
    <w:p w:rsidR="00596386" w:rsidRPr="00BB5519" w:rsidRDefault="00596386" w:rsidP="00596386">
      <w:pPr>
        <w:jc w:val="both"/>
        <w:rPr>
          <w:lang w:val="de-DE"/>
        </w:rPr>
      </w:pPr>
      <w:r w:rsidRPr="00BB5519">
        <w:rPr>
          <w:rFonts w:cs="Arial"/>
          <w:color w:val="000000"/>
          <w:szCs w:val="18"/>
          <w:lang w:val="de-DE"/>
        </w:rPr>
        <w:t xml:space="preserve">Sofern unten nichts anderes dargelegt ist, sind die Windows Azure-Supportservices für Windows Azure verfügbar. </w:t>
      </w:r>
    </w:p>
    <w:p w:rsidR="00596386" w:rsidRPr="00BB5519" w:rsidRDefault="00596386" w:rsidP="00596386">
      <w:pPr>
        <w:tabs>
          <w:tab w:val="left" w:pos="360"/>
        </w:tabs>
        <w:jc w:val="both"/>
        <w:rPr>
          <w:lang w:val="de-DE"/>
        </w:rPr>
      </w:pPr>
    </w:p>
    <w:p w:rsidR="00596386" w:rsidRPr="00BB5519" w:rsidRDefault="00596386" w:rsidP="00610C3F">
      <w:pPr>
        <w:tabs>
          <w:tab w:val="left" w:pos="360"/>
        </w:tabs>
        <w:ind w:right="90"/>
        <w:jc w:val="both"/>
        <w:rPr>
          <w:lang w:val="de-DE"/>
        </w:rPr>
      </w:pPr>
      <w:r w:rsidRPr="00BB5519">
        <w:rPr>
          <w:rFonts w:cs="Arial"/>
          <w:szCs w:val="18"/>
          <w:lang w:val="de-DE"/>
        </w:rPr>
        <w:t>Die Services werden vom Windows Azure-Supportteam erbracht, das aus Windows Azure-Experten besteht, die Supportanfragen von Kunden zu Windows Azure bearbeiten</w:t>
      </w:r>
      <w:r w:rsidRPr="00BB5519">
        <w:rPr>
          <w:rFonts w:cs="Arial"/>
          <w:snapToGrid w:val="0"/>
          <w:szCs w:val="18"/>
          <w:lang w:val="de-DE"/>
        </w:rPr>
        <w:t xml:space="preserve">. Kunden erhalten einen verbesserten </w:t>
      </w:r>
      <w:r w:rsidRPr="00BB5519">
        <w:rPr>
          <w:rFonts w:cs="Arial"/>
          <w:szCs w:val="18"/>
          <w:lang w:val="de-DE"/>
        </w:rPr>
        <w:t>Support, der 24</w:t>
      </w:r>
      <w:r w:rsidR="00610C3F">
        <w:rPr>
          <w:rFonts w:cs="Arial"/>
          <w:szCs w:val="18"/>
          <w:lang w:val="de-DE"/>
        </w:rPr>
        <w:t> </w:t>
      </w:r>
      <w:r w:rsidRPr="00BB5519">
        <w:rPr>
          <w:rFonts w:cs="Arial"/>
          <w:szCs w:val="18"/>
          <w:lang w:val="de-DE"/>
        </w:rPr>
        <w:t>Stunden/Tag an 7 Tagen/Woche ausschließlich in englischer Sprache verfügbar ist.</w:t>
      </w:r>
      <w:r w:rsidR="009E4976" w:rsidRPr="00BB5519">
        <w:rPr>
          <w:rFonts w:cs="Arial"/>
          <w:szCs w:val="18"/>
          <w:lang w:val="de-DE"/>
        </w:rPr>
        <w:t xml:space="preserve"> </w:t>
      </w:r>
      <w:r w:rsidRPr="00BB5519">
        <w:rPr>
          <w:rFonts w:cs="Arial"/>
          <w:szCs w:val="18"/>
          <w:lang w:val="de-DE"/>
        </w:rPr>
        <w:t>Support in anderen Sprachen (</w:t>
      </w:r>
      <w:hyperlink r:id="rId33" w:history="1">
        <w:r w:rsidRPr="00BB5519">
          <w:rPr>
            <w:rStyle w:val="Hyperlink"/>
            <w:szCs w:val="18"/>
            <w:lang w:val="de-DE"/>
          </w:rPr>
          <w:t>www.windowsazure.com/en-us/support/plans/</w:t>
        </w:r>
      </w:hyperlink>
      <w:r w:rsidRPr="00BB5519">
        <w:rPr>
          <w:rFonts w:cs="Arial"/>
          <w:szCs w:val="18"/>
          <w:lang w:val="de-DE"/>
        </w:rPr>
        <w:t>) steht nur während der Geschäftszeiten zur Verfügung.</w:t>
      </w:r>
      <w:r w:rsidR="009E4976" w:rsidRPr="00BB5519">
        <w:rPr>
          <w:rFonts w:cs="Arial"/>
          <w:szCs w:val="18"/>
          <w:lang w:val="de-DE"/>
        </w:rPr>
        <w:t xml:space="preserve"> </w:t>
      </w:r>
      <w:r w:rsidRPr="00BB5519">
        <w:rPr>
          <w:rFonts w:cs="Arial"/>
          <w:szCs w:val="18"/>
          <w:lang w:val="de-DE"/>
        </w:rPr>
        <w:t>.</w:t>
      </w:r>
      <w:r w:rsidR="009E4976" w:rsidRPr="00BB5519">
        <w:rPr>
          <w:rFonts w:cs="Arial"/>
          <w:szCs w:val="18"/>
          <w:lang w:val="de-DE"/>
        </w:rPr>
        <w:t xml:space="preserve"> </w:t>
      </w:r>
    </w:p>
    <w:p w:rsidR="00596386" w:rsidRPr="00BB5519" w:rsidRDefault="00596386" w:rsidP="00596386">
      <w:pPr>
        <w:tabs>
          <w:tab w:val="left" w:pos="360"/>
        </w:tabs>
        <w:jc w:val="both"/>
        <w:rPr>
          <w:lang w:val="de-DE"/>
        </w:rPr>
      </w:pPr>
    </w:p>
    <w:p w:rsidR="00596386" w:rsidRPr="00BB5519" w:rsidRDefault="00596386" w:rsidP="00596386">
      <w:pPr>
        <w:tabs>
          <w:tab w:val="left" w:pos="360"/>
        </w:tabs>
        <w:jc w:val="both"/>
        <w:rPr>
          <w:lang w:val="de-DE"/>
        </w:rPr>
      </w:pPr>
      <w:r w:rsidRPr="00BB5519">
        <w:rPr>
          <w:rFonts w:cs="Arial"/>
          <w:szCs w:val="18"/>
          <w:lang w:val="de-DE"/>
        </w:rPr>
        <w:t>„Fall“ ist eine unterstützte Break-Fix-Supportanfrage für ein Einzelnes Supportproblem.</w:t>
      </w:r>
      <w:r w:rsidR="009E4976" w:rsidRPr="00BB5519">
        <w:rPr>
          <w:rFonts w:cs="Arial"/>
          <w:szCs w:val="18"/>
          <w:lang w:val="de-DE"/>
        </w:rPr>
        <w:t xml:space="preserve"> </w:t>
      </w:r>
      <w:r w:rsidRPr="00BB5519">
        <w:rPr>
          <w:rFonts w:cs="Arial"/>
          <w:szCs w:val="18"/>
          <w:lang w:val="de-DE"/>
        </w:rPr>
        <w:t>Ein „Einzelnes Supportproblem“ ist ein Problem, das nicht in untergeordnete Probleme aufgeteilt werden kann.</w:t>
      </w:r>
      <w:r w:rsidR="009E4976" w:rsidRPr="00BB5519">
        <w:rPr>
          <w:rFonts w:cs="Arial"/>
          <w:szCs w:val="18"/>
          <w:lang w:val="de-DE"/>
        </w:rPr>
        <w:t xml:space="preserve"> </w:t>
      </w:r>
      <w:r w:rsidRPr="00BB5519">
        <w:rPr>
          <w:rFonts w:cs="Arial"/>
          <w:szCs w:val="18"/>
          <w:lang w:val="de-DE"/>
        </w:rPr>
        <w:t>Wenn ein Problem aus untergeordneten Problemen besteht, wird jedes von ihnen als separater Fall betrachtet.</w:t>
      </w:r>
      <w:r w:rsidR="009E4976" w:rsidRPr="00BB5519">
        <w:rPr>
          <w:rFonts w:cs="Arial"/>
          <w:szCs w:val="18"/>
          <w:lang w:val="de-DE"/>
        </w:rPr>
        <w:t xml:space="preserve"> </w:t>
      </w:r>
      <w:r w:rsidRPr="00BB5519">
        <w:rPr>
          <w:rFonts w:cs="Arial"/>
          <w:szCs w:val="18"/>
          <w:lang w:val="de-DE"/>
        </w:rPr>
        <w:t>Fälle umfassen den wirtschaftlich angemessenen Serviceumfang, der für die Problembehandlung und Hilfe bei der Behebung des Supportproblems notwendig ist.</w:t>
      </w:r>
      <w:r w:rsidR="009E4976" w:rsidRPr="00BB5519">
        <w:rPr>
          <w:rFonts w:cs="Arial"/>
          <w:szCs w:val="18"/>
          <w:lang w:val="de-DE"/>
        </w:rPr>
        <w:t xml:space="preserve"> </w:t>
      </w:r>
      <w:r w:rsidRPr="00BB5519">
        <w:rPr>
          <w:rFonts w:cs="Arial"/>
          <w:szCs w:val="18"/>
          <w:lang w:val="de-DE"/>
        </w:rPr>
        <w:t xml:space="preserve">Fälle können über die unterstützte Online-Supportwebsite unter </w:t>
      </w:r>
      <w:hyperlink r:id="rId34" w:history="1">
        <w:r w:rsidRPr="00BB5519">
          <w:rPr>
            <w:rStyle w:val="Hyperlink"/>
            <w:rFonts w:cs="Arial"/>
            <w:szCs w:val="18"/>
            <w:lang w:val="de-DE"/>
          </w:rPr>
          <w:t>www.windowsazure.com</w:t>
        </w:r>
      </w:hyperlink>
      <w:r w:rsidRPr="00BB5519">
        <w:rPr>
          <w:rFonts w:cs="Arial"/>
          <w:szCs w:val="18"/>
          <w:lang w:val="de-DE"/>
        </w:rPr>
        <w:t xml:space="preserve"> eingereicht werden.</w:t>
      </w:r>
      <w:r w:rsidR="009E4976" w:rsidRPr="00BB5519">
        <w:rPr>
          <w:rFonts w:cs="Arial"/>
          <w:szCs w:val="18"/>
          <w:lang w:val="de-DE"/>
        </w:rPr>
        <w:t xml:space="preserve"> </w:t>
      </w:r>
    </w:p>
    <w:p w:rsidR="00596386" w:rsidRPr="00BB5519" w:rsidRDefault="00596386" w:rsidP="00596386">
      <w:pPr>
        <w:tabs>
          <w:tab w:val="left" w:pos="360"/>
        </w:tabs>
        <w:jc w:val="both"/>
        <w:rPr>
          <w:lang w:val="de-DE"/>
        </w:rPr>
      </w:pPr>
    </w:p>
    <w:p w:rsidR="00596386" w:rsidRPr="00BB5519" w:rsidRDefault="00596386" w:rsidP="00596386">
      <w:pPr>
        <w:tabs>
          <w:tab w:val="left" w:pos="360"/>
        </w:tabs>
        <w:jc w:val="both"/>
        <w:rPr>
          <w:lang w:val="de-DE"/>
        </w:rPr>
      </w:pPr>
      <w:r w:rsidRPr="00BB5519">
        <w:rPr>
          <w:rFonts w:cs="Arial"/>
          <w:szCs w:val="18"/>
          <w:lang w:val="de-DE"/>
        </w:rPr>
        <w:t>Soweit nichts anderes zwischen einem Kunden und Microsoft schriftlich vereinbart wurde, werden die Services in englischer Sprache erbracht. Zusätzliche Services, darunter technische Supportservices, sind möglicherweise in Übereinstimmung mit einem separaten Vertrag, der zwischen den Parteien geschlossen wird, für Windows Azure verfügbar.</w:t>
      </w:r>
      <w:r w:rsidR="009E4976" w:rsidRPr="00BB5519">
        <w:rPr>
          <w:rFonts w:cs="Arial"/>
          <w:szCs w:val="18"/>
          <w:lang w:val="de-DE"/>
        </w:rPr>
        <w:t xml:space="preserve"> </w:t>
      </w:r>
      <w:r w:rsidRPr="00BB5519">
        <w:rPr>
          <w:rFonts w:cs="Arial"/>
          <w:szCs w:val="18"/>
          <w:lang w:val="de-DE"/>
        </w:rPr>
        <w:t>Diese zusätzlichen Services unterliegen den Bestimmungen dieses separaten Vertrages.</w:t>
      </w:r>
    </w:p>
    <w:p w:rsidR="00596386" w:rsidRPr="00BB5519" w:rsidRDefault="00596386" w:rsidP="00596386">
      <w:pPr>
        <w:pStyle w:val="normal1"/>
        <w:jc w:val="both"/>
        <w:rPr>
          <w:lang w:val="de-DE"/>
        </w:rPr>
      </w:pPr>
    </w:p>
    <w:p w:rsidR="00596386" w:rsidRPr="00D15040" w:rsidRDefault="00596386" w:rsidP="00610C3F">
      <w:pPr>
        <w:keepNext/>
        <w:keepLines/>
        <w:widowControl w:val="0"/>
        <w:tabs>
          <w:tab w:val="left" w:pos="720"/>
          <w:tab w:val="left" w:pos="1170"/>
        </w:tabs>
        <w:rPr>
          <w:rFonts w:cs="Arial"/>
          <w:b/>
          <w:bCs/>
          <w:sz w:val="24"/>
          <w:szCs w:val="18"/>
          <w:lang w:val="de-DE" w:eastAsia="ja-JP"/>
        </w:rPr>
      </w:pPr>
      <w:r w:rsidRPr="00D15040">
        <w:rPr>
          <w:rFonts w:cs="Arial"/>
          <w:b/>
          <w:bCs/>
          <w:sz w:val="24"/>
          <w:szCs w:val="18"/>
          <w:lang w:val="de-DE" w:eastAsia="ja-JP"/>
        </w:rPr>
        <w:lastRenderedPageBreak/>
        <w:t>Professional Direct Support for Windows Azure</w:t>
      </w:r>
    </w:p>
    <w:p w:rsidR="00596386" w:rsidRPr="00BB5519" w:rsidRDefault="00596386" w:rsidP="00610C3F">
      <w:pPr>
        <w:keepNext/>
        <w:keepLines/>
        <w:tabs>
          <w:tab w:val="left" w:pos="360"/>
        </w:tabs>
        <w:jc w:val="both"/>
        <w:rPr>
          <w:lang w:val="de-DE"/>
        </w:rPr>
      </w:pPr>
    </w:p>
    <w:p w:rsidR="006E7D7A" w:rsidRPr="00BB5519" w:rsidRDefault="006E7D7A" w:rsidP="006E7D7A">
      <w:pPr>
        <w:tabs>
          <w:tab w:val="left" w:pos="360"/>
        </w:tabs>
        <w:jc w:val="both"/>
        <w:rPr>
          <w:lang w:val="de-DE"/>
        </w:rPr>
      </w:pPr>
      <w:r w:rsidRPr="00BB5519">
        <w:rPr>
          <w:rFonts w:cs="Arial"/>
          <w:i/>
          <w:color w:val="000000"/>
          <w:szCs w:val="18"/>
          <w:lang w:val="de-DE"/>
        </w:rPr>
        <w:t>Begrenzte Marktverfügbarkeit:</w:t>
      </w:r>
      <w:r w:rsidRPr="00BB5519">
        <w:rPr>
          <w:rFonts w:cs="Arial"/>
          <w:color w:val="000000"/>
          <w:szCs w:val="18"/>
          <w:lang w:val="de-DE"/>
        </w:rPr>
        <w:t xml:space="preserve"> Die nachstehend dargelegten Dienstleistungen im Zusammenhang mit Professional Direct Support for Windows Azure werden nur in englischer Sprache in einer begrenzten Anzahl von Ländern (</w:t>
      </w:r>
      <w:hyperlink r:id="rId35" w:history="1">
        <w:r w:rsidRPr="00BB5519">
          <w:rPr>
            <w:rStyle w:val="Hyperlink"/>
            <w:rFonts w:cs="Arial"/>
            <w:szCs w:val="18"/>
            <w:lang w:val="de-DE"/>
          </w:rPr>
          <w:t>www.windowsazure.com/en-us/support/plans</w:t>
        </w:r>
        <w:r w:rsidRPr="006468EC">
          <w:rPr>
            <w:color w:val="000000"/>
            <w:lang w:val="de-DE"/>
          </w:rPr>
          <w:t>/</w:t>
        </w:r>
      </w:hyperlink>
      <w:r w:rsidRPr="00BB5519">
        <w:rPr>
          <w:rFonts w:cs="Arial"/>
          <w:szCs w:val="18"/>
          <w:lang w:val="de-DE"/>
        </w:rPr>
        <w:t>) erbracht.</w:t>
      </w:r>
    </w:p>
    <w:p w:rsidR="006E7D7A" w:rsidRPr="00BB5519" w:rsidRDefault="006E7D7A" w:rsidP="006E7D7A">
      <w:pPr>
        <w:tabs>
          <w:tab w:val="left" w:pos="360"/>
        </w:tabs>
        <w:jc w:val="both"/>
        <w:rPr>
          <w:lang w:val="de-DE"/>
        </w:rPr>
      </w:pPr>
    </w:p>
    <w:p w:rsidR="00596386" w:rsidRPr="00BB5519" w:rsidRDefault="00596386" w:rsidP="00596386">
      <w:pPr>
        <w:tabs>
          <w:tab w:val="left" w:pos="360"/>
        </w:tabs>
        <w:jc w:val="both"/>
        <w:rPr>
          <w:lang w:val="de-DE"/>
        </w:rPr>
      </w:pPr>
      <w:r w:rsidRPr="00BB5519">
        <w:rPr>
          <w:rFonts w:cs="Arial"/>
          <w:color w:val="000000"/>
          <w:szCs w:val="18"/>
          <w:lang w:val="de-DE"/>
        </w:rPr>
        <w:t>Die Kunden sind dafür verantwortlich, den anfänglichen Schweregrad im Rahmen des Web-Übermittlungsverfahrens und gemäß den nachfolgend aufgeführten Richtlinien zum Schweregrad festzulegen. Microsoft ist dazu berechtigt, den Schweregrad herunterzustufen, u. a. wenn der Kunde angemessene Ressourcen oder Reaktionen nicht bereitstellt, um Microsoft die Fortsetzung der Bemühungen zur Problembehebung zu ermöglichen.</w:t>
      </w:r>
      <w:r w:rsidR="009E4976" w:rsidRPr="00BB5519">
        <w:rPr>
          <w:rFonts w:cs="Arial"/>
          <w:color w:val="000000"/>
          <w:szCs w:val="18"/>
          <w:lang w:val="de-DE"/>
        </w:rPr>
        <w:t xml:space="preserve"> </w:t>
      </w:r>
      <w:r w:rsidRPr="00BB5519">
        <w:rPr>
          <w:rFonts w:cs="Arial"/>
          <w:color w:val="000000"/>
          <w:szCs w:val="18"/>
          <w:lang w:val="de-DE"/>
        </w:rPr>
        <w:t>Der Schweregrad des Falls bestimmt die Reaktionsebene innerhalb von Microsoft, und geschätzte Reaktionszeiten sind in der folgenden Tabelle festgelegt.</w:t>
      </w:r>
      <w:r w:rsidR="009E4976" w:rsidRPr="00BB5519">
        <w:rPr>
          <w:rFonts w:cs="Arial"/>
          <w:color w:val="000000"/>
          <w:szCs w:val="18"/>
          <w:lang w:val="de-DE"/>
        </w:rPr>
        <w:t xml:space="preserve"> </w:t>
      </w:r>
      <w:r w:rsidRPr="00BB5519">
        <w:rPr>
          <w:rFonts w:cs="Arial"/>
          <w:color w:val="000000"/>
          <w:szCs w:val="18"/>
          <w:lang w:val="de-DE"/>
        </w:rPr>
        <w:t>Unsere Fähigkeit, die Services zu erbringen, ist von der umfassenden und zeitgerechten Zusammenarbeit des Kunden sowie von der Genauigkeit und Vollständigkeit der vom Kunden bereitgestellten Informationen abhängig.</w:t>
      </w:r>
    </w:p>
    <w:p w:rsidR="000D747C" w:rsidRPr="00BB5519" w:rsidRDefault="000D747C" w:rsidP="00596386">
      <w:pPr>
        <w:tabs>
          <w:tab w:val="left" w:pos="360"/>
        </w:tabs>
        <w:jc w:val="both"/>
        <w:rPr>
          <w:lang w:val="de-DE"/>
        </w:rPr>
      </w:pPr>
    </w:p>
    <w:p w:rsidR="00381B33" w:rsidRPr="00BB5519" w:rsidRDefault="00381B33" w:rsidP="00DD7F8E">
      <w:pPr>
        <w:rPr>
          <w:lang w:val="de-DE"/>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8"/>
        <w:gridCol w:w="1759"/>
        <w:gridCol w:w="3003"/>
        <w:gridCol w:w="3060"/>
      </w:tblGrid>
      <w:tr w:rsidR="00596386" w:rsidRPr="00BB5519" w:rsidTr="00610C3F">
        <w:tc>
          <w:tcPr>
            <w:tcW w:w="1538" w:type="dxa"/>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Schweregrad</w:t>
            </w:r>
          </w:p>
        </w:tc>
        <w:tc>
          <w:tcPr>
            <w:tcW w:w="1759" w:type="dxa"/>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Kontakt</w:t>
            </w:r>
          </w:p>
        </w:tc>
        <w:tc>
          <w:tcPr>
            <w:tcW w:w="3003" w:type="dxa"/>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Situation des Kunden</w:t>
            </w:r>
          </w:p>
        </w:tc>
        <w:tc>
          <w:tcPr>
            <w:tcW w:w="3060" w:type="dxa"/>
            <w:shd w:val="clear" w:color="auto" w:fill="FABF8F"/>
          </w:tcPr>
          <w:p w:rsidR="00596386" w:rsidRPr="00BB5519" w:rsidRDefault="00596386" w:rsidP="00610C3F">
            <w:pPr>
              <w:jc w:val="center"/>
              <w:rPr>
                <w:rFonts w:cs="Tahoma"/>
                <w:b/>
                <w:bCs/>
                <w:color w:val="000000"/>
                <w:sz w:val="20"/>
                <w:szCs w:val="18"/>
              </w:rPr>
            </w:pPr>
            <w:r w:rsidRPr="00BB5519">
              <w:rPr>
                <w:rFonts w:cs="Tahoma"/>
                <w:b/>
                <w:bCs/>
                <w:color w:val="000000"/>
                <w:sz w:val="20"/>
                <w:szCs w:val="18"/>
              </w:rPr>
              <w:t>Von Microsoft erwartete</w:t>
            </w:r>
            <w:r w:rsidR="00610C3F">
              <w:rPr>
                <w:rFonts w:cs="Tahoma"/>
                <w:b/>
                <w:bCs/>
                <w:color w:val="000000"/>
                <w:sz w:val="20"/>
                <w:szCs w:val="18"/>
              </w:rPr>
              <w:t> </w:t>
            </w:r>
            <w:r w:rsidRPr="00BB5519">
              <w:rPr>
                <w:rFonts w:cs="Tahoma"/>
                <w:b/>
                <w:bCs/>
                <w:color w:val="000000"/>
                <w:sz w:val="20"/>
                <w:szCs w:val="18"/>
              </w:rPr>
              <w:t>Reaktion</w:t>
            </w:r>
          </w:p>
        </w:tc>
      </w:tr>
      <w:tr w:rsidR="00596386" w:rsidRPr="00BB5519" w:rsidTr="00610C3F">
        <w:tc>
          <w:tcPr>
            <w:tcW w:w="1538" w:type="dxa"/>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A</w:t>
            </w:r>
          </w:p>
        </w:tc>
        <w:tc>
          <w:tcPr>
            <w:tcW w:w="1759" w:type="dxa"/>
          </w:tcPr>
          <w:p w:rsidR="00596386" w:rsidRPr="00BB5519" w:rsidRDefault="00596386" w:rsidP="00610C3F">
            <w:pPr>
              <w:spacing w:after="60" w:line="240" w:lineRule="atLeast"/>
              <w:jc w:val="center"/>
              <w:rPr>
                <w:rFonts w:ascii="SegoeBook" w:hAnsi="SegoeBook"/>
                <w:szCs w:val="18"/>
              </w:rPr>
            </w:pPr>
            <w:r w:rsidRPr="00BB5519">
              <w:rPr>
                <w:rFonts w:ascii="SegoeBook" w:hAnsi="SegoeBook"/>
                <w:szCs w:val="18"/>
              </w:rPr>
              <w:t>Einreichung per</w:t>
            </w:r>
            <w:r w:rsidR="00610C3F">
              <w:rPr>
                <w:rFonts w:ascii="SegoeBook" w:hAnsi="SegoeBook"/>
                <w:szCs w:val="18"/>
              </w:rPr>
              <w:t> </w:t>
            </w:r>
            <w:r w:rsidRPr="00BB5519">
              <w:rPr>
                <w:rFonts w:ascii="SegoeBook" w:hAnsi="SegoeBook"/>
                <w:szCs w:val="18"/>
              </w:rPr>
              <w:t>Web</w:t>
            </w:r>
          </w:p>
        </w:tc>
        <w:tc>
          <w:tcPr>
            <w:tcW w:w="3003" w:type="dxa"/>
          </w:tcPr>
          <w:p w:rsidR="00596386" w:rsidRPr="00BB5519" w:rsidRDefault="00596386" w:rsidP="00610C3F">
            <w:pPr>
              <w:spacing w:after="60" w:line="240" w:lineRule="atLeast"/>
              <w:rPr>
                <w:lang w:val="de-DE"/>
              </w:rPr>
            </w:pPr>
            <w:r w:rsidRPr="00BB5519">
              <w:rPr>
                <w:rFonts w:ascii="SegoeBook" w:hAnsi="SegoeBook"/>
                <w:szCs w:val="18"/>
                <w:lang w:val="de-DE"/>
              </w:rPr>
              <w:t>Kritische Auswirkungen auf das</w:t>
            </w:r>
            <w:r w:rsidR="00610C3F">
              <w:rPr>
                <w:rFonts w:ascii="SegoeBook" w:hAnsi="SegoeBook"/>
                <w:szCs w:val="18"/>
                <w:lang w:val="de-DE"/>
              </w:rPr>
              <w:t> </w:t>
            </w:r>
            <w:r w:rsidRPr="00BB5519">
              <w:rPr>
                <w:rFonts w:ascii="SegoeBook" w:hAnsi="SegoeBook"/>
                <w:szCs w:val="18"/>
                <w:lang w:val="de-DE"/>
              </w:rPr>
              <w:t>Geschäft:</w:t>
            </w:r>
          </w:p>
          <w:p w:rsidR="00596386" w:rsidRPr="00BB5519" w:rsidRDefault="00596386" w:rsidP="00647923">
            <w:pPr>
              <w:spacing w:after="60" w:line="240" w:lineRule="atLeast"/>
              <w:rPr>
                <w:lang w:val="de-DE"/>
              </w:rPr>
            </w:pPr>
            <w:r w:rsidRPr="00BB5519">
              <w:rPr>
                <w:rFonts w:ascii="SegoeBook" w:hAnsi="SegoeBook"/>
                <w:szCs w:val="18"/>
                <w:lang w:val="de-DE"/>
              </w:rPr>
              <w:t>Erheblicher Verlust oder erhebliche Beeinträchtigung von Diensten (Anwendungsausfall)</w:t>
            </w:r>
          </w:p>
          <w:p w:rsidR="00596386" w:rsidRPr="00BB5519" w:rsidRDefault="00596386" w:rsidP="00610C3F">
            <w:pPr>
              <w:spacing w:after="60" w:line="240" w:lineRule="atLeast"/>
              <w:rPr>
                <w:rFonts w:ascii="SegoeBook" w:hAnsi="SegoeBook"/>
                <w:szCs w:val="18"/>
                <w:lang w:val="de-DE"/>
              </w:rPr>
            </w:pPr>
            <w:r w:rsidRPr="00BB5519">
              <w:rPr>
                <w:rFonts w:ascii="SegoeBook" w:hAnsi="SegoeBook"/>
                <w:szCs w:val="18"/>
                <w:lang w:val="de-DE"/>
              </w:rPr>
              <w:t>Bearbeitung innerhalb von 1</w:t>
            </w:r>
            <w:r w:rsidR="00610C3F">
              <w:rPr>
                <w:rFonts w:ascii="SegoeBook" w:hAnsi="SegoeBook"/>
                <w:szCs w:val="18"/>
                <w:lang w:val="de-DE"/>
              </w:rPr>
              <w:t> </w:t>
            </w:r>
            <w:r w:rsidRPr="00BB5519">
              <w:rPr>
                <w:rFonts w:ascii="SegoeBook" w:hAnsi="SegoeBook"/>
                <w:szCs w:val="18"/>
                <w:lang w:val="de-DE"/>
              </w:rPr>
              <w:t>Stunde erforderlich</w:t>
            </w:r>
          </w:p>
        </w:tc>
        <w:tc>
          <w:tcPr>
            <w:tcW w:w="3060" w:type="dxa"/>
          </w:tcPr>
          <w:p w:rsidR="00596386" w:rsidRPr="00BB5519" w:rsidRDefault="00596386" w:rsidP="00610C3F">
            <w:pPr>
              <w:spacing w:after="60" w:line="240" w:lineRule="atLeast"/>
              <w:ind w:left="252" w:hanging="252"/>
            </w:pPr>
            <w:r w:rsidRPr="00BB5519">
              <w:rPr>
                <w:rFonts w:ascii="SegoeBook" w:hAnsi="SegoeBook"/>
                <w:szCs w:val="18"/>
              </w:rPr>
              <w:t>1. Reaktion in 1 Stunde oder weniger</w:t>
            </w:r>
          </w:p>
          <w:p w:rsidR="00596386" w:rsidRPr="00BB5519" w:rsidRDefault="00596386" w:rsidP="00647923">
            <w:pPr>
              <w:spacing w:after="60" w:line="240" w:lineRule="atLeast"/>
              <w:rPr>
                <w:rFonts w:ascii="SegoeBook" w:hAnsi="SegoeBook"/>
                <w:szCs w:val="18"/>
              </w:rPr>
            </w:pPr>
          </w:p>
        </w:tc>
      </w:tr>
      <w:tr w:rsidR="00596386" w:rsidRPr="00BB5519" w:rsidTr="00610C3F">
        <w:tc>
          <w:tcPr>
            <w:tcW w:w="1538" w:type="dxa"/>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B</w:t>
            </w:r>
          </w:p>
        </w:tc>
        <w:tc>
          <w:tcPr>
            <w:tcW w:w="1759" w:type="dxa"/>
          </w:tcPr>
          <w:p w:rsidR="00596386" w:rsidRPr="00BB5519" w:rsidRDefault="00596386" w:rsidP="00610C3F">
            <w:pPr>
              <w:spacing w:after="60" w:line="240" w:lineRule="atLeast"/>
              <w:jc w:val="center"/>
              <w:rPr>
                <w:rFonts w:ascii="SegoeBook" w:hAnsi="SegoeBook"/>
                <w:szCs w:val="18"/>
              </w:rPr>
            </w:pPr>
            <w:r w:rsidRPr="00BB5519">
              <w:rPr>
                <w:rFonts w:ascii="SegoeBook" w:hAnsi="SegoeBook"/>
                <w:szCs w:val="18"/>
              </w:rPr>
              <w:t>Einreichung per</w:t>
            </w:r>
            <w:r w:rsidR="00610C3F">
              <w:rPr>
                <w:rFonts w:ascii="SegoeBook" w:hAnsi="SegoeBook"/>
                <w:szCs w:val="18"/>
              </w:rPr>
              <w:t> </w:t>
            </w:r>
            <w:r w:rsidRPr="00BB5519">
              <w:rPr>
                <w:rFonts w:ascii="SegoeBook" w:hAnsi="SegoeBook"/>
                <w:szCs w:val="18"/>
              </w:rPr>
              <w:t>Web</w:t>
            </w:r>
          </w:p>
        </w:tc>
        <w:tc>
          <w:tcPr>
            <w:tcW w:w="3003" w:type="dxa"/>
          </w:tcPr>
          <w:p w:rsidR="00596386" w:rsidRPr="00BB5519" w:rsidRDefault="00596386" w:rsidP="00647923">
            <w:pPr>
              <w:spacing w:after="60" w:line="240" w:lineRule="atLeast"/>
              <w:rPr>
                <w:lang w:val="de-DE"/>
              </w:rPr>
            </w:pPr>
            <w:r w:rsidRPr="00BB5519">
              <w:rPr>
                <w:rFonts w:ascii="SegoeBook" w:hAnsi="SegoeBook"/>
                <w:szCs w:val="18"/>
                <w:lang w:val="de-DE"/>
              </w:rPr>
              <w:t xml:space="preserve">Mittelschwere Auswirkungen auf das Geschäft: </w:t>
            </w:r>
          </w:p>
          <w:p w:rsidR="00596386" w:rsidRPr="00BB5519" w:rsidRDefault="00596386" w:rsidP="00F246FF">
            <w:pPr>
              <w:spacing w:line="240" w:lineRule="atLeast"/>
              <w:rPr>
                <w:lang w:val="de-DE"/>
              </w:rPr>
            </w:pPr>
            <w:r w:rsidRPr="00BB5519">
              <w:rPr>
                <w:rFonts w:ascii="SegoeBook" w:hAnsi="SegoeBook"/>
                <w:szCs w:val="18"/>
                <w:lang w:val="de-DE"/>
              </w:rPr>
              <w:t>Mittelmäßiger Verlust oder mittelmäßige Beeinträchtigung von</w:t>
            </w:r>
            <w:r w:rsidR="00F246FF">
              <w:rPr>
                <w:rFonts w:ascii="SegoeBook" w:hAnsi="SegoeBook"/>
                <w:szCs w:val="18"/>
                <w:lang w:val="de-DE"/>
              </w:rPr>
              <w:t> </w:t>
            </w:r>
            <w:r w:rsidRPr="00BB5519">
              <w:rPr>
                <w:rFonts w:ascii="SegoeBook" w:hAnsi="SegoeBook"/>
                <w:szCs w:val="18"/>
                <w:lang w:val="de-DE"/>
              </w:rPr>
              <w:t>Diensten, die Arbeit kann jedoch vernünftigerweise mit Beeinträchtigungen fortgesetzt werden.</w:t>
            </w:r>
          </w:p>
          <w:p w:rsidR="00596386" w:rsidRPr="00BB5519" w:rsidRDefault="00596386" w:rsidP="00610C3F">
            <w:pPr>
              <w:spacing w:after="60" w:line="240" w:lineRule="atLeast"/>
              <w:rPr>
                <w:rFonts w:ascii="SegoeBook" w:hAnsi="SegoeBook"/>
                <w:szCs w:val="18"/>
                <w:lang w:val="de-DE"/>
              </w:rPr>
            </w:pPr>
            <w:r w:rsidRPr="00BB5519">
              <w:rPr>
                <w:rFonts w:ascii="SegoeBook" w:hAnsi="SegoeBook"/>
                <w:szCs w:val="18"/>
                <w:lang w:val="de-DE"/>
              </w:rPr>
              <w:t>Bearbeitung innerhalb von 2</w:t>
            </w:r>
            <w:r w:rsidR="00610C3F">
              <w:rPr>
                <w:rFonts w:ascii="SegoeBook" w:hAnsi="SegoeBook"/>
                <w:szCs w:val="18"/>
                <w:lang w:val="de-DE"/>
              </w:rPr>
              <w:t> </w:t>
            </w:r>
            <w:r w:rsidRPr="00BB5519">
              <w:rPr>
                <w:rFonts w:ascii="SegoeBook" w:hAnsi="SegoeBook"/>
                <w:szCs w:val="18"/>
                <w:lang w:val="de-DE"/>
              </w:rPr>
              <w:t>Stunden erforderlich</w:t>
            </w:r>
          </w:p>
        </w:tc>
        <w:tc>
          <w:tcPr>
            <w:tcW w:w="3060" w:type="dxa"/>
          </w:tcPr>
          <w:p w:rsidR="00596386" w:rsidRPr="00BB5519" w:rsidRDefault="00596386" w:rsidP="00610C3F">
            <w:pPr>
              <w:spacing w:line="240" w:lineRule="atLeast"/>
              <w:ind w:left="252" w:hanging="252"/>
            </w:pPr>
            <w:r w:rsidRPr="00BB5519">
              <w:rPr>
                <w:rFonts w:ascii="SegoeBook" w:hAnsi="SegoeBook"/>
                <w:szCs w:val="18"/>
              </w:rPr>
              <w:t>1. Reaktion in 2 Stunden oder weniger</w:t>
            </w:r>
          </w:p>
          <w:p w:rsidR="00596386" w:rsidRPr="00BB5519" w:rsidRDefault="00596386" w:rsidP="00647923">
            <w:pPr>
              <w:spacing w:after="60" w:line="240" w:lineRule="atLeast"/>
              <w:rPr>
                <w:rFonts w:ascii="SegoeBook" w:hAnsi="SegoeBook"/>
                <w:szCs w:val="18"/>
              </w:rPr>
            </w:pPr>
          </w:p>
        </w:tc>
      </w:tr>
      <w:tr w:rsidR="00596386" w:rsidRPr="00BB5519" w:rsidTr="00610C3F">
        <w:tc>
          <w:tcPr>
            <w:tcW w:w="1538" w:type="dxa"/>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C</w:t>
            </w:r>
          </w:p>
        </w:tc>
        <w:tc>
          <w:tcPr>
            <w:tcW w:w="1759" w:type="dxa"/>
          </w:tcPr>
          <w:p w:rsidR="00596386" w:rsidRPr="00BB5519" w:rsidRDefault="00596386" w:rsidP="00610C3F">
            <w:pPr>
              <w:spacing w:after="60" w:line="240" w:lineRule="atLeast"/>
              <w:jc w:val="center"/>
              <w:rPr>
                <w:rFonts w:ascii="SegoeBook" w:hAnsi="SegoeBook"/>
                <w:szCs w:val="18"/>
              </w:rPr>
            </w:pPr>
            <w:r w:rsidRPr="00BB5519">
              <w:rPr>
                <w:rFonts w:ascii="SegoeBook" w:hAnsi="SegoeBook"/>
                <w:szCs w:val="18"/>
              </w:rPr>
              <w:t>Einreichung per</w:t>
            </w:r>
            <w:r w:rsidR="00610C3F">
              <w:rPr>
                <w:rFonts w:ascii="SegoeBook" w:hAnsi="SegoeBook"/>
                <w:szCs w:val="18"/>
              </w:rPr>
              <w:t> </w:t>
            </w:r>
            <w:r w:rsidRPr="00BB5519">
              <w:rPr>
                <w:rFonts w:ascii="SegoeBook" w:hAnsi="SegoeBook"/>
                <w:szCs w:val="18"/>
              </w:rPr>
              <w:t>Web</w:t>
            </w:r>
          </w:p>
        </w:tc>
        <w:tc>
          <w:tcPr>
            <w:tcW w:w="3003" w:type="dxa"/>
          </w:tcPr>
          <w:p w:rsidR="00596386" w:rsidRPr="00BB5519" w:rsidRDefault="00596386" w:rsidP="00647923">
            <w:pPr>
              <w:rPr>
                <w:lang w:val="de-DE"/>
              </w:rPr>
            </w:pPr>
            <w:r w:rsidRPr="00BB5519">
              <w:rPr>
                <w:rFonts w:ascii="SegoeBook" w:hAnsi="SegoeBook"/>
                <w:szCs w:val="18"/>
                <w:lang w:val="de-DE"/>
              </w:rPr>
              <w:t>Minimale Auswirkungen auf das Geschäft:</w:t>
            </w:r>
          </w:p>
          <w:p w:rsidR="00596386" w:rsidRPr="00BB5519" w:rsidRDefault="00596386" w:rsidP="00647923">
            <w:pPr>
              <w:rPr>
                <w:lang w:val="de-DE"/>
              </w:rPr>
            </w:pPr>
            <w:r w:rsidRPr="00BB5519">
              <w:rPr>
                <w:rFonts w:ascii="SegoeBook" w:hAnsi="SegoeBook"/>
                <w:szCs w:val="18"/>
                <w:lang w:val="de-DE"/>
              </w:rPr>
              <w:t>Im Wesentlichen funktionsfähig, mit geringen oder keinen Beeinträchtigungen von Diensten.</w:t>
            </w:r>
          </w:p>
          <w:p w:rsidR="00596386" w:rsidRPr="00BB5519" w:rsidRDefault="00596386" w:rsidP="00D958B9">
            <w:pPr>
              <w:spacing w:after="60" w:line="240" w:lineRule="atLeast"/>
              <w:rPr>
                <w:rFonts w:ascii="SegoeBook" w:hAnsi="SegoeBook"/>
                <w:szCs w:val="18"/>
                <w:lang w:val="de-DE"/>
              </w:rPr>
            </w:pPr>
            <w:r w:rsidRPr="00BB5519">
              <w:rPr>
                <w:rFonts w:ascii="SegoeBook" w:hAnsi="SegoeBook"/>
                <w:szCs w:val="18"/>
                <w:lang w:val="de-DE"/>
              </w:rPr>
              <w:t>Bearbeitung innerhalb von 4</w:t>
            </w:r>
            <w:r w:rsidR="00D958B9">
              <w:rPr>
                <w:rFonts w:ascii="SegoeBook" w:hAnsi="SegoeBook"/>
                <w:szCs w:val="18"/>
                <w:lang w:val="de-DE"/>
              </w:rPr>
              <w:t> </w:t>
            </w:r>
            <w:r w:rsidRPr="00BB5519">
              <w:rPr>
                <w:rFonts w:ascii="SegoeBook" w:hAnsi="SegoeBook"/>
                <w:szCs w:val="18"/>
                <w:lang w:val="de-DE"/>
              </w:rPr>
              <w:t>Stunden erforderlich</w:t>
            </w:r>
          </w:p>
        </w:tc>
        <w:tc>
          <w:tcPr>
            <w:tcW w:w="3060" w:type="dxa"/>
          </w:tcPr>
          <w:p w:rsidR="00596386" w:rsidRPr="00BB5519" w:rsidRDefault="00596386" w:rsidP="00610C3F">
            <w:pPr>
              <w:ind w:left="252" w:hanging="252"/>
            </w:pPr>
            <w:r w:rsidRPr="00BB5519">
              <w:rPr>
                <w:rFonts w:ascii="SegoeBook" w:hAnsi="SegoeBook"/>
                <w:szCs w:val="18"/>
              </w:rPr>
              <w:t>1. Reaktion in 4 Stunden oder weniger</w:t>
            </w:r>
          </w:p>
          <w:p w:rsidR="00596386" w:rsidRPr="00BB5519" w:rsidRDefault="00596386" w:rsidP="00647923">
            <w:pPr>
              <w:spacing w:line="240" w:lineRule="atLeast"/>
              <w:rPr>
                <w:rFonts w:ascii="SegoeBook" w:hAnsi="SegoeBook"/>
                <w:szCs w:val="18"/>
              </w:rPr>
            </w:pPr>
          </w:p>
        </w:tc>
      </w:tr>
    </w:tbl>
    <w:p w:rsidR="00596386" w:rsidRPr="00BB5519" w:rsidRDefault="00596386" w:rsidP="00DD7F8E"/>
    <w:p w:rsidR="000D747C" w:rsidRPr="00BB5519" w:rsidRDefault="000D747C" w:rsidP="000D747C">
      <w:pPr>
        <w:rPr>
          <w:lang w:val="de-DE"/>
        </w:rPr>
      </w:pPr>
      <w:r w:rsidRPr="00BB5519">
        <w:rPr>
          <w:rFonts w:cs="Arial"/>
          <w:snapToGrid w:val="0"/>
          <w:color w:val="000000"/>
          <w:szCs w:val="18"/>
          <w:lang w:val="de-DE"/>
        </w:rPr>
        <w:t>Kunden können sich dafür entscheiden, einen Rückruf von Microsoft zu erhalten.</w:t>
      </w:r>
      <w:r w:rsidR="009E4976" w:rsidRPr="00BB5519">
        <w:rPr>
          <w:rFonts w:cs="Arial"/>
          <w:snapToGrid w:val="0"/>
          <w:color w:val="000000"/>
          <w:szCs w:val="18"/>
          <w:lang w:val="de-DE"/>
        </w:rPr>
        <w:t xml:space="preserve"> </w:t>
      </w:r>
      <w:r w:rsidRPr="00BB5519">
        <w:rPr>
          <w:rFonts w:cs="Arial"/>
          <w:snapToGrid w:val="0"/>
          <w:color w:val="000000"/>
          <w:szCs w:val="18"/>
          <w:lang w:val="de-DE"/>
        </w:rPr>
        <w:t>Andernfalls übernimmt das Windows Azure-Supportteam die Fehlerbehebung und bearbeitet den Fall über Onlinekanäle (z. B. E-Mail oder Windows Azure-Portal).</w:t>
      </w:r>
    </w:p>
    <w:p w:rsidR="001C1727" w:rsidRPr="00BB5519" w:rsidRDefault="001C1727">
      <w:pPr>
        <w:rPr>
          <w:lang w:val="de-DE"/>
        </w:rPr>
      </w:pPr>
    </w:p>
    <w:p w:rsidR="00737AED" w:rsidRPr="00BB5519" w:rsidRDefault="00737AED">
      <w:pPr>
        <w:rPr>
          <w:lang w:val="de-DE"/>
        </w:rPr>
      </w:pPr>
      <w:r w:rsidRPr="00BB5519">
        <w:rPr>
          <w:rFonts w:cs="Arial"/>
          <w:b/>
          <w:color w:val="000000"/>
          <w:szCs w:val="18"/>
          <w:lang w:val="de-DE"/>
        </w:rPr>
        <w:br w:type="page"/>
      </w:r>
    </w:p>
    <w:p w:rsidR="00DC0853" w:rsidRPr="00D15040" w:rsidRDefault="00596386" w:rsidP="00DC0853">
      <w:pPr>
        <w:tabs>
          <w:tab w:val="left" w:pos="360"/>
        </w:tabs>
        <w:spacing w:after="60"/>
        <w:jc w:val="both"/>
        <w:rPr>
          <w:rFonts w:cs="Arial"/>
          <w:b/>
          <w:color w:val="000000"/>
          <w:szCs w:val="18"/>
          <w:lang w:val="de-DE"/>
        </w:rPr>
      </w:pPr>
      <w:r w:rsidRPr="00D15040">
        <w:rPr>
          <w:rFonts w:cs="Arial"/>
          <w:b/>
          <w:color w:val="000000"/>
          <w:szCs w:val="18"/>
          <w:lang w:val="de-DE"/>
        </w:rPr>
        <w:lastRenderedPageBreak/>
        <w:t>Zusätzliche Eskalationsservices</w:t>
      </w:r>
    </w:p>
    <w:p w:rsidR="00596386" w:rsidRPr="00BB5519" w:rsidRDefault="00596386" w:rsidP="00610C3F">
      <w:pPr>
        <w:tabs>
          <w:tab w:val="left" w:pos="360"/>
        </w:tabs>
        <w:ind w:right="90"/>
        <w:jc w:val="both"/>
        <w:rPr>
          <w:lang w:val="de-DE"/>
        </w:rPr>
      </w:pPr>
      <w:r w:rsidRPr="00BB5519">
        <w:rPr>
          <w:rFonts w:cs="Arial"/>
          <w:color w:val="000000"/>
          <w:szCs w:val="18"/>
          <w:lang w:val="de-DE"/>
        </w:rPr>
        <w:t>Zusätzlich</w:t>
      </w:r>
      <w:r w:rsidRPr="00BB5519">
        <w:rPr>
          <w:rFonts w:cs="Arial"/>
          <w:snapToGrid w:val="0"/>
          <w:szCs w:val="18"/>
          <w:lang w:val="de-DE"/>
        </w:rPr>
        <w:t xml:space="preserve"> zu den oben beschriebenen Services erhalten Kunden mit Professional Direct Support for Windows Azure </w:t>
      </w:r>
      <w:r w:rsidRPr="00BB5519">
        <w:rPr>
          <w:rFonts w:cs="Arial"/>
          <w:snapToGrid w:val="0"/>
          <w:color w:val="000000"/>
          <w:szCs w:val="18"/>
          <w:lang w:val="de-DE"/>
        </w:rPr>
        <w:t>Hilfe bei der Koordination der Support- und Servicebeziehung für Windows Azure.</w:t>
      </w:r>
      <w:r w:rsidR="009E4976" w:rsidRPr="00BB5519">
        <w:rPr>
          <w:rFonts w:cs="Arial"/>
          <w:snapToGrid w:val="0"/>
          <w:color w:val="000000"/>
          <w:szCs w:val="18"/>
          <w:lang w:val="de-DE"/>
        </w:rPr>
        <w:t xml:space="preserve"> </w:t>
      </w:r>
      <w:r w:rsidRPr="00BB5519">
        <w:rPr>
          <w:rFonts w:cs="Arial"/>
          <w:snapToGrid w:val="0"/>
          <w:color w:val="000000"/>
          <w:szCs w:val="18"/>
          <w:lang w:val="de-DE"/>
        </w:rPr>
        <w:t>Diese Services werden durch einen Pool von Servicemitarbeitern („Eskalationsagents“) erbracht.</w:t>
      </w:r>
      <w:r w:rsidR="009E4976" w:rsidRPr="00BB5519">
        <w:rPr>
          <w:rFonts w:cs="Arial"/>
          <w:snapToGrid w:val="0"/>
          <w:color w:val="000000"/>
          <w:szCs w:val="18"/>
          <w:lang w:val="de-DE"/>
        </w:rPr>
        <w:t xml:space="preserve"> </w:t>
      </w:r>
      <w:r w:rsidRPr="00BB5519">
        <w:rPr>
          <w:rFonts w:cs="Arial"/>
          <w:snapToGrid w:val="0"/>
          <w:color w:val="000000"/>
          <w:szCs w:val="18"/>
          <w:lang w:val="de-DE"/>
        </w:rPr>
        <w:t xml:space="preserve">Die Eskalationsagents sind bei Microsoft die Vertreter </w:t>
      </w:r>
      <w:r w:rsidRPr="00BB5519">
        <w:rPr>
          <w:rFonts w:cs="Arial"/>
          <w:szCs w:val="18"/>
          <w:lang w:val="de-DE"/>
        </w:rPr>
        <w:t xml:space="preserve">des Kunden </w:t>
      </w:r>
      <w:r w:rsidRPr="00BB5519">
        <w:rPr>
          <w:rFonts w:cs="Arial"/>
          <w:snapToGrid w:val="0"/>
          <w:color w:val="000000"/>
          <w:szCs w:val="18"/>
          <w:lang w:val="de-DE"/>
        </w:rPr>
        <w:t>und erleichtern die Koordination mit Teams, die den für die Onlinedienste verfügbaren technischen Support bereitstellen können.</w:t>
      </w:r>
      <w:r w:rsidR="009E4976" w:rsidRPr="00BB5519">
        <w:rPr>
          <w:rFonts w:cs="Arial"/>
          <w:snapToGrid w:val="0"/>
          <w:color w:val="000000"/>
          <w:szCs w:val="18"/>
          <w:lang w:val="de-DE"/>
        </w:rPr>
        <w:t xml:space="preserve"> </w:t>
      </w:r>
      <w:r w:rsidRPr="00BB5519">
        <w:rPr>
          <w:rFonts w:cs="Arial"/>
          <w:snapToGrid w:val="0"/>
          <w:color w:val="000000"/>
          <w:szCs w:val="18"/>
          <w:lang w:val="de-DE"/>
        </w:rPr>
        <w:t xml:space="preserve">Die Eskalationsagents dienen auch als Informationslieferungspunkt und stellen dem </w:t>
      </w:r>
      <w:r w:rsidRPr="00BB5519">
        <w:rPr>
          <w:rFonts w:cs="Arial"/>
          <w:szCs w:val="18"/>
          <w:lang w:val="de-DE"/>
        </w:rPr>
        <w:t xml:space="preserve">Kunden </w:t>
      </w:r>
      <w:r w:rsidRPr="00BB5519">
        <w:rPr>
          <w:rFonts w:cs="Arial"/>
          <w:snapToGrid w:val="0"/>
          <w:color w:val="000000"/>
          <w:szCs w:val="18"/>
          <w:lang w:val="de-DE"/>
        </w:rPr>
        <w:t>zu den Services anderen Microsoft-Gruppen bereit.</w:t>
      </w:r>
      <w:r w:rsidR="009E4976" w:rsidRPr="00BB5519">
        <w:rPr>
          <w:rFonts w:cs="Arial"/>
          <w:snapToGrid w:val="0"/>
          <w:color w:val="000000"/>
          <w:szCs w:val="18"/>
          <w:lang w:val="de-DE"/>
        </w:rPr>
        <w:t xml:space="preserve"> </w:t>
      </w:r>
      <w:r w:rsidRPr="00BB5519">
        <w:rPr>
          <w:rFonts w:cs="Arial"/>
          <w:snapToGrid w:val="0"/>
          <w:color w:val="000000"/>
          <w:szCs w:val="18"/>
          <w:lang w:val="de-DE"/>
        </w:rPr>
        <w:t>Die Eskalationsagents stellen außerdem folgende zusätzliche Services bereit:</w:t>
      </w:r>
    </w:p>
    <w:p w:rsidR="00596386" w:rsidRPr="00BB5519" w:rsidRDefault="00596386" w:rsidP="00596386">
      <w:pPr>
        <w:tabs>
          <w:tab w:val="left" w:pos="360"/>
        </w:tabs>
        <w:jc w:val="both"/>
        <w:rPr>
          <w:lang w:val="de-DE"/>
        </w:rPr>
      </w:pPr>
    </w:p>
    <w:p w:rsidR="00596386" w:rsidRPr="00BB5519" w:rsidRDefault="00596386" w:rsidP="002C1048">
      <w:pPr>
        <w:numPr>
          <w:ilvl w:val="0"/>
          <w:numId w:val="138"/>
        </w:numPr>
        <w:tabs>
          <w:tab w:val="clear" w:pos="720"/>
        </w:tabs>
        <w:spacing w:after="60"/>
        <w:ind w:left="1440"/>
        <w:jc w:val="both"/>
        <w:rPr>
          <w:lang w:val="de-DE"/>
        </w:rPr>
      </w:pPr>
      <w:r w:rsidRPr="00BB5519">
        <w:rPr>
          <w:rFonts w:cs="Tahoma"/>
          <w:b/>
          <w:color w:val="000000"/>
          <w:szCs w:val="18"/>
          <w:lang w:val="de-DE"/>
        </w:rPr>
        <w:t>Planungs- und Ressourcenunterstützung.</w:t>
      </w:r>
      <w:r w:rsidRPr="00BB5519">
        <w:rPr>
          <w:rFonts w:cs="Arial"/>
          <w:szCs w:val="18"/>
          <w:lang w:val="de-DE"/>
        </w:rPr>
        <w:t xml:space="preserve"> Zu Beginn dieses Vertrages bietet Microsoft über Telefonkonferenz eine Orientierungssitzung für das Management und Personal des Kunden an.</w:t>
      </w:r>
      <w:r w:rsidR="009E4976" w:rsidRPr="00BB5519">
        <w:rPr>
          <w:rFonts w:cs="Arial"/>
          <w:szCs w:val="18"/>
          <w:lang w:val="de-DE"/>
        </w:rPr>
        <w:t xml:space="preserve"> </w:t>
      </w:r>
      <w:r w:rsidRPr="00BB5519">
        <w:rPr>
          <w:rFonts w:cs="Arial"/>
          <w:szCs w:val="18"/>
          <w:lang w:val="de-DE"/>
        </w:rPr>
        <w:t>Der Zweck dieses Meetings besteht darin, die verfügbaren Supportservices zu erörtern und etwaige Fragen zu beantworten, sodass der Kunde seine Nutzung der Services planen kann.</w:t>
      </w:r>
    </w:p>
    <w:p w:rsidR="00596386" w:rsidRPr="00BB5519" w:rsidRDefault="00596386" w:rsidP="002C1048">
      <w:pPr>
        <w:numPr>
          <w:ilvl w:val="0"/>
          <w:numId w:val="138"/>
        </w:numPr>
        <w:tabs>
          <w:tab w:val="clear" w:pos="720"/>
        </w:tabs>
        <w:spacing w:after="60"/>
        <w:ind w:left="1440"/>
        <w:jc w:val="both"/>
        <w:rPr>
          <w:lang w:val="de-DE"/>
        </w:rPr>
      </w:pPr>
      <w:r w:rsidRPr="00BB5519">
        <w:rPr>
          <w:rFonts w:cs="Tahoma"/>
          <w:b/>
          <w:color w:val="000000"/>
          <w:szCs w:val="18"/>
          <w:lang w:val="de-DE"/>
        </w:rPr>
        <w:t>Eskalationsverwaltung.</w:t>
      </w:r>
      <w:r w:rsidRPr="00BB5519">
        <w:rPr>
          <w:rFonts w:cs="Arial"/>
          <w:szCs w:val="18"/>
          <w:lang w:val="de-DE"/>
        </w:rPr>
        <w:t xml:space="preserve"> Ein</w:t>
      </w:r>
      <w:r w:rsidRPr="00BB5519">
        <w:rPr>
          <w:rFonts w:cs="Arial"/>
          <w:snapToGrid w:val="0"/>
          <w:szCs w:val="18"/>
          <w:lang w:val="de-DE"/>
        </w:rPr>
        <w:t xml:space="preserve"> Eskalationsagent stellt dem Kunden Eskalationsverwaltungsservices für technischen Support für Windows Azure zur Verfügung.</w:t>
      </w:r>
    </w:p>
    <w:p w:rsidR="00596386" w:rsidRPr="00BB5519" w:rsidRDefault="00596386" w:rsidP="00596386">
      <w:pPr>
        <w:tabs>
          <w:tab w:val="left" w:pos="360"/>
        </w:tabs>
        <w:jc w:val="both"/>
        <w:rPr>
          <w:lang w:val="de-DE"/>
        </w:rPr>
      </w:pPr>
    </w:p>
    <w:p w:rsidR="00596386" w:rsidRPr="00BB5519" w:rsidRDefault="00596386" w:rsidP="00E03856">
      <w:pPr>
        <w:pStyle w:val="normal1"/>
        <w:jc w:val="both"/>
        <w:rPr>
          <w:lang w:val="de-DE"/>
        </w:rPr>
      </w:pPr>
      <w:r w:rsidRPr="00BB5519">
        <w:rPr>
          <w:color w:val="000000"/>
          <w:sz w:val="18"/>
          <w:szCs w:val="18"/>
          <w:lang w:val="de-DE"/>
        </w:rPr>
        <w:t>Eskalationsservices werden</w:t>
      </w:r>
      <w:r w:rsidRPr="00BB5519">
        <w:rPr>
          <w:color w:val="FF3399"/>
          <w:sz w:val="18"/>
          <w:szCs w:val="18"/>
          <w:lang w:val="de-DE"/>
        </w:rPr>
        <w:t xml:space="preserve"> </w:t>
      </w:r>
      <w:r w:rsidRPr="00BB5519">
        <w:rPr>
          <w:sz w:val="18"/>
          <w:szCs w:val="18"/>
          <w:lang w:val="de-DE"/>
        </w:rPr>
        <w:t>außer an Feiertagen montags bis freitags von 9.00 Uhr bis 17.00 Uhr Ortszeit nur in verfügbaren Märkten erbracht.</w:t>
      </w:r>
      <w:r w:rsidRPr="00BB5519">
        <w:rPr>
          <w:color w:val="000000"/>
          <w:sz w:val="18"/>
          <w:szCs w:val="18"/>
          <w:u w:val="single"/>
          <w:lang w:val="de-DE"/>
        </w:rPr>
        <w:t xml:space="preserve"> </w:t>
      </w:r>
    </w:p>
    <w:p w:rsidR="00596386" w:rsidRPr="00BB5519" w:rsidRDefault="00596386" w:rsidP="00596386">
      <w:pPr>
        <w:pStyle w:val="normal1"/>
        <w:jc w:val="both"/>
        <w:rPr>
          <w:lang w:val="de-DE"/>
        </w:rPr>
      </w:pPr>
    </w:p>
    <w:p w:rsidR="00DC0853" w:rsidRPr="00D15040" w:rsidRDefault="00596386" w:rsidP="00DC0853">
      <w:pPr>
        <w:tabs>
          <w:tab w:val="left" w:pos="360"/>
        </w:tabs>
        <w:spacing w:after="60"/>
        <w:jc w:val="both"/>
        <w:rPr>
          <w:rFonts w:cs="Arial"/>
          <w:b/>
          <w:szCs w:val="18"/>
          <w:lang w:val="de-DE"/>
        </w:rPr>
      </w:pPr>
      <w:r w:rsidRPr="00D15040">
        <w:rPr>
          <w:rFonts w:cs="Arial"/>
          <w:b/>
          <w:szCs w:val="18"/>
          <w:lang w:val="de-DE"/>
        </w:rPr>
        <w:t>Sonstige Informationsservices und Leistungen</w:t>
      </w:r>
    </w:p>
    <w:p w:rsidR="00596386" w:rsidRPr="00BB5519" w:rsidRDefault="00596386" w:rsidP="00596386">
      <w:pPr>
        <w:tabs>
          <w:tab w:val="left" w:pos="360"/>
        </w:tabs>
        <w:jc w:val="both"/>
      </w:pPr>
      <w:r w:rsidRPr="00BB5519">
        <w:rPr>
          <w:rFonts w:cs="Arial"/>
          <w:szCs w:val="18"/>
          <w:lang w:val="de-DE"/>
        </w:rPr>
        <w:t>Informationsservices bieten technische Informationen zu Windows Azure und Supporttools, mit denen Kunden Windows Azure effizienter und effektiver implementieren und betreiben können.</w:t>
      </w:r>
      <w:r w:rsidR="009E4976" w:rsidRPr="00BB5519">
        <w:rPr>
          <w:rFonts w:cs="Arial"/>
          <w:szCs w:val="18"/>
          <w:lang w:val="de-DE"/>
        </w:rPr>
        <w:t xml:space="preserve"> </w:t>
      </w:r>
      <w:r w:rsidRPr="00BB5519">
        <w:rPr>
          <w:rFonts w:cs="Arial"/>
          <w:szCs w:val="18"/>
        </w:rPr>
        <w:t>Informationsservices umfassen Folgendes:</w:t>
      </w:r>
    </w:p>
    <w:p w:rsidR="00596386" w:rsidRPr="00BB5519" w:rsidRDefault="00596386" w:rsidP="00596386">
      <w:pPr>
        <w:tabs>
          <w:tab w:val="left" w:pos="360"/>
        </w:tabs>
        <w:jc w:val="both"/>
      </w:pPr>
    </w:p>
    <w:p w:rsidR="00596386" w:rsidRPr="00BB5519" w:rsidRDefault="00596386" w:rsidP="002C1048">
      <w:pPr>
        <w:pStyle w:val="ListParagraph"/>
        <w:numPr>
          <w:ilvl w:val="0"/>
          <w:numId w:val="139"/>
        </w:numPr>
        <w:tabs>
          <w:tab w:val="left" w:pos="360"/>
        </w:tabs>
        <w:spacing w:after="60"/>
        <w:ind w:left="1440"/>
        <w:contextualSpacing w:val="0"/>
        <w:jc w:val="both"/>
        <w:rPr>
          <w:lang w:val="de-DE"/>
        </w:rPr>
      </w:pPr>
      <w:r w:rsidRPr="00BB5519">
        <w:rPr>
          <w:rFonts w:ascii="Tahoma" w:hAnsi="Tahoma" w:cs="Tahoma"/>
          <w:b/>
          <w:color w:val="000000"/>
          <w:sz w:val="18"/>
          <w:szCs w:val="18"/>
        </w:rPr>
        <w:t>Exklusive Inhalte für Professional Direct Support for Windows Azure.</w:t>
      </w:r>
      <w:r w:rsidRPr="00610C3F">
        <w:rPr>
          <w:rFonts w:ascii="Tahoma" w:hAnsi="Tahoma" w:cs="Tahoma"/>
          <w:bCs/>
          <w:color w:val="000000"/>
          <w:sz w:val="18"/>
          <w:szCs w:val="18"/>
        </w:rPr>
        <w:t xml:space="preserve"> </w:t>
      </w:r>
      <w:r w:rsidRPr="00BB5519">
        <w:rPr>
          <w:rFonts w:ascii="Tahoma" w:hAnsi="Tahoma" w:cs="Arial"/>
          <w:snapToGrid w:val="0"/>
          <w:sz w:val="18"/>
          <w:szCs w:val="18"/>
          <w:lang w:val="de-DE"/>
        </w:rPr>
        <w:t>Kunden erhalten Zugriff auf exklusive Windows Azure-Inhalte, einschließlich, jedoch nicht beschränkt auf Onlineveröffentlichungen im Zusammenhang mit Leitfäden zu optimalen Vorgehensweisen bei Architektur und Bereitstellung, archivierte Schulungsinhalte, Benachrichtigungen über Webinare sowie andere allgemeine Informationen zu Windows Azure.</w:t>
      </w:r>
    </w:p>
    <w:p w:rsidR="00596386" w:rsidRPr="00BB5519" w:rsidRDefault="00596386" w:rsidP="002C1048">
      <w:pPr>
        <w:numPr>
          <w:ilvl w:val="0"/>
          <w:numId w:val="139"/>
        </w:numPr>
        <w:tabs>
          <w:tab w:val="left" w:pos="360"/>
        </w:tabs>
        <w:spacing w:after="60"/>
        <w:ind w:left="1440"/>
        <w:jc w:val="both"/>
        <w:rPr>
          <w:lang w:val="de-DE"/>
        </w:rPr>
      </w:pPr>
      <w:r w:rsidRPr="00BB5519">
        <w:rPr>
          <w:rFonts w:cs="Tahoma"/>
          <w:b/>
          <w:color w:val="000000"/>
          <w:szCs w:val="18"/>
          <w:lang w:val="de-DE"/>
        </w:rPr>
        <w:t>Webinare.</w:t>
      </w:r>
      <w:r w:rsidRPr="00BB5519">
        <w:rPr>
          <w:rFonts w:cs="Arial"/>
          <w:szCs w:val="18"/>
          <w:lang w:val="de-DE"/>
        </w:rPr>
        <w:t xml:space="preserve"> Bei Webinaren handelt es sich um regelmäßig geplante Diskussionen, die von Fachleuten von Microsoft geleitet werden und Schlüsselbereiche der Microsoft-Onlinedienste abdecken. Beispielthemen sind unter anderem „Erste Schritte“ mit Windows Azure, Informationen zu neuen Features und „Fragen an Experten“-Frage- und Antwortsitzungen. </w:t>
      </w:r>
    </w:p>
    <w:p w:rsidR="00596386" w:rsidRPr="00BB5519" w:rsidRDefault="00596386" w:rsidP="002C1048">
      <w:pPr>
        <w:numPr>
          <w:ilvl w:val="0"/>
          <w:numId w:val="139"/>
        </w:numPr>
        <w:tabs>
          <w:tab w:val="left" w:pos="360"/>
        </w:tabs>
        <w:spacing w:after="60"/>
        <w:ind w:left="1440"/>
        <w:jc w:val="both"/>
      </w:pPr>
      <w:r w:rsidRPr="00BB5519">
        <w:rPr>
          <w:rFonts w:cs="Tahoma"/>
          <w:b/>
          <w:color w:val="000000"/>
          <w:szCs w:val="18"/>
        </w:rPr>
        <w:t>Zusätzliche Beratungsservices von Eskalationsagents.</w:t>
      </w:r>
    </w:p>
    <w:p w:rsidR="00596386" w:rsidRPr="00BB5519" w:rsidRDefault="00596386" w:rsidP="002C1048">
      <w:pPr>
        <w:numPr>
          <w:ilvl w:val="1"/>
          <w:numId w:val="121"/>
        </w:numPr>
        <w:tabs>
          <w:tab w:val="left" w:pos="360"/>
        </w:tabs>
        <w:spacing w:after="60"/>
        <w:ind w:left="1980"/>
        <w:jc w:val="both"/>
        <w:rPr>
          <w:lang w:val="de-DE"/>
        </w:rPr>
      </w:pPr>
      <w:r w:rsidRPr="00BB5519">
        <w:rPr>
          <w:rFonts w:cs="Arial"/>
          <w:snapToGrid w:val="0"/>
          <w:szCs w:val="18"/>
          <w:lang w:val="de-DE"/>
        </w:rPr>
        <w:t>Verweise auf Top-Onlineressourcen.</w:t>
      </w:r>
      <w:r w:rsidR="009E4976" w:rsidRPr="00BB5519">
        <w:rPr>
          <w:rFonts w:cs="Arial"/>
          <w:snapToGrid w:val="0"/>
          <w:szCs w:val="18"/>
          <w:lang w:val="de-DE"/>
        </w:rPr>
        <w:t xml:space="preserve"> </w:t>
      </w:r>
      <w:r w:rsidRPr="00BB5519">
        <w:rPr>
          <w:rFonts w:cs="Arial"/>
          <w:snapToGrid w:val="0"/>
          <w:szCs w:val="18"/>
          <w:lang w:val="de-DE"/>
        </w:rPr>
        <w:t>Ein Eskalationsagent stellt Kunden Empfehlungen zur Verfügung, einschließlich Anweisungen zum Zugreifen auf Self-Service-Ressourcen, die derzeit zur Beantwortung von Fragen zur Verwendung gängiger Windows Azure-Services und -Features verfügbar sind.</w:t>
      </w:r>
    </w:p>
    <w:p w:rsidR="00596386" w:rsidRPr="00BB5519" w:rsidRDefault="00596386" w:rsidP="002C1048">
      <w:pPr>
        <w:numPr>
          <w:ilvl w:val="1"/>
          <w:numId w:val="121"/>
        </w:numPr>
        <w:spacing w:after="60"/>
        <w:ind w:left="1980"/>
        <w:jc w:val="both"/>
        <w:rPr>
          <w:lang w:val="de-DE"/>
        </w:rPr>
      </w:pPr>
      <w:r w:rsidRPr="00BB5519">
        <w:rPr>
          <w:rFonts w:cs="Arial"/>
          <w:snapToGrid w:val="0"/>
          <w:szCs w:val="18"/>
          <w:lang w:val="de-DE"/>
        </w:rPr>
        <w:t>Standardtrenderstellung zu Fällen.</w:t>
      </w:r>
      <w:r w:rsidR="009E4976" w:rsidRPr="00BB5519">
        <w:rPr>
          <w:rFonts w:cs="Arial"/>
          <w:snapToGrid w:val="0"/>
          <w:szCs w:val="18"/>
          <w:lang w:val="de-DE"/>
        </w:rPr>
        <w:t xml:space="preserve"> </w:t>
      </w:r>
      <w:r w:rsidRPr="00BB5519">
        <w:rPr>
          <w:rFonts w:cs="Arial"/>
          <w:snapToGrid w:val="0"/>
          <w:szCs w:val="18"/>
          <w:lang w:val="de-DE"/>
        </w:rPr>
        <w:t>Ein Eskalationsagent trägt zur Erkennung und Bewertung der Ursachen häufiger Supportanfragen bei, die von Kunden eingereicht werden, und unterbreitet Vorschläge zur künftigen Behebung derartiger Supportfälle.</w:t>
      </w:r>
    </w:p>
    <w:p w:rsidR="00596386" w:rsidRPr="00BB5519" w:rsidRDefault="00596386" w:rsidP="006D6A83">
      <w:pPr>
        <w:pStyle w:val="ListParagraph"/>
        <w:numPr>
          <w:ilvl w:val="1"/>
          <w:numId w:val="121"/>
        </w:numPr>
        <w:tabs>
          <w:tab w:val="left" w:pos="360"/>
        </w:tabs>
        <w:contextualSpacing w:val="0"/>
        <w:jc w:val="both"/>
        <w:rPr>
          <w:lang w:val="de-DE"/>
        </w:rPr>
      </w:pPr>
      <w:r w:rsidRPr="00BB5519">
        <w:rPr>
          <w:rFonts w:ascii="Tahoma" w:hAnsi="Tahoma" w:cs="Tahoma"/>
          <w:b/>
          <w:color w:val="000000"/>
          <w:sz w:val="18"/>
          <w:szCs w:val="18"/>
          <w:lang w:val="de-DE"/>
        </w:rPr>
        <w:t>Windows Azure-Optimierungsberichte.</w:t>
      </w:r>
      <w:r w:rsidRPr="00610C3F">
        <w:rPr>
          <w:rFonts w:ascii="Tahoma" w:hAnsi="Tahoma" w:cs="Tahoma"/>
          <w:bCs/>
          <w:color w:val="000000"/>
          <w:sz w:val="18"/>
          <w:szCs w:val="18"/>
          <w:lang w:val="de-DE"/>
        </w:rPr>
        <w:t xml:space="preserve"> </w:t>
      </w:r>
      <w:r w:rsidRPr="00BB5519">
        <w:rPr>
          <w:rFonts w:ascii="Tahoma" w:hAnsi="Tahoma" w:cs="Arial"/>
          <w:sz w:val="18"/>
          <w:szCs w:val="18"/>
          <w:lang w:val="de-DE"/>
        </w:rPr>
        <w:t>Ein Eskalationsagent stellt regelmäßige Berichte zur Verfügung, um potenzielle</w:t>
      </w:r>
      <w:r w:rsidRPr="00BB5519">
        <w:rPr>
          <w:rFonts w:cs="Arial"/>
          <w:szCs w:val="18"/>
          <w:lang w:val="de-DE"/>
        </w:rPr>
        <w:t xml:space="preserve"> </w:t>
      </w:r>
      <w:r w:rsidRPr="00BB5519">
        <w:rPr>
          <w:rFonts w:ascii="Tahoma" w:hAnsi="Tahoma" w:cs="Arial"/>
          <w:sz w:val="18"/>
          <w:szCs w:val="18"/>
          <w:lang w:val="de-DE"/>
        </w:rPr>
        <w:t>Kosteneinsparungen zu erkennen, Betriebszeiten zu maximieren und die Erfahrungen der Nutzer zu verbessern.</w:t>
      </w:r>
      <w:r w:rsidR="009E4976" w:rsidRPr="00BB5519">
        <w:rPr>
          <w:rFonts w:ascii="Tahoma" w:hAnsi="Tahoma"/>
          <w:sz w:val="18"/>
          <w:lang w:val="de-DE"/>
        </w:rPr>
        <w:t xml:space="preserve"> </w:t>
      </w:r>
    </w:p>
    <w:p w:rsidR="00596386" w:rsidRPr="00610C3F" w:rsidRDefault="00596386" w:rsidP="00596386">
      <w:pPr>
        <w:pStyle w:val="normal1"/>
        <w:jc w:val="both"/>
        <w:rPr>
          <w:rFonts w:ascii="Tahoma" w:hAnsi="Tahoma" w:cs="Tahoma"/>
          <w:sz w:val="18"/>
          <w:szCs w:val="18"/>
          <w:lang w:val="de-DE"/>
        </w:rPr>
      </w:pPr>
    </w:p>
    <w:p w:rsidR="00A47BFD" w:rsidRPr="00610C3F" w:rsidRDefault="00A47BFD" w:rsidP="00596386">
      <w:pPr>
        <w:pStyle w:val="normal1"/>
        <w:jc w:val="both"/>
        <w:rPr>
          <w:rFonts w:ascii="Tahoma" w:hAnsi="Tahoma" w:cs="Tahoma"/>
          <w:sz w:val="18"/>
          <w:szCs w:val="18"/>
          <w:lang w:val="de-DE"/>
        </w:rPr>
      </w:pPr>
    </w:p>
    <w:p w:rsidR="00596386" w:rsidRPr="00BB5519" w:rsidRDefault="00596386" w:rsidP="00596386">
      <w:pPr>
        <w:tabs>
          <w:tab w:val="left" w:pos="360"/>
        </w:tabs>
        <w:jc w:val="both"/>
        <w:rPr>
          <w:lang w:val="de-DE"/>
        </w:rPr>
      </w:pPr>
      <w:r w:rsidRPr="00BB5519">
        <w:rPr>
          <w:rFonts w:cs="Arial"/>
          <w:b/>
          <w:sz w:val="24"/>
          <w:szCs w:val="18"/>
          <w:lang w:val="de-DE"/>
        </w:rPr>
        <w:t>Standardsupport für Windows Azure</w:t>
      </w:r>
    </w:p>
    <w:p w:rsidR="00596386" w:rsidRPr="00BB5519" w:rsidRDefault="00596386" w:rsidP="00596386">
      <w:pPr>
        <w:tabs>
          <w:tab w:val="left" w:pos="360"/>
        </w:tabs>
        <w:jc w:val="both"/>
        <w:rPr>
          <w:lang w:val="de-DE"/>
        </w:rPr>
      </w:pPr>
    </w:p>
    <w:p w:rsidR="00596386" w:rsidRPr="00BB5519" w:rsidRDefault="00A47BFD" w:rsidP="00610C3F">
      <w:pPr>
        <w:ind w:right="-90"/>
        <w:rPr>
          <w:lang w:val="de-DE"/>
        </w:rPr>
      </w:pPr>
      <w:r w:rsidRPr="00BB5519">
        <w:rPr>
          <w:rFonts w:cs="Arial"/>
          <w:color w:val="000000"/>
          <w:szCs w:val="18"/>
          <w:lang w:val="de-DE"/>
        </w:rPr>
        <w:t>Die Kunden sind dafür verantwortlich, den anfänglichen Schweregrad im Laufe des Web-Übermittlungsverfahrens und</w:t>
      </w:r>
      <w:r w:rsidR="00610C3F">
        <w:rPr>
          <w:rFonts w:cs="Arial"/>
          <w:color w:val="000000"/>
          <w:szCs w:val="18"/>
          <w:lang w:val="de-DE"/>
        </w:rPr>
        <w:t> </w:t>
      </w:r>
      <w:r w:rsidRPr="00BB5519">
        <w:rPr>
          <w:rFonts w:cs="Arial"/>
          <w:color w:val="000000"/>
          <w:szCs w:val="18"/>
          <w:lang w:val="de-DE"/>
        </w:rPr>
        <w:t>gemäß den dargelegten Richtlinien zum Schweregrad festzulegen.</w:t>
      </w:r>
      <w:r w:rsidR="009E4976" w:rsidRPr="00BB5519">
        <w:rPr>
          <w:rFonts w:cs="Arial"/>
          <w:color w:val="000000"/>
          <w:szCs w:val="18"/>
          <w:lang w:val="de-DE"/>
        </w:rPr>
        <w:t xml:space="preserve"> </w:t>
      </w:r>
      <w:r w:rsidRPr="00BB5519">
        <w:rPr>
          <w:rFonts w:cs="Arial"/>
          <w:color w:val="000000"/>
          <w:szCs w:val="18"/>
          <w:lang w:val="de-DE"/>
        </w:rPr>
        <w:t>Microsoft ist dazu berechtigt, den Schweregrad herunterzustufen, falls der Kunde nicht in der Lage ist, angemessene Ressourcen oder Reaktionen bereitzustellen, um</w:t>
      </w:r>
      <w:r w:rsidR="00610C3F">
        <w:rPr>
          <w:rFonts w:cs="Arial"/>
          <w:color w:val="000000"/>
          <w:szCs w:val="18"/>
          <w:lang w:val="de-DE"/>
        </w:rPr>
        <w:t> </w:t>
      </w:r>
      <w:r w:rsidRPr="00BB5519">
        <w:rPr>
          <w:rFonts w:cs="Arial"/>
          <w:color w:val="000000"/>
          <w:szCs w:val="18"/>
          <w:lang w:val="de-DE"/>
        </w:rPr>
        <w:t xml:space="preserve">Microsoft die Fortsetzung der Bemühungen zur Problembehebung zu ermöglichen. </w:t>
      </w:r>
      <w:r w:rsidRPr="00BB5519">
        <w:rPr>
          <w:rFonts w:cs="Arial"/>
          <w:szCs w:val="18"/>
          <w:lang w:val="de-DE"/>
        </w:rPr>
        <w:t>Der Schweregrad des Falls bestimmt die Reaktionsebene innerhalb von Microsoft und die geschätzte Reaktionszeiten, wie in der Tabelle unten dargelegt. Unsere Fähigkeit, die Services zu erbringen, ist von der umfassenden und zeitgerechten Zusammenarbeit des Kunden sowie von der Genauigkeit und Vollständigkeit der vom Kunden bereitgestellten Informationen abhängig.</w:t>
      </w:r>
    </w:p>
    <w:p w:rsidR="0064651F" w:rsidRPr="00BB5519" w:rsidRDefault="0064651F">
      <w:pPr>
        <w:rPr>
          <w:lang w:val="de-DE"/>
        </w:rPr>
      </w:pPr>
      <w:r w:rsidRPr="00BB5519">
        <w:rPr>
          <w:rFonts w:cs="Arial"/>
          <w:szCs w:val="18"/>
          <w:lang w:val="de-DE"/>
        </w:rPr>
        <w:br w:type="page"/>
      </w: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7"/>
        <w:gridCol w:w="1883"/>
        <w:gridCol w:w="2912"/>
        <w:gridCol w:w="2807"/>
      </w:tblGrid>
      <w:tr w:rsidR="00596386" w:rsidRPr="00BB5519" w:rsidTr="0076689E">
        <w:tc>
          <w:tcPr>
            <w:tcW w:w="822" w:type="pct"/>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lastRenderedPageBreak/>
              <w:t>Schweregrad</w:t>
            </w:r>
          </w:p>
        </w:tc>
        <w:tc>
          <w:tcPr>
            <w:tcW w:w="1037" w:type="pct"/>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Kontakt</w:t>
            </w:r>
          </w:p>
        </w:tc>
        <w:tc>
          <w:tcPr>
            <w:tcW w:w="1599" w:type="pct"/>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Situation des Kunden</w:t>
            </w:r>
          </w:p>
        </w:tc>
        <w:tc>
          <w:tcPr>
            <w:tcW w:w="1542" w:type="pct"/>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Von Microsoft erwartete Reaktion</w:t>
            </w:r>
          </w:p>
        </w:tc>
      </w:tr>
      <w:tr w:rsidR="00596386" w:rsidRPr="00BB5519" w:rsidTr="0076689E">
        <w:tc>
          <w:tcPr>
            <w:tcW w:w="822" w:type="pct"/>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A</w:t>
            </w:r>
          </w:p>
        </w:tc>
        <w:tc>
          <w:tcPr>
            <w:tcW w:w="1037" w:type="pct"/>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Einreichung per Web</w:t>
            </w:r>
          </w:p>
        </w:tc>
        <w:tc>
          <w:tcPr>
            <w:tcW w:w="1599" w:type="pct"/>
          </w:tcPr>
          <w:p w:rsidR="00596386" w:rsidRPr="00BB5519" w:rsidRDefault="00596386" w:rsidP="00647923">
            <w:pPr>
              <w:spacing w:after="60" w:line="240" w:lineRule="atLeast"/>
              <w:rPr>
                <w:lang w:val="de-DE"/>
              </w:rPr>
            </w:pPr>
            <w:r w:rsidRPr="00BB5519">
              <w:rPr>
                <w:rFonts w:ascii="SegoeBook" w:hAnsi="SegoeBook"/>
                <w:szCs w:val="18"/>
                <w:lang w:val="de-DE"/>
              </w:rPr>
              <w:t>Kritische Auswirkungen auf das Geschäft:</w:t>
            </w:r>
          </w:p>
          <w:p w:rsidR="00596386" w:rsidRPr="00BB5519" w:rsidRDefault="00596386" w:rsidP="00647923">
            <w:pPr>
              <w:spacing w:after="60" w:line="240" w:lineRule="atLeast"/>
              <w:rPr>
                <w:lang w:val="de-DE"/>
              </w:rPr>
            </w:pPr>
            <w:r w:rsidRPr="00BB5519">
              <w:rPr>
                <w:rFonts w:ascii="SegoeBook" w:hAnsi="SegoeBook"/>
                <w:szCs w:val="18"/>
                <w:lang w:val="de-DE"/>
              </w:rPr>
              <w:t>Erheblicher Verlust oder erhebliche Beeinträchtigung von Diensten (Anwendungsausfall)</w:t>
            </w:r>
          </w:p>
          <w:p w:rsidR="00596386" w:rsidRPr="00BB5519" w:rsidRDefault="00596386" w:rsidP="00610C3F">
            <w:pPr>
              <w:spacing w:after="60" w:line="240" w:lineRule="atLeast"/>
              <w:rPr>
                <w:rFonts w:ascii="SegoeBook" w:hAnsi="SegoeBook"/>
                <w:szCs w:val="18"/>
                <w:lang w:val="de-DE"/>
              </w:rPr>
            </w:pPr>
            <w:r w:rsidRPr="00BB5519">
              <w:rPr>
                <w:rFonts w:ascii="SegoeBook" w:hAnsi="SegoeBook"/>
                <w:szCs w:val="18"/>
                <w:lang w:val="de-DE"/>
              </w:rPr>
              <w:t>Bearbeitung innerhalb von 2</w:t>
            </w:r>
            <w:r w:rsidR="00610C3F">
              <w:rPr>
                <w:rFonts w:ascii="SegoeBook" w:hAnsi="SegoeBook"/>
                <w:szCs w:val="18"/>
                <w:lang w:val="de-DE"/>
              </w:rPr>
              <w:t> </w:t>
            </w:r>
            <w:r w:rsidRPr="00BB5519">
              <w:rPr>
                <w:rFonts w:ascii="SegoeBook" w:hAnsi="SegoeBook"/>
                <w:szCs w:val="18"/>
                <w:lang w:val="de-DE"/>
              </w:rPr>
              <w:t>Stunden erforderlich</w:t>
            </w:r>
          </w:p>
        </w:tc>
        <w:tc>
          <w:tcPr>
            <w:tcW w:w="1542" w:type="pct"/>
          </w:tcPr>
          <w:p w:rsidR="00596386" w:rsidRPr="00BB5519" w:rsidRDefault="00596386" w:rsidP="00610C3F">
            <w:pPr>
              <w:spacing w:after="60" w:line="240" w:lineRule="atLeast"/>
              <w:ind w:left="241" w:hanging="241"/>
            </w:pPr>
            <w:r w:rsidRPr="00BB5519">
              <w:rPr>
                <w:rFonts w:ascii="SegoeBook" w:hAnsi="SegoeBook"/>
                <w:szCs w:val="18"/>
              </w:rPr>
              <w:t>1. Reaktion in 2 Stunden oder weniger</w:t>
            </w:r>
          </w:p>
          <w:p w:rsidR="00596386" w:rsidRPr="00BB5519" w:rsidRDefault="00596386" w:rsidP="00647923">
            <w:pPr>
              <w:spacing w:after="60" w:line="240" w:lineRule="atLeast"/>
              <w:rPr>
                <w:rFonts w:ascii="SegoeBook" w:hAnsi="SegoeBook"/>
                <w:szCs w:val="18"/>
              </w:rPr>
            </w:pPr>
          </w:p>
        </w:tc>
      </w:tr>
      <w:tr w:rsidR="00596386" w:rsidRPr="00BB5519" w:rsidTr="0076689E">
        <w:tc>
          <w:tcPr>
            <w:tcW w:w="822" w:type="pct"/>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B</w:t>
            </w:r>
          </w:p>
        </w:tc>
        <w:tc>
          <w:tcPr>
            <w:tcW w:w="1037" w:type="pct"/>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Einreichung per Web</w:t>
            </w:r>
          </w:p>
        </w:tc>
        <w:tc>
          <w:tcPr>
            <w:tcW w:w="1599" w:type="pct"/>
          </w:tcPr>
          <w:p w:rsidR="00596386" w:rsidRPr="00BB5519" w:rsidRDefault="00596386" w:rsidP="00647923">
            <w:pPr>
              <w:spacing w:after="60" w:line="240" w:lineRule="atLeast"/>
              <w:rPr>
                <w:lang w:val="de-DE"/>
              </w:rPr>
            </w:pPr>
            <w:r w:rsidRPr="00BB5519">
              <w:rPr>
                <w:rFonts w:ascii="SegoeBook" w:hAnsi="SegoeBook"/>
                <w:szCs w:val="18"/>
                <w:lang w:val="de-DE"/>
              </w:rPr>
              <w:t xml:space="preserve">Mittelschwere Auswirkungen auf das Geschäft: </w:t>
            </w:r>
          </w:p>
          <w:p w:rsidR="00596386" w:rsidRPr="00BB5519" w:rsidRDefault="00596386" w:rsidP="00647923">
            <w:pPr>
              <w:spacing w:line="240" w:lineRule="atLeast"/>
              <w:rPr>
                <w:lang w:val="de-DE"/>
              </w:rPr>
            </w:pPr>
            <w:r w:rsidRPr="00BB5519">
              <w:rPr>
                <w:rFonts w:ascii="SegoeBook" w:hAnsi="SegoeBook"/>
                <w:szCs w:val="18"/>
                <w:lang w:val="de-DE"/>
              </w:rPr>
              <w:t>Mittelmäßiger Verlust oder mittelmäßige Beeinträchtigung von Diensten, die Arbeit kann jedoch vernünftigerweise mit Beeinträchtigungen fortgesetzt werden.</w:t>
            </w:r>
          </w:p>
          <w:p w:rsidR="00596386" w:rsidRPr="00BB5519" w:rsidRDefault="00596386" w:rsidP="00610C3F">
            <w:pPr>
              <w:spacing w:after="60" w:line="240" w:lineRule="atLeast"/>
              <w:rPr>
                <w:rFonts w:ascii="SegoeBook" w:hAnsi="SegoeBook"/>
                <w:szCs w:val="18"/>
                <w:lang w:val="de-DE"/>
              </w:rPr>
            </w:pPr>
            <w:r w:rsidRPr="00BB5519">
              <w:rPr>
                <w:rFonts w:ascii="SegoeBook" w:hAnsi="SegoeBook"/>
                <w:szCs w:val="18"/>
                <w:lang w:val="de-DE"/>
              </w:rPr>
              <w:t>Bearbeitung innerhalb von 4</w:t>
            </w:r>
            <w:r w:rsidR="00610C3F">
              <w:rPr>
                <w:rFonts w:ascii="SegoeBook" w:hAnsi="SegoeBook"/>
                <w:szCs w:val="18"/>
                <w:lang w:val="de-DE"/>
              </w:rPr>
              <w:t> </w:t>
            </w:r>
            <w:r w:rsidRPr="00BB5519">
              <w:rPr>
                <w:rFonts w:ascii="SegoeBook" w:hAnsi="SegoeBook"/>
                <w:szCs w:val="18"/>
                <w:lang w:val="de-DE"/>
              </w:rPr>
              <w:t>Stunden erforderlich</w:t>
            </w:r>
          </w:p>
        </w:tc>
        <w:tc>
          <w:tcPr>
            <w:tcW w:w="1542" w:type="pct"/>
          </w:tcPr>
          <w:p w:rsidR="00596386" w:rsidRPr="00BB5519" w:rsidRDefault="00596386" w:rsidP="00610C3F">
            <w:pPr>
              <w:spacing w:line="240" w:lineRule="atLeast"/>
              <w:ind w:left="241" w:hanging="241"/>
            </w:pPr>
            <w:r w:rsidRPr="00BB5519">
              <w:rPr>
                <w:rFonts w:ascii="SegoeBook" w:hAnsi="SegoeBook"/>
                <w:szCs w:val="18"/>
              </w:rPr>
              <w:t>1. Reaktion in 4 Stunden oder weniger</w:t>
            </w:r>
          </w:p>
          <w:p w:rsidR="00596386" w:rsidRPr="00BB5519" w:rsidRDefault="00596386" w:rsidP="00647923">
            <w:pPr>
              <w:spacing w:after="60" w:line="240" w:lineRule="atLeast"/>
              <w:rPr>
                <w:rFonts w:ascii="SegoeBook" w:hAnsi="SegoeBook"/>
                <w:szCs w:val="18"/>
              </w:rPr>
            </w:pPr>
          </w:p>
        </w:tc>
      </w:tr>
      <w:tr w:rsidR="00596386" w:rsidRPr="00BB5519" w:rsidTr="0076689E">
        <w:tc>
          <w:tcPr>
            <w:tcW w:w="822" w:type="pct"/>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C</w:t>
            </w:r>
          </w:p>
        </w:tc>
        <w:tc>
          <w:tcPr>
            <w:tcW w:w="1037" w:type="pct"/>
          </w:tcPr>
          <w:p w:rsidR="00596386" w:rsidRPr="00BB5519" w:rsidRDefault="00596386" w:rsidP="00647923">
            <w:pPr>
              <w:spacing w:after="60" w:line="240" w:lineRule="atLeast"/>
              <w:jc w:val="center"/>
              <w:rPr>
                <w:rFonts w:ascii="SegoeBook" w:hAnsi="SegoeBook"/>
                <w:szCs w:val="18"/>
              </w:rPr>
            </w:pPr>
            <w:r w:rsidRPr="00BB5519">
              <w:rPr>
                <w:rFonts w:ascii="SegoeBook" w:hAnsi="SegoeBook"/>
                <w:szCs w:val="18"/>
              </w:rPr>
              <w:t>Einreichung per Web</w:t>
            </w:r>
          </w:p>
        </w:tc>
        <w:tc>
          <w:tcPr>
            <w:tcW w:w="1599" w:type="pct"/>
          </w:tcPr>
          <w:p w:rsidR="00596386" w:rsidRPr="00BB5519" w:rsidRDefault="00596386" w:rsidP="00647923">
            <w:pPr>
              <w:rPr>
                <w:lang w:val="de-DE"/>
              </w:rPr>
            </w:pPr>
            <w:r w:rsidRPr="00BB5519">
              <w:rPr>
                <w:rFonts w:ascii="SegoeBook" w:hAnsi="SegoeBook"/>
                <w:szCs w:val="18"/>
                <w:lang w:val="de-DE"/>
              </w:rPr>
              <w:t>Minimale Auswirkungen auf das Geschäft:</w:t>
            </w:r>
          </w:p>
          <w:p w:rsidR="00596386" w:rsidRPr="00BB5519" w:rsidRDefault="00596386" w:rsidP="00647923">
            <w:pPr>
              <w:rPr>
                <w:lang w:val="de-DE"/>
              </w:rPr>
            </w:pPr>
            <w:r w:rsidRPr="00BB5519">
              <w:rPr>
                <w:rFonts w:ascii="SegoeBook" w:hAnsi="SegoeBook"/>
                <w:szCs w:val="18"/>
                <w:lang w:val="de-DE"/>
              </w:rPr>
              <w:t>Im Wesentlichen funktionsfähig, mit geringen oder keinen Beeinträchtigungen von Diensten.</w:t>
            </w:r>
          </w:p>
          <w:p w:rsidR="00596386" w:rsidRPr="00BB5519" w:rsidRDefault="00596386" w:rsidP="00610C3F">
            <w:pPr>
              <w:spacing w:after="60" w:line="240" w:lineRule="atLeast"/>
              <w:rPr>
                <w:rFonts w:ascii="SegoeBook" w:hAnsi="SegoeBook"/>
                <w:szCs w:val="18"/>
                <w:lang w:val="de-DE"/>
              </w:rPr>
            </w:pPr>
            <w:r w:rsidRPr="00BB5519">
              <w:rPr>
                <w:rFonts w:ascii="SegoeBook" w:hAnsi="SegoeBook"/>
                <w:szCs w:val="18"/>
                <w:lang w:val="de-DE"/>
              </w:rPr>
              <w:t>Bearbeitung innerhalb von 8</w:t>
            </w:r>
            <w:r w:rsidR="00610C3F">
              <w:rPr>
                <w:rFonts w:ascii="SegoeBook" w:hAnsi="SegoeBook"/>
                <w:szCs w:val="18"/>
                <w:lang w:val="de-DE"/>
              </w:rPr>
              <w:t> </w:t>
            </w:r>
            <w:r w:rsidRPr="00BB5519">
              <w:rPr>
                <w:rFonts w:ascii="SegoeBook" w:hAnsi="SegoeBook"/>
                <w:szCs w:val="18"/>
                <w:lang w:val="de-DE"/>
              </w:rPr>
              <w:t>Stunden erforderlich</w:t>
            </w:r>
          </w:p>
        </w:tc>
        <w:tc>
          <w:tcPr>
            <w:tcW w:w="1542" w:type="pct"/>
          </w:tcPr>
          <w:p w:rsidR="00596386" w:rsidRPr="00BB5519" w:rsidRDefault="00596386" w:rsidP="00610C3F">
            <w:pPr>
              <w:ind w:left="241" w:hanging="241"/>
            </w:pPr>
            <w:r w:rsidRPr="00BB5519">
              <w:rPr>
                <w:rFonts w:ascii="SegoeBook" w:hAnsi="SegoeBook"/>
                <w:szCs w:val="18"/>
              </w:rPr>
              <w:t>1. Reaktion in 8 Stunden oder weniger</w:t>
            </w:r>
          </w:p>
          <w:p w:rsidR="00596386" w:rsidRPr="00BB5519" w:rsidRDefault="00596386" w:rsidP="00647923">
            <w:pPr>
              <w:spacing w:line="240" w:lineRule="atLeast"/>
              <w:rPr>
                <w:rFonts w:ascii="SegoeBook" w:hAnsi="SegoeBook"/>
                <w:szCs w:val="18"/>
              </w:rPr>
            </w:pPr>
          </w:p>
        </w:tc>
      </w:tr>
    </w:tbl>
    <w:p w:rsidR="0076689E" w:rsidRDefault="0076689E" w:rsidP="0076689E">
      <w:pPr>
        <w:rPr>
          <w:b/>
          <w:sz w:val="22"/>
          <w:szCs w:val="24"/>
        </w:rPr>
      </w:pPr>
    </w:p>
    <w:p w:rsidR="00596386" w:rsidRPr="00BB5519" w:rsidRDefault="00596386" w:rsidP="00596386">
      <w:pPr>
        <w:tabs>
          <w:tab w:val="left" w:pos="360"/>
        </w:tabs>
        <w:jc w:val="both"/>
        <w:rPr>
          <w:lang w:val="de-DE"/>
        </w:rPr>
      </w:pPr>
      <w:r w:rsidRPr="00BB5519">
        <w:rPr>
          <w:rFonts w:cs="Arial"/>
          <w:snapToGrid w:val="0"/>
          <w:color w:val="000000"/>
          <w:szCs w:val="18"/>
          <w:lang w:val="de-DE"/>
        </w:rPr>
        <w:t>Kunden können sich dafür entscheiden, bei bis zu 3 Fällen pro Monat einen Rückruf von Microsoft zu erhalten.</w:t>
      </w:r>
      <w:r w:rsidR="009E4976" w:rsidRPr="00BB5519">
        <w:rPr>
          <w:rFonts w:cs="Arial"/>
          <w:snapToGrid w:val="0"/>
          <w:color w:val="000000"/>
          <w:szCs w:val="18"/>
          <w:lang w:val="de-DE"/>
        </w:rPr>
        <w:t xml:space="preserve"> </w:t>
      </w:r>
      <w:r w:rsidRPr="00BB5519">
        <w:rPr>
          <w:rFonts w:cs="Arial"/>
          <w:snapToGrid w:val="0"/>
          <w:color w:val="000000"/>
          <w:szCs w:val="18"/>
          <w:lang w:val="de-DE"/>
        </w:rPr>
        <w:t>Andernfalls übernimmt das Windows Azure-Supportteam die Fehlerbehebung und bearbeitet den Fall über Onlinekanäle (z. B. E-Mail oder Windows Azure-Portal).</w:t>
      </w:r>
      <w:r w:rsidR="009E4976" w:rsidRPr="00BB5519">
        <w:rPr>
          <w:rFonts w:cs="Arial"/>
          <w:snapToGrid w:val="0"/>
          <w:color w:val="000000"/>
          <w:szCs w:val="18"/>
          <w:lang w:val="de-DE"/>
        </w:rPr>
        <w:t xml:space="preserve"> </w:t>
      </w:r>
    </w:p>
    <w:p w:rsidR="0076689E" w:rsidRPr="00D15040" w:rsidRDefault="0076689E" w:rsidP="0076689E">
      <w:pPr>
        <w:tabs>
          <w:tab w:val="left" w:pos="360"/>
        </w:tabs>
        <w:jc w:val="both"/>
        <w:rPr>
          <w:rFonts w:cs="Arial"/>
          <w:color w:val="000000"/>
          <w:szCs w:val="18"/>
          <w:lang w:val="de-DE"/>
        </w:rPr>
      </w:pPr>
    </w:p>
    <w:p w:rsidR="00596386" w:rsidRPr="00D15040" w:rsidRDefault="00596386" w:rsidP="00596386">
      <w:pPr>
        <w:tabs>
          <w:tab w:val="left" w:pos="360"/>
        </w:tabs>
        <w:jc w:val="both"/>
        <w:rPr>
          <w:rFonts w:cs="Arial"/>
          <w:b/>
          <w:sz w:val="24"/>
          <w:szCs w:val="18"/>
          <w:lang w:val="de-DE"/>
        </w:rPr>
      </w:pPr>
      <w:r w:rsidRPr="00D15040">
        <w:rPr>
          <w:rFonts w:cs="Arial"/>
          <w:b/>
          <w:sz w:val="24"/>
          <w:szCs w:val="18"/>
          <w:lang w:val="de-DE"/>
        </w:rPr>
        <w:t>Entwicklersupport für Windows Azure</w:t>
      </w:r>
    </w:p>
    <w:p w:rsidR="0076689E" w:rsidRPr="00D15040" w:rsidRDefault="0076689E" w:rsidP="0076689E">
      <w:pPr>
        <w:tabs>
          <w:tab w:val="left" w:pos="360"/>
        </w:tabs>
        <w:jc w:val="both"/>
        <w:rPr>
          <w:rFonts w:cs="Arial"/>
          <w:b/>
          <w:szCs w:val="18"/>
          <w:lang w:val="de-DE"/>
        </w:rPr>
      </w:pPr>
    </w:p>
    <w:p w:rsidR="00596386" w:rsidRPr="00BB5519" w:rsidRDefault="00596386" w:rsidP="00596386">
      <w:pPr>
        <w:rPr>
          <w:lang w:val="de-DE"/>
        </w:rPr>
      </w:pPr>
      <w:r w:rsidRPr="00BB5519">
        <w:rPr>
          <w:szCs w:val="18"/>
          <w:lang w:val="de-DE"/>
        </w:rPr>
        <w:t>Microsoft legt den Schweregrad für alle eingereichten Fälle standardmäßig auf Schweregrad C fest. Der Schweregrad des Falls bestimmt die Reaktionsebene innerhalb von Microsoft und geschätzte Reaktionszeiten, wie in der Tabelle unten dargelegt.</w:t>
      </w:r>
      <w:r w:rsidR="009E4976" w:rsidRPr="00BB5519">
        <w:rPr>
          <w:szCs w:val="18"/>
          <w:lang w:val="de-DE"/>
        </w:rPr>
        <w:t xml:space="preserve"> </w:t>
      </w:r>
      <w:r w:rsidRPr="00BB5519">
        <w:rPr>
          <w:szCs w:val="18"/>
          <w:lang w:val="de-DE"/>
        </w:rPr>
        <w:t>Unsere Fähigkeit, die Services zu erbringen, ist von Ihrer umfassenden und zeitgerechten Zusammenarbeit sowie von der Genauigkeit und Vollständigkeit der vom Kunden bereitgestellten Informationen abhängig.</w:t>
      </w:r>
    </w:p>
    <w:p w:rsidR="00596386" w:rsidRPr="00BB5519" w:rsidRDefault="00596386" w:rsidP="00596386">
      <w:pPr>
        <w:rPr>
          <w:lang w:val="de-DE"/>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9"/>
        <w:gridCol w:w="1318"/>
        <w:gridCol w:w="3617"/>
        <w:gridCol w:w="2535"/>
      </w:tblGrid>
      <w:tr w:rsidR="00596386" w:rsidRPr="00BB5519" w:rsidTr="00F246FF">
        <w:tc>
          <w:tcPr>
            <w:tcW w:w="913" w:type="pct"/>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Schweregrad</w:t>
            </w:r>
          </w:p>
        </w:tc>
        <w:tc>
          <w:tcPr>
            <w:tcW w:w="721" w:type="pct"/>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Kontakt</w:t>
            </w:r>
          </w:p>
        </w:tc>
        <w:tc>
          <w:tcPr>
            <w:tcW w:w="1979" w:type="pct"/>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Situation des Kunden</w:t>
            </w:r>
          </w:p>
        </w:tc>
        <w:tc>
          <w:tcPr>
            <w:tcW w:w="1387" w:type="pct"/>
            <w:shd w:val="clear" w:color="auto" w:fill="FABF8F"/>
          </w:tcPr>
          <w:p w:rsidR="00596386" w:rsidRPr="00BB5519" w:rsidRDefault="00596386" w:rsidP="0037031E">
            <w:pPr>
              <w:jc w:val="center"/>
              <w:rPr>
                <w:rFonts w:cs="Tahoma"/>
                <w:b/>
                <w:bCs/>
                <w:color w:val="000000"/>
                <w:sz w:val="20"/>
                <w:szCs w:val="18"/>
              </w:rPr>
            </w:pPr>
            <w:r w:rsidRPr="00BB5519">
              <w:rPr>
                <w:rFonts w:cs="Tahoma"/>
                <w:b/>
                <w:bCs/>
                <w:color w:val="000000"/>
                <w:sz w:val="20"/>
                <w:szCs w:val="18"/>
              </w:rPr>
              <w:t>Von Microsoft erwartete Reaktion</w:t>
            </w:r>
          </w:p>
        </w:tc>
      </w:tr>
      <w:tr w:rsidR="00596386" w:rsidRPr="00BB5519" w:rsidTr="00F246FF">
        <w:tc>
          <w:tcPr>
            <w:tcW w:w="913" w:type="pct"/>
          </w:tcPr>
          <w:p w:rsidR="00596386" w:rsidRPr="00BB5519" w:rsidRDefault="00596386" w:rsidP="00647923">
            <w:pPr>
              <w:spacing w:after="60" w:line="240" w:lineRule="atLeast"/>
              <w:jc w:val="center"/>
              <w:rPr>
                <w:lang w:val="de-DE"/>
              </w:rPr>
            </w:pPr>
            <w:r w:rsidRPr="00BB5519">
              <w:rPr>
                <w:rFonts w:cs="Tahoma"/>
                <w:szCs w:val="18"/>
                <w:lang w:val="de-DE"/>
              </w:rPr>
              <w:t>C</w:t>
            </w:r>
          </w:p>
          <w:p w:rsidR="00596386" w:rsidRPr="00BB5519" w:rsidRDefault="00596386" w:rsidP="009E022C">
            <w:pPr>
              <w:spacing w:after="60" w:line="240" w:lineRule="atLeast"/>
              <w:jc w:val="center"/>
              <w:rPr>
                <w:rFonts w:cs="Tahoma"/>
                <w:szCs w:val="18"/>
                <w:lang w:val="de-DE"/>
              </w:rPr>
            </w:pPr>
            <w:r w:rsidRPr="00BB5519">
              <w:rPr>
                <w:rFonts w:cs="Tahoma"/>
                <w:szCs w:val="18"/>
                <w:lang w:val="de-DE"/>
              </w:rPr>
              <w:t>(Für alle Fälle</w:t>
            </w:r>
            <w:r w:rsidR="009E022C">
              <w:rPr>
                <w:rFonts w:cs="Tahoma"/>
                <w:szCs w:val="18"/>
                <w:lang w:val="de-DE"/>
              </w:rPr>
              <w:t> </w:t>
            </w:r>
            <w:r w:rsidRPr="00BB5519">
              <w:rPr>
                <w:rFonts w:cs="Tahoma"/>
                <w:szCs w:val="18"/>
                <w:lang w:val="de-DE"/>
              </w:rPr>
              <w:t>gilt standardmäßig C)</w:t>
            </w:r>
          </w:p>
        </w:tc>
        <w:tc>
          <w:tcPr>
            <w:tcW w:w="721" w:type="pct"/>
          </w:tcPr>
          <w:p w:rsidR="00596386" w:rsidRPr="00BB5519" w:rsidRDefault="00596386" w:rsidP="009E022C">
            <w:pPr>
              <w:spacing w:after="60" w:line="240" w:lineRule="atLeast"/>
              <w:jc w:val="center"/>
              <w:rPr>
                <w:rFonts w:cs="Tahoma"/>
                <w:szCs w:val="18"/>
              </w:rPr>
            </w:pPr>
            <w:r w:rsidRPr="00BB5519">
              <w:rPr>
                <w:rFonts w:cs="Tahoma"/>
                <w:szCs w:val="18"/>
              </w:rPr>
              <w:t>Einreichung per</w:t>
            </w:r>
            <w:r w:rsidR="009E022C">
              <w:rPr>
                <w:rFonts w:cs="Tahoma"/>
                <w:szCs w:val="18"/>
              </w:rPr>
              <w:t> </w:t>
            </w:r>
            <w:r w:rsidRPr="00BB5519">
              <w:rPr>
                <w:rFonts w:cs="Tahoma"/>
                <w:szCs w:val="18"/>
              </w:rPr>
              <w:t>Web</w:t>
            </w:r>
          </w:p>
        </w:tc>
        <w:tc>
          <w:tcPr>
            <w:tcW w:w="1979" w:type="pct"/>
          </w:tcPr>
          <w:p w:rsidR="00596386" w:rsidRPr="00BB5519" w:rsidRDefault="00596386" w:rsidP="009E022C">
            <w:pPr>
              <w:rPr>
                <w:lang w:val="de-DE"/>
              </w:rPr>
            </w:pPr>
            <w:r w:rsidRPr="00BB5519">
              <w:rPr>
                <w:rFonts w:cs="Tahoma"/>
                <w:szCs w:val="18"/>
                <w:lang w:val="de-DE"/>
              </w:rPr>
              <w:t>Minimale Auswirkungen auf das</w:t>
            </w:r>
            <w:r w:rsidR="00F246FF">
              <w:rPr>
                <w:rFonts w:cs="Tahoma"/>
                <w:szCs w:val="18"/>
                <w:lang w:val="de-DE"/>
              </w:rPr>
              <w:t xml:space="preserve"> </w:t>
            </w:r>
            <w:r w:rsidRPr="00BB5519">
              <w:rPr>
                <w:rFonts w:cs="Tahoma"/>
                <w:szCs w:val="18"/>
                <w:lang w:val="de-DE"/>
              </w:rPr>
              <w:t>Geschäft:</w:t>
            </w:r>
          </w:p>
          <w:p w:rsidR="00596386" w:rsidRPr="00BB5519" w:rsidRDefault="00596386" w:rsidP="00647923">
            <w:pPr>
              <w:rPr>
                <w:lang w:val="de-DE"/>
              </w:rPr>
            </w:pPr>
            <w:r w:rsidRPr="00BB5519">
              <w:rPr>
                <w:rFonts w:cs="Tahoma"/>
                <w:szCs w:val="18"/>
                <w:lang w:val="de-DE"/>
              </w:rPr>
              <w:t>Im Wesentlichen funktionsfähig, mit geringen oder keinen Beeinträchtigungen von Diensten.</w:t>
            </w:r>
          </w:p>
          <w:p w:rsidR="00596386" w:rsidRPr="00BB5519" w:rsidRDefault="00596386" w:rsidP="00647923">
            <w:pPr>
              <w:spacing w:after="60" w:line="240" w:lineRule="atLeast"/>
              <w:rPr>
                <w:rFonts w:cs="Tahoma"/>
                <w:szCs w:val="18"/>
                <w:lang w:val="de-DE"/>
              </w:rPr>
            </w:pPr>
            <w:r w:rsidRPr="00BB5519">
              <w:rPr>
                <w:rFonts w:cs="Tahoma"/>
                <w:szCs w:val="18"/>
                <w:lang w:val="de-DE"/>
              </w:rPr>
              <w:t>Bearbeitung innerhalb von 8 Stunden erforderlich</w:t>
            </w:r>
          </w:p>
        </w:tc>
        <w:tc>
          <w:tcPr>
            <w:tcW w:w="1387" w:type="pct"/>
          </w:tcPr>
          <w:p w:rsidR="00596386" w:rsidRPr="00BB5519" w:rsidRDefault="00596386" w:rsidP="009E022C">
            <w:pPr>
              <w:ind w:left="256" w:hanging="256"/>
            </w:pPr>
            <w:r w:rsidRPr="00BB5519">
              <w:rPr>
                <w:rFonts w:cs="Tahoma"/>
                <w:szCs w:val="18"/>
              </w:rPr>
              <w:t>1. Reaktion in 8 Stunden oder weniger</w:t>
            </w:r>
          </w:p>
          <w:p w:rsidR="00596386" w:rsidRPr="00BB5519" w:rsidRDefault="00596386" w:rsidP="00647923">
            <w:pPr>
              <w:spacing w:line="240" w:lineRule="atLeast"/>
              <w:rPr>
                <w:rFonts w:cs="Tahoma"/>
                <w:szCs w:val="18"/>
              </w:rPr>
            </w:pPr>
          </w:p>
        </w:tc>
      </w:tr>
    </w:tbl>
    <w:p w:rsidR="00596386" w:rsidRPr="00BB5519" w:rsidRDefault="00596386" w:rsidP="00596386"/>
    <w:p w:rsidR="00596386" w:rsidRPr="00BB5519" w:rsidRDefault="00596386" w:rsidP="00596386">
      <w:pPr>
        <w:tabs>
          <w:tab w:val="left" w:pos="360"/>
        </w:tabs>
        <w:jc w:val="both"/>
        <w:rPr>
          <w:lang w:val="de-DE"/>
        </w:rPr>
      </w:pPr>
      <w:r w:rsidRPr="00BB5519">
        <w:rPr>
          <w:rFonts w:cs="Arial"/>
          <w:snapToGrid w:val="0"/>
          <w:color w:val="000000"/>
          <w:szCs w:val="18"/>
          <w:lang w:val="de-DE"/>
        </w:rPr>
        <w:t>Das Windows Azure-Supportteam arbeitet mit Kunden daran, über Onlinekanäle (z. B. E-Mail oder Windows Azure-Portal) Fehler zu beheben und Fälle zu bearbeiten.</w:t>
      </w:r>
      <w:r w:rsidR="009E4976" w:rsidRPr="00BB5519">
        <w:rPr>
          <w:rFonts w:cs="Arial"/>
          <w:snapToGrid w:val="0"/>
          <w:color w:val="000000"/>
          <w:szCs w:val="18"/>
          <w:lang w:val="de-DE"/>
        </w:rPr>
        <w:t xml:space="preserve"> </w:t>
      </w:r>
      <w:r w:rsidRPr="00BB5519">
        <w:rPr>
          <w:rFonts w:cs="Arial"/>
          <w:snapToGrid w:val="0"/>
          <w:color w:val="000000"/>
          <w:szCs w:val="18"/>
          <w:lang w:val="de-DE"/>
        </w:rPr>
        <w:t>Das Windows Azure-Supportteam ist berechtigt, den Kunden unter der vom Kunden bereitgestellten Telefonnummer zu kontaktieren, sofern dies zur Bearbeitung eines Falls erforderlich ist.</w:t>
      </w:r>
    </w:p>
    <w:p w:rsidR="00596386" w:rsidRPr="00BB5519" w:rsidRDefault="00596386" w:rsidP="00DD7F8E">
      <w:pPr>
        <w:rPr>
          <w:lang w:val="de-DE"/>
        </w:rPr>
      </w:pPr>
    </w:p>
    <w:p w:rsidR="00DD7F8E" w:rsidRPr="00D15040" w:rsidRDefault="00DD7F8E" w:rsidP="00DD7F8E">
      <w:pPr>
        <w:rPr>
          <w:b/>
          <w:sz w:val="24"/>
          <w:szCs w:val="24"/>
          <w:lang w:val="de-DE"/>
        </w:rPr>
      </w:pPr>
      <w:r w:rsidRPr="00D15040">
        <w:rPr>
          <w:b/>
          <w:sz w:val="24"/>
          <w:szCs w:val="24"/>
          <w:lang w:val="de-DE"/>
        </w:rPr>
        <w:lastRenderedPageBreak/>
        <w:t>Microsoft Enterprise Strategy-Programmangebote</w:t>
      </w:r>
    </w:p>
    <w:p w:rsidR="00DD7F8E" w:rsidRPr="00BB5519" w:rsidRDefault="00DD7F8E" w:rsidP="00DD7F8E">
      <w:pPr>
        <w:rPr>
          <w:lang w:val="de-DE"/>
        </w:rPr>
      </w:pPr>
    </w:p>
    <w:p w:rsidR="00DD7F8E" w:rsidRPr="00D15040" w:rsidRDefault="00DD7F8E" w:rsidP="006D6BED">
      <w:pPr>
        <w:widowControl w:val="0"/>
        <w:tabs>
          <w:tab w:val="left" w:pos="720"/>
          <w:tab w:val="left" w:pos="1170"/>
        </w:tabs>
        <w:spacing w:after="60"/>
        <w:rPr>
          <w:rFonts w:cs="Arial"/>
          <w:b/>
          <w:bCs/>
          <w:szCs w:val="18"/>
          <w:lang w:val="de-DE" w:eastAsia="ja-JP"/>
        </w:rPr>
      </w:pPr>
      <w:r w:rsidRPr="00D15040">
        <w:rPr>
          <w:rFonts w:cs="Arial"/>
          <w:b/>
          <w:bCs/>
          <w:szCs w:val="18"/>
          <w:lang w:val="de-DE" w:eastAsia="ja-JP"/>
        </w:rPr>
        <w:t>Übersicht über das Microsoft Enterprise Strategy-Programm</w:t>
      </w:r>
    </w:p>
    <w:p w:rsidR="00DD7F8E" w:rsidRPr="00BB5519" w:rsidRDefault="00DD7F8E" w:rsidP="009E022C">
      <w:pPr>
        <w:rPr>
          <w:lang w:val="de-DE"/>
        </w:rPr>
      </w:pPr>
      <w:r w:rsidRPr="00BB5519">
        <w:rPr>
          <w:rFonts w:cs="Arial"/>
          <w:lang w:val="de-DE"/>
        </w:rPr>
        <w:t>Das Enterprise Strategy-Programm für den Microsoft Konzernvertrag bietet Kunden Beratung durch einen Microsoft</w:t>
      </w:r>
      <w:r w:rsidR="009E022C">
        <w:rPr>
          <w:rFonts w:cs="Arial"/>
          <w:lang w:val="de-DE"/>
        </w:rPr>
        <w:t> </w:t>
      </w:r>
      <w:r w:rsidRPr="00BB5519">
        <w:rPr>
          <w:rFonts w:cs="Arial"/>
          <w:lang w:val="de-DE"/>
        </w:rPr>
        <w:t>Enterprise Architects zur Verkürzung der Technologieeinführungsdauer und zur Planung messbarer Veränderungen, die zu einem größeren Nutzen der Investition in den Microsoft-Technologien führen. Alle Angaben zu</w:t>
      </w:r>
      <w:r w:rsidR="009E022C">
        <w:rPr>
          <w:rFonts w:cs="Arial"/>
          <w:lang w:val="de-DE"/>
        </w:rPr>
        <w:t> </w:t>
      </w:r>
      <w:r w:rsidRPr="00BB5519">
        <w:rPr>
          <w:rFonts w:cs="Arial"/>
          <w:lang w:val="de-DE"/>
        </w:rPr>
        <w:t xml:space="preserve">Zeitskalen, Daten und Bereitstellungszeitplänen sind lediglich Schätzungen und können sich ändern. </w:t>
      </w:r>
    </w:p>
    <w:p w:rsidR="00DD7F8E" w:rsidRPr="00BB5519" w:rsidRDefault="00DD7F8E" w:rsidP="006D6BED">
      <w:pPr>
        <w:rPr>
          <w:lang w:val="de-DE"/>
        </w:rPr>
      </w:pPr>
    </w:p>
    <w:p w:rsidR="0064651F" w:rsidRPr="00BB5519" w:rsidRDefault="00DD7F8E" w:rsidP="006D6BED">
      <w:pPr>
        <w:rPr>
          <w:lang w:val="de-DE"/>
        </w:rPr>
      </w:pPr>
      <w:r w:rsidRPr="00BB5519">
        <w:rPr>
          <w:rFonts w:cs="Arial"/>
          <w:lang w:val="de-DE"/>
        </w:rPr>
        <w:t>Die Enterprise Strategy-Programmangebote enthalten die folgenden Komponenten, die für jedes Jahr des Konzernvertrages des Kunden bereitgestellt werden:</w:t>
      </w:r>
    </w:p>
    <w:p w:rsidR="00DD7F8E" w:rsidRPr="00BB5519" w:rsidRDefault="00DD7F8E" w:rsidP="006D6BED">
      <w:pPr>
        <w:rPr>
          <w:lang w:val="de-DE"/>
        </w:rPr>
      </w:pPr>
    </w:p>
    <w:p w:rsidR="00FD27BC" w:rsidRPr="00BB5519" w:rsidRDefault="00FD27BC" w:rsidP="006D6BED">
      <w:pPr>
        <w:rPr>
          <w:lang w:val="de-DE"/>
        </w:rPr>
      </w:pPr>
      <w:bookmarkStart w:id="985" w:name="OLE_LINK5"/>
      <w:bookmarkStart w:id="986"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BB5519" w:rsidTr="002A6416">
        <w:tc>
          <w:tcPr>
            <w:tcW w:w="2555" w:type="dxa"/>
            <w:shd w:val="clear" w:color="auto" w:fill="FABF8F"/>
            <w:vAlign w:val="center"/>
          </w:tcPr>
          <w:p w:rsidR="00FD27BC" w:rsidRPr="00BB5519" w:rsidRDefault="00FD27BC" w:rsidP="00FD27BC">
            <w:pPr>
              <w:jc w:val="center"/>
              <w:rPr>
                <w:rFonts w:cs="Tahoma"/>
                <w:color w:val="000000"/>
                <w:szCs w:val="18"/>
              </w:rPr>
            </w:pPr>
            <w:r w:rsidRPr="00BB5519">
              <w:rPr>
                <w:rFonts w:cs="Tahoma"/>
                <w:b/>
                <w:bCs/>
                <w:color w:val="000000"/>
                <w:sz w:val="20"/>
                <w:szCs w:val="18"/>
              </w:rPr>
              <w:t>Bereich</w:t>
            </w:r>
          </w:p>
        </w:tc>
        <w:tc>
          <w:tcPr>
            <w:tcW w:w="2215" w:type="dxa"/>
            <w:shd w:val="clear" w:color="auto" w:fill="FABF8F"/>
            <w:vAlign w:val="center"/>
          </w:tcPr>
          <w:p w:rsidR="00FD27BC" w:rsidRPr="00BB5519" w:rsidRDefault="00FD27BC" w:rsidP="00FD27BC">
            <w:pPr>
              <w:jc w:val="center"/>
              <w:rPr>
                <w:rFonts w:cs="Tahoma"/>
                <w:b/>
                <w:bCs/>
                <w:color w:val="000000"/>
                <w:sz w:val="20"/>
                <w:szCs w:val="20"/>
              </w:rPr>
            </w:pPr>
            <w:r w:rsidRPr="00BB5519">
              <w:rPr>
                <w:rFonts w:cs="Tahoma"/>
                <w:b/>
                <w:bCs/>
                <w:color w:val="000000"/>
                <w:sz w:val="20"/>
                <w:szCs w:val="20"/>
              </w:rPr>
              <w:t>Enterprise Strategy Connect</w:t>
            </w:r>
          </w:p>
        </w:tc>
        <w:tc>
          <w:tcPr>
            <w:tcW w:w="2340" w:type="dxa"/>
            <w:shd w:val="clear" w:color="auto" w:fill="FABF8F"/>
            <w:vAlign w:val="center"/>
          </w:tcPr>
          <w:p w:rsidR="00FD27BC" w:rsidRPr="00BB5519" w:rsidRDefault="00FD27BC" w:rsidP="00FD27BC">
            <w:pPr>
              <w:jc w:val="center"/>
              <w:rPr>
                <w:rFonts w:cs="Tahoma"/>
                <w:color w:val="000000"/>
                <w:sz w:val="20"/>
                <w:szCs w:val="20"/>
              </w:rPr>
            </w:pPr>
            <w:r w:rsidRPr="00BB5519">
              <w:rPr>
                <w:rFonts w:cs="Tahoma"/>
                <w:b/>
                <w:bCs/>
                <w:color w:val="000000"/>
                <w:sz w:val="20"/>
                <w:szCs w:val="20"/>
              </w:rPr>
              <w:t>Enterprise Strategy Foundation</w:t>
            </w:r>
          </w:p>
        </w:tc>
        <w:tc>
          <w:tcPr>
            <w:tcW w:w="2250" w:type="dxa"/>
            <w:shd w:val="clear" w:color="auto" w:fill="FABF8F"/>
            <w:vAlign w:val="center"/>
          </w:tcPr>
          <w:p w:rsidR="00FD27BC" w:rsidRPr="00BB5519" w:rsidRDefault="00FD27BC" w:rsidP="00FD27BC">
            <w:pPr>
              <w:jc w:val="center"/>
              <w:rPr>
                <w:rFonts w:cs="Tahoma"/>
                <w:b/>
                <w:bCs/>
                <w:color w:val="000000"/>
                <w:sz w:val="20"/>
                <w:szCs w:val="18"/>
              </w:rPr>
            </w:pPr>
            <w:r w:rsidRPr="00BB5519">
              <w:rPr>
                <w:rFonts w:cs="Tahoma"/>
                <w:b/>
                <w:bCs/>
                <w:color w:val="000000"/>
                <w:sz w:val="20"/>
                <w:szCs w:val="18"/>
              </w:rPr>
              <w:t>Enterprise Strategy Portfolio</w:t>
            </w:r>
          </w:p>
        </w:tc>
      </w:tr>
      <w:tr w:rsidR="00FD27BC" w:rsidRPr="00BB5519" w:rsidTr="002A6416">
        <w:tc>
          <w:tcPr>
            <w:tcW w:w="2555" w:type="dxa"/>
            <w:vAlign w:val="center"/>
          </w:tcPr>
          <w:p w:rsidR="00FD27BC" w:rsidRPr="00BB5519" w:rsidRDefault="00FD27BC" w:rsidP="009B78AB">
            <w:pPr>
              <w:rPr>
                <w:rFonts w:cs="Tahoma"/>
                <w:color w:val="000000"/>
                <w:szCs w:val="18"/>
              </w:rPr>
            </w:pPr>
            <w:r w:rsidRPr="00BB5519">
              <w:rPr>
                <w:rFonts w:cs="Tahoma"/>
                <w:color w:val="000000"/>
                <w:szCs w:val="18"/>
              </w:rPr>
              <w:t>Enterprise Architect</w:t>
            </w:r>
          </w:p>
        </w:tc>
        <w:tc>
          <w:tcPr>
            <w:tcW w:w="2215" w:type="dxa"/>
            <w:vAlign w:val="center"/>
          </w:tcPr>
          <w:p w:rsidR="00FD27BC" w:rsidRPr="00BB5519" w:rsidRDefault="00FD27BC" w:rsidP="00FD27BC">
            <w:pPr>
              <w:jc w:val="center"/>
              <w:rPr>
                <w:rFonts w:eastAsia="MS UI Gothic" w:cs="Tahoma"/>
                <w:color w:val="000000"/>
                <w:szCs w:val="18"/>
              </w:rPr>
            </w:pPr>
            <w:r w:rsidRPr="00BB5519">
              <w:rPr>
                <w:rFonts w:eastAsia="MS UI Gothic" w:cs="Tahoma"/>
                <w:color w:val="000000"/>
                <w:szCs w:val="18"/>
              </w:rPr>
              <w:t>1 Microsoft Enterprise Architect (Teilzeit, 1 Viertel</w:t>
            </w:r>
            <w:r w:rsidRPr="004211C8">
              <w:rPr>
                <w:rFonts w:eastAsia="MS UI Gothic" w:cs="Tahoma"/>
                <w:color w:val="000000"/>
                <w:szCs w:val="18"/>
              </w:rPr>
              <w:t xml:space="preserve">) </w:t>
            </w:r>
            <w:r w:rsidRPr="004211C8">
              <w:rPr>
                <w:rFonts w:cs="Tahoma"/>
                <w:color w:val="000000"/>
                <w:sz w:val="20"/>
                <w:szCs w:val="18"/>
                <w:vertAlign w:val="superscript"/>
              </w:rPr>
              <w:t>1</w:t>
            </w:r>
          </w:p>
        </w:tc>
        <w:tc>
          <w:tcPr>
            <w:tcW w:w="2340" w:type="dxa"/>
            <w:vAlign w:val="center"/>
          </w:tcPr>
          <w:p w:rsidR="00FD27BC" w:rsidRPr="00BB5519" w:rsidRDefault="00FD27BC" w:rsidP="00FD27BC">
            <w:pPr>
              <w:jc w:val="center"/>
              <w:rPr>
                <w:rFonts w:cs="Tahoma"/>
                <w:color w:val="000000"/>
                <w:szCs w:val="18"/>
              </w:rPr>
            </w:pPr>
            <w:r w:rsidRPr="00BB5519">
              <w:rPr>
                <w:rFonts w:eastAsia="MS UI Gothic" w:cs="Tahoma"/>
                <w:color w:val="000000"/>
                <w:szCs w:val="18"/>
              </w:rPr>
              <w:t>1 Microsoft Enterprise Architect (</w:t>
            </w:r>
            <w:r w:rsidRPr="004211C8">
              <w:rPr>
                <w:rFonts w:eastAsia="MS UI Gothic" w:cs="Tahoma"/>
                <w:color w:val="000000"/>
                <w:szCs w:val="18"/>
              </w:rPr>
              <w:t xml:space="preserve">Teilzeit) </w:t>
            </w:r>
            <w:r w:rsidRPr="004211C8">
              <w:rPr>
                <w:rFonts w:cs="Tahoma"/>
                <w:color w:val="000000"/>
                <w:sz w:val="20"/>
                <w:szCs w:val="18"/>
                <w:vertAlign w:val="superscript"/>
              </w:rPr>
              <w:t>1</w:t>
            </w:r>
          </w:p>
        </w:tc>
        <w:tc>
          <w:tcPr>
            <w:tcW w:w="2250" w:type="dxa"/>
            <w:vAlign w:val="center"/>
          </w:tcPr>
          <w:p w:rsidR="00FD27BC" w:rsidRPr="00BB5519" w:rsidRDefault="00FD27BC" w:rsidP="00FD27BC">
            <w:pPr>
              <w:jc w:val="center"/>
              <w:rPr>
                <w:rFonts w:cs="Tahoma"/>
                <w:color w:val="000000"/>
                <w:szCs w:val="18"/>
              </w:rPr>
            </w:pPr>
            <w:r w:rsidRPr="00BB5519">
              <w:rPr>
                <w:rFonts w:eastAsia="MS UI Gothic" w:cs="Tahoma"/>
                <w:color w:val="000000"/>
                <w:szCs w:val="18"/>
              </w:rPr>
              <w:t>1 Microsoft Enterprise Architect (</w:t>
            </w:r>
            <w:r w:rsidRPr="004211C8">
              <w:rPr>
                <w:rFonts w:eastAsia="MS UI Gothic" w:cs="Tahoma"/>
                <w:color w:val="000000"/>
                <w:szCs w:val="18"/>
              </w:rPr>
              <w:t xml:space="preserve">Vollzeit) </w:t>
            </w:r>
            <w:r w:rsidRPr="004211C8">
              <w:rPr>
                <w:rFonts w:cs="Tahoma"/>
                <w:color w:val="000000"/>
                <w:sz w:val="20"/>
                <w:szCs w:val="18"/>
                <w:vertAlign w:val="superscript"/>
              </w:rPr>
              <w:t>1</w:t>
            </w:r>
          </w:p>
        </w:tc>
      </w:tr>
      <w:tr w:rsidR="00FD27BC" w:rsidRPr="00D244F0" w:rsidTr="002A6416">
        <w:tc>
          <w:tcPr>
            <w:tcW w:w="2555" w:type="dxa"/>
            <w:vAlign w:val="center"/>
          </w:tcPr>
          <w:p w:rsidR="00FD27BC" w:rsidRPr="004211C8" w:rsidRDefault="00FD27BC" w:rsidP="00FD27BC">
            <w:pPr>
              <w:rPr>
                <w:rFonts w:cs="Tahoma"/>
                <w:color w:val="000000"/>
                <w:szCs w:val="18"/>
              </w:rPr>
            </w:pPr>
            <w:r w:rsidRPr="004211C8">
              <w:rPr>
                <w:rFonts w:cs="Tahoma"/>
                <w:color w:val="000000"/>
                <w:szCs w:val="18"/>
              </w:rPr>
              <w:t xml:space="preserve">Bewertung </w:t>
            </w:r>
            <w:r w:rsidRPr="004211C8">
              <w:rPr>
                <w:rFonts w:cs="Tahoma"/>
                <w:color w:val="000000"/>
                <w:szCs w:val="18"/>
                <w:vertAlign w:val="superscript"/>
              </w:rPr>
              <w:t>2</w:t>
            </w:r>
          </w:p>
        </w:tc>
        <w:tc>
          <w:tcPr>
            <w:tcW w:w="2215" w:type="dxa"/>
            <w:vAlign w:val="center"/>
          </w:tcPr>
          <w:p w:rsidR="00FD27BC" w:rsidRPr="00BB5519" w:rsidRDefault="00FD27BC" w:rsidP="00FD27BC">
            <w:pPr>
              <w:jc w:val="center"/>
              <w:rPr>
                <w:rFonts w:cs="Tahoma"/>
                <w:color w:val="000000"/>
                <w:szCs w:val="18"/>
                <w:lang w:val="de-DE"/>
              </w:rPr>
            </w:pPr>
            <w:r w:rsidRPr="00BB5519">
              <w:rPr>
                <w:rFonts w:cs="Tahoma"/>
                <w:color w:val="000000"/>
                <w:szCs w:val="18"/>
                <w:lang w:val="de-DE"/>
              </w:rPr>
              <w:t>Bis zu 25 % des Architect-Aufwands pro Jahr</w:t>
            </w:r>
          </w:p>
        </w:tc>
        <w:tc>
          <w:tcPr>
            <w:tcW w:w="2340" w:type="dxa"/>
            <w:vAlign w:val="center"/>
          </w:tcPr>
          <w:p w:rsidR="00FD27BC" w:rsidRPr="00BB5519" w:rsidRDefault="00FD27BC" w:rsidP="00FD27BC">
            <w:pPr>
              <w:jc w:val="center"/>
              <w:rPr>
                <w:rFonts w:cs="Tahoma"/>
                <w:color w:val="000000"/>
                <w:szCs w:val="18"/>
                <w:lang w:val="de-DE"/>
              </w:rPr>
            </w:pPr>
            <w:r w:rsidRPr="00BB5519">
              <w:rPr>
                <w:rFonts w:cs="Tahoma"/>
                <w:color w:val="000000"/>
                <w:szCs w:val="18"/>
                <w:lang w:val="de-DE"/>
              </w:rPr>
              <w:t>Bis zu 25 % des Architect-Aufwands pro Jahr</w:t>
            </w:r>
          </w:p>
        </w:tc>
        <w:tc>
          <w:tcPr>
            <w:tcW w:w="2250" w:type="dxa"/>
            <w:vAlign w:val="center"/>
          </w:tcPr>
          <w:p w:rsidR="00FD27BC" w:rsidRPr="00BB5519" w:rsidRDefault="00FD27BC" w:rsidP="00FD27BC">
            <w:pPr>
              <w:jc w:val="center"/>
              <w:rPr>
                <w:rFonts w:cs="Tahoma"/>
                <w:color w:val="000000"/>
                <w:szCs w:val="18"/>
                <w:lang w:val="de-DE"/>
              </w:rPr>
            </w:pPr>
            <w:r w:rsidRPr="00BB5519">
              <w:rPr>
                <w:rFonts w:cs="Tahoma"/>
                <w:color w:val="000000"/>
                <w:szCs w:val="18"/>
                <w:lang w:val="de-DE"/>
              </w:rPr>
              <w:t>Bis zu 25 % des Architect-Aufwands pro Jahr</w:t>
            </w:r>
          </w:p>
        </w:tc>
      </w:tr>
      <w:tr w:rsidR="00FD27BC" w:rsidRPr="00D244F0" w:rsidTr="002A6416">
        <w:tc>
          <w:tcPr>
            <w:tcW w:w="2555" w:type="dxa"/>
            <w:vAlign w:val="center"/>
          </w:tcPr>
          <w:p w:rsidR="00FD27BC" w:rsidRPr="00BB5519" w:rsidRDefault="00FD27BC" w:rsidP="00FD27BC">
            <w:pPr>
              <w:rPr>
                <w:rFonts w:cs="Tahoma"/>
                <w:color w:val="000000"/>
                <w:szCs w:val="18"/>
              </w:rPr>
            </w:pPr>
            <w:r w:rsidRPr="00BB5519">
              <w:rPr>
                <w:rFonts w:cs="Tahoma"/>
                <w:color w:val="000000"/>
                <w:szCs w:val="18"/>
              </w:rPr>
              <w:t>Enterprise Strategy-</w:t>
            </w:r>
            <w:r w:rsidRPr="004211C8">
              <w:rPr>
                <w:rFonts w:cs="Tahoma"/>
                <w:color w:val="000000"/>
                <w:szCs w:val="18"/>
              </w:rPr>
              <w:t xml:space="preserve">Projekt </w:t>
            </w:r>
            <w:r w:rsidRPr="004211C8">
              <w:rPr>
                <w:rFonts w:cs="Tahoma"/>
                <w:color w:val="000000"/>
                <w:szCs w:val="18"/>
                <w:vertAlign w:val="superscript"/>
              </w:rPr>
              <w:t>2</w:t>
            </w:r>
          </w:p>
        </w:tc>
        <w:tc>
          <w:tcPr>
            <w:tcW w:w="2215" w:type="dxa"/>
            <w:vAlign w:val="center"/>
          </w:tcPr>
          <w:p w:rsidR="00FD27BC" w:rsidRPr="00BB5519" w:rsidRDefault="00FD27BC" w:rsidP="00FD27BC">
            <w:pPr>
              <w:jc w:val="center"/>
              <w:rPr>
                <w:rFonts w:cs="Tahoma"/>
                <w:color w:val="000000"/>
                <w:szCs w:val="18"/>
                <w:lang w:val="de-DE"/>
              </w:rPr>
            </w:pPr>
            <w:r w:rsidRPr="00BB5519">
              <w:rPr>
                <w:rFonts w:cs="Tahoma"/>
                <w:color w:val="000000"/>
                <w:szCs w:val="18"/>
                <w:lang w:val="de-DE"/>
              </w:rPr>
              <w:t>Bis zu 75 % des Architect-Aufwands pro Jahr</w:t>
            </w:r>
          </w:p>
        </w:tc>
        <w:tc>
          <w:tcPr>
            <w:tcW w:w="2340" w:type="dxa"/>
            <w:vAlign w:val="center"/>
          </w:tcPr>
          <w:p w:rsidR="00FD27BC" w:rsidRPr="00BB5519" w:rsidRDefault="00FD27BC" w:rsidP="00FD27BC">
            <w:pPr>
              <w:jc w:val="center"/>
              <w:rPr>
                <w:rFonts w:cs="Tahoma"/>
                <w:color w:val="000000"/>
                <w:szCs w:val="18"/>
                <w:lang w:val="de-DE"/>
              </w:rPr>
            </w:pPr>
            <w:r w:rsidRPr="00BB5519">
              <w:rPr>
                <w:rFonts w:cs="Tahoma"/>
                <w:color w:val="000000"/>
                <w:szCs w:val="18"/>
                <w:lang w:val="de-DE"/>
              </w:rPr>
              <w:t>Bis zu 75 % des Architect-Aufwands pro Jahr</w:t>
            </w:r>
          </w:p>
        </w:tc>
        <w:tc>
          <w:tcPr>
            <w:tcW w:w="2250" w:type="dxa"/>
            <w:vAlign w:val="center"/>
          </w:tcPr>
          <w:p w:rsidR="00FD27BC" w:rsidRPr="00BB5519" w:rsidRDefault="00FD27BC" w:rsidP="00FD27BC">
            <w:pPr>
              <w:jc w:val="center"/>
              <w:rPr>
                <w:rFonts w:cs="Tahoma"/>
                <w:color w:val="000000"/>
                <w:szCs w:val="18"/>
                <w:lang w:val="de-DE"/>
              </w:rPr>
            </w:pPr>
            <w:r w:rsidRPr="00BB5519">
              <w:rPr>
                <w:rFonts w:cs="Tahoma"/>
                <w:color w:val="000000"/>
                <w:szCs w:val="18"/>
                <w:lang w:val="de-DE"/>
              </w:rPr>
              <w:t>Bis zu 75 % des Architect-Aufwands pro Jahr</w:t>
            </w:r>
          </w:p>
        </w:tc>
      </w:tr>
      <w:tr w:rsidR="00FD27BC" w:rsidRPr="00BB5519" w:rsidTr="002A6416">
        <w:tc>
          <w:tcPr>
            <w:tcW w:w="2555" w:type="dxa"/>
            <w:vAlign w:val="center"/>
          </w:tcPr>
          <w:p w:rsidR="00FD27BC" w:rsidRPr="00BB5519" w:rsidRDefault="00FD27BC" w:rsidP="00FD27BC">
            <w:pPr>
              <w:rPr>
                <w:rFonts w:cs="Tahoma"/>
                <w:color w:val="000000"/>
                <w:szCs w:val="18"/>
              </w:rPr>
            </w:pPr>
            <w:r w:rsidRPr="00BB5519">
              <w:rPr>
                <w:rFonts w:cs="Tahoma"/>
                <w:color w:val="000000"/>
                <w:szCs w:val="18"/>
              </w:rPr>
              <w:t>Einsatz-Workshops</w:t>
            </w:r>
          </w:p>
        </w:tc>
        <w:tc>
          <w:tcPr>
            <w:tcW w:w="2215" w:type="dxa"/>
            <w:vAlign w:val="center"/>
          </w:tcPr>
          <w:p w:rsidR="00FD27BC" w:rsidRPr="00BB5519" w:rsidRDefault="00FD27BC" w:rsidP="00FD27BC">
            <w:pPr>
              <w:jc w:val="center"/>
              <w:rPr>
                <w:rFonts w:cs="Tahoma"/>
                <w:color w:val="000000"/>
                <w:szCs w:val="18"/>
              </w:rPr>
            </w:pPr>
            <w:r w:rsidRPr="00BB5519">
              <w:rPr>
                <w:rFonts w:cs="Tahoma"/>
                <w:color w:val="000000"/>
                <w:szCs w:val="18"/>
              </w:rPr>
              <w:t>Bis zu 1 pro Jahr</w:t>
            </w:r>
          </w:p>
        </w:tc>
        <w:tc>
          <w:tcPr>
            <w:tcW w:w="2340" w:type="dxa"/>
            <w:vAlign w:val="center"/>
          </w:tcPr>
          <w:p w:rsidR="00FD27BC" w:rsidRPr="00BB5519" w:rsidRDefault="00FD27BC" w:rsidP="00FD27BC">
            <w:pPr>
              <w:jc w:val="center"/>
              <w:rPr>
                <w:rFonts w:cs="Tahoma"/>
                <w:color w:val="000000"/>
                <w:szCs w:val="18"/>
              </w:rPr>
            </w:pPr>
            <w:r w:rsidRPr="00BB5519">
              <w:rPr>
                <w:rFonts w:cs="Tahoma"/>
                <w:color w:val="000000"/>
                <w:szCs w:val="18"/>
              </w:rPr>
              <w:t>Bis zu 2 pro Jahr</w:t>
            </w:r>
          </w:p>
        </w:tc>
        <w:tc>
          <w:tcPr>
            <w:tcW w:w="2250" w:type="dxa"/>
            <w:vAlign w:val="center"/>
          </w:tcPr>
          <w:p w:rsidR="00FD27BC" w:rsidRPr="00BB5519" w:rsidRDefault="00FD27BC" w:rsidP="00FD27BC">
            <w:pPr>
              <w:spacing w:before="120"/>
              <w:jc w:val="center"/>
              <w:rPr>
                <w:rFonts w:cs="Tahoma"/>
                <w:color w:val="000000"/>
                <w:szCs w:val="18"/>
              </w:rPr>
            </w:pPr>
            <w:r w:rsidRPr="00BB5519">
              <w:t>Bis zu 4 pro Jahr</w:t>
            </w:r>
          </w:p>
        </w:tc>
      </w:tr>
      <w:tr w:rsidR="00FD27BC" w:rsidRPr="00BB5519" w:rsidTr="002A6416">
        <w:tc>
          <w:tcPr>
            <w:tcW w:w="2555" w:type="dxa"/>
            <w:vAlign w:val="center"/>
          </w:tcPr>
          <w:p w:rsidR="00FD27BC" w:rsidRPr="00BB5519" w:rsidRDefault="00FD27BC" w:rsidP="00FD27BC">
            <w:pPr>
              <w:rPr>
                <w:rFonts w:cs="Tahoma"/>
                <w:color w:val="000000"/>
                <w:szCs w:val="18"/>
              </w:rPr>
            </w:pPr>
            <w:r w:rsidRPr="00BB5519">
              <w:rPr>
                <w:rFonts w:cs="Tahoma"/>
                <w:color w:val="000000"/>
                <w:szCs w:val="18"/>
              </w:rPr>
              <w:t>Enterprise Strategy Network</w:t>
            </w:r>
          </w:p>
        </w:tc>
        <w:tc>
          <w:tcPr>
            <w:tcW w:w="2215" w:type="dxa"/>
            <w:vAlign w:val="center"/>
          </w:tcPr>
          <w:p w:rsidR="00FD27BC" w:rsidRPr="00BB5519" w:rsidRDefault="00FD27BC" w:rsidP="00FD27BC">
            <w:pPr>
              <w:jc w:val="center"/>
              <w:rPr>
                <w:rFonts w:ascii="MS UI Gothic" w:eastAsia="MS UI Gothic" w:hAnsi="MS UI Gothic" w:cs="MS UI Gothic"/>
                <w:color w:val="000000"/>
                <w:szCs w:val="18"/>
              </w:rPr>
            </w:pPr>
            <w:r w:rsidRPr="00BB5519">
              <w:rPr>
                <w:rFonts w:ascii="MS UI Gothic" w:eastAsia="MS UI Gothic" w:hAnsi="MS UI Gothic" w:cs="MS UI Gothic"/>
                <w:color w:val="000000"/>
                <w:szCs w:val="18"/>
              </w:rPr>
              <w:t>✓</w:t>
            </w:r>
          </w:p>
        </w:tc>
        <w:tc>
          <w:tcPr>
            <w:tcW w:w="2340" w:type="dxa"/>
            <w:vAlign w:val="center"/>
          </w:tcPr>
          <w:p w:rsidR="00FD27BC" w:rsidRPr="00BB5519" w:rsidRDefault="00FD27BC" w:rsidP="00FD27BC">
            <w:pPr>
              <w:jc w:val="center"/>
              <w:rPr>
                <w:rFonts w:ascii="MS UI Gothic" w:eastAsia="MS UI Gothic" w:hAnsi="MS UI Gothic" w:cs="MS UI Gothic"/>
                <w:color w:val="000000"/>
                <w:szCs w:val="18"/>
              </w:rPr>
            </w:pPr>
            <w:r w:rsidRPr="00BB5519">
              <w:rPr>
                <w:rFonts w:ascii="MS UI Gothic" w:eastAsia="MS UI Gothic" w:hAnsi="MS UI Gothic" w:cs="MS UI Gothic"/>
                <w:color w:val="000000"/>
                <w:szCs w:val="18"/>
              </w:rPr>
              <w:t>✓</w:t>
            </w:r>
          </w:p>
        </w:tc>
        <w:tc>
          <w:tcPr>
            <w:tcW w:w="2250" w:type="dxa"/>
            <w:vAlign w:val="center"/>
          </w:tcPr>
          <w:p w:rsidR="00FD27BC" w:rsidRPr="00BB5519" w:rsidRDefault="00FD27BC" w:rsidP="00FD27BC">
            <w:pPr>
              <w:jc w:val="center"/>
              <w:rPr>
                <w:rFonts w:ascii="MS UI Gothic" w:eastAsia="MS UI Gothic" w:hAnsi="MS UI Gothic" w:cs="MS UI Gothic"/>
              </w:rPr>
            </w:pPr>
            <w:r w:rsidRPr="00BB5519">
              <w:rPr>
                <w:rFonts w:ascii="MS UI Gothic" w:eastAsia="MS UI Gothic" w:hAnsi="MS UI Gothic" w:cs="MS UI Gothic"/>
                <w:color w:val="000000"/>
                <w:szCs w:val="18"/>
              </w:rPr>
              <w:t>✓</w:t>
            </w:r>
          </w:p>
        </w:tc>
      </w:tr>
      <w:tr w:rsidR="00FD27BC" w:rsidRPr="00BB5519" w:rsidTr="002A6416">
        <w:tc>
          <w:tcPr>
            <w:tcW w:w="2555" w:type="dxa"/>
            <w:vAlign w:val="center"/>
          </w:tcPr>
          <w:p w:rsidR="00FD27BC" w:rsidRPr="00BB5519" w:rsidRDefault="00FD27BC" w:rsidP="00FD27BC">
            <w:pPr>
              <w:rPr>
                <w:rFonts w:cs="Tahoma"/>
                <w:color w:val="000000"/>
                <w:szCs w:val="18"/>
              </w:rPr>
            </w:pPr>
            <w:r w:rsidRPr="00BB5519">
              <w:rPr>
                <w:rFonts w:cs="Tahoma"/>
                <w:color w:val="000000"/>
                <w:szCs w:val="18"/>
              </w:rPr>
              <w:t>Enterprise Strategy Library</w:t>
            </w:r>
          </w:p>
        </w:tc>
        <w:tc>
          <w:tcPr>
            <w:tcW w:w="2215" w:type="dxa"/>
            <w:vAlign w:val="center"/>
          </w:tcPr>
          <w:p w:rsidR="00FD27BC" w:rsidRPr="00BB5519" w:rsidRDefault="00FD27BC" w:rsidP="00FD27BC">
            <w:pPr>
              <w:jc w:val="center"/>
              <w:rPr>
                <w:rFonts w:ascii="MS UI Gothic" w:eastAsia="MS UI Gothic" w:hAnsi="MS UI Gothic" w:cs="MS UI Gothic"/>
                <w:color w:val="000000"/>
                <w:szCs w:val="18"/>
              </w:rPr>
            </w:pPr>
            <w:r w:rsidRPr="00BB5519">
              <w:rPr>
                <w:rFonts w:ascii="MS UI Gothic" w:eastAsia="MS UI Gothic" w:hAnsi="MS UI Gothic" w:cs="MS UI Gothic"/>
                <w:color w:val="000000"/>
                <w:szCs w:val="18"/>
              </w:rPr>
              <w:t>✓</w:t>
            </w:r>
          </w:p>
        </w:tc>
        <w:tc>
          <w:tcPr>
            <w:tcW w:w="2340" w:type="dxa"/>
            <w:vAlign w:val="center"/>
          </w:tcPr>
          <w:p w:rsidR="00FD27BC" w:rsidRPr="00BB5519" w:rsidRDefault="00FD27BC" w:rsidP="00FD27BC">
            <w:pPr>
              <w:jc w:val="center"/>
              <w:rPr>
                <w:rFonts w:ascii="MS UI Gothic" w:eastAsia="MS UI Gothic" w:hAnsi="MS UI Gothic" w:cs="MS UI Gothic"/>
                <w:color w:val="000000"/>
                <w:szCs w:val="18"/>
              </w:rPr>
            </w:pPr>
            <w:r w:rsidRPr="00BB5519">
              <w:rPr>
                <w:rFonts w:ascii="MS UI Gothic" w:eastAsia="MS UI Gothic" w:hAnsi="MS UI Gothic" w:cs="MS UI Gothic"/>
                <w:color w:val="000000"/>
                <w:szCs w:val="18"/>
              </w:rPr>
              <w:t>✓</w:t>
            </w:r>
          </w:p>
        </w:tc>
        <w:tc>
          <w:tcPr>
            <w:tcW w:w="2250" w:type="dxa"/>
            <w:vAlign w:val="center"/>
          </w:tcPr>
          <w:p w:rsidR="00FD27BC" w:rsidRPr="00BB5519" w:rsidRDefault="00FD27BC" w:rsidP="00FD27BC">
            <w:pPr>
              <w:jc w:val="center"/>
              <w:rPr>
                <w:rFonts w:ascii="MS UI Gothic" w:eastAsia="MS UI Gothic" w:hAnsi="MS UI Gothic" w:cs="MS UI Gothic"/>
              </w:rPr>
            </w:pPr>
            <w:r w:rsidRPr="00BB5519">
              <w:rPr>
                <w:rFonts w:ascii="MS UI Gothic" w:eastAsia="MS UI Gothic" w:hAnsi="MS UI Gothic" w:cs="MS UI Gothic"/>
                <w:color w:val="000000"/>
                <w:szCs w:val="18"/>
              </w:rPr>
              <w:t>✓</w:t>
            </w:r>
          </w:p>
        </w:tc>
      </w:tr>
      <w:tr w:rsidR="00FD27BC" w:rsidRPr="00BB5519" w:rsidTr="002A6416">
        <w:tc>
          <w:tcPr>
            <w:tcW w:w="2555" w:type="dxa"/>
            <w:vAlign w:val="center"/>
          </w:tcPr>
          <w:p w:rsidR="00FD27BC" w:rsidRPr="00BB5519" w:rsidRDefault="00FD27BC" w:rsidP="00FD27BC">
            <w:pPr>
              <w:rPr>
                <w:rFonts w:cs="Tahoma"/>
                <w:color w:val="000000"/>
                <w:szCs w:val="18"/>
              </w:rPr>
            </w:pPr>
            <w:r w:rsidRPr="00BB5519">
              <w:rPr>
                <w:rFonts w:cs="Tahoma"/>
                <w:color w:val="000000"/>
                <w:szCs w:val="18"/>
              </w:rPr>
              <w:t>Strategische Briefings</w:t>
            </w:r>
          </w:p>
        </w:tc>
        <w:tc>
          <w:tcPr>
            <w:tcW w:w="2215" w:type="dxa"/>
            <w:vAlign w:val="center"/>
          </w:tcPr>
          <w:p w:rsidR="00FD27BC" w:rsidRPr="00BB5519" w:rsidRDefault="00FD27BC" w:rsidP="00FD27BC">
            <w:pPr>
              <w:jc w:val="center"/>
              <w:rPr>
                <w:rFonts w:ascii="MS UI Gothic" w:eastAsia="MS UI Gothic" w:hAnsi="MS UI Gothic" w:cs="MS UI Gothic"/>
                <w:color w:val="000000"/>
                <w:szCs w:val="18"/>
              </w:rPr>
            </w:pPr>
            <w:r w:rsidRPr="00BB5519">
              <w:rPr>
                <w:rFonts w:ascii="MS UI Gothic" w:eastAsia="MS UI Gothic" w:hAnsi="MS UI Gothic" w:cs="MS UI Gothic"/>
                <w:color w:val="000000"/>
                <w:szCs w:val="18"/>
              </w:rPr>
              <w:t>✓</w:t>
            </w:r>
          </w:p>
        </w:tc>
        <w:tc>
          <w:tcPr>
            <w:tcW w:w="2340" w:type="dxa"/>
            <w:vAlign w:val="center"/>
          </w:tcPr>
          <w:p w:rsidR="00FD27BC" w:rsidRPr="00BB5519" w:rsidRDefault="00FD27BC" w:rsidP="00FD27BC">
            <w:pPr>
              <w:jc w:val="center"/>
              <w:rPr>
                <w:rFonts w:cs="Tahoma"/>
                <w:color w:val="000000"/>
                <w:szCs w:val="18"/>
              </w:rPr>
            </w:pPr>
            <w:r w:rsidRPr="00BB5519">
              <w:rPr>
                <w:rFonts w:ascii="MS UI Gothic" w:eastAsia="MS UI Gothic" w:hAnsi="MS UI Gothic" w:cs="MS UI Gothic"/>
                <w:color w:val="000000"/>
                <w:szCs w:val="18"/>
              </w:rPr>
              <w:t>✓</w:t>
            </w:r>
          </w:p>
        </w:tc>
        <w:tc>
          <w:tcPr>
            <w:tcW w:w="2250" w:type="dxa"/>
            <w:vAlign w:val="center"/>
          </w:tcPr>
          <w:p w:rsidR="00FD27BC" w:rsidRPr="00BB5519" w:rsidRDefault="00FD27BC" w:rsidP="00FD27BC">
            <w:pPr>
              <w:jc w:val="center"/>
              <w:rPr>
                <w:rFonts w:cs="Tahoma"/>
                <w:color w:val="000000"/>
                <w:szCs w:val="18"/>
              </w:rPr>
            </w:pPr>
            <w:r w:rsidRPr="00BB5519">
              <w:rPr>
                <w:rFonts w:ascii="MS UI Gothic" w:eastAsia="MS UI Gothic" w:hAnsi="MS UI Gothic" w:cs="MS UI Gothic"/>
              </w:rPr>
              <w:t>✓</w:t>
            </w:r>
          </w:p>
        </w:tc>
      </w:tr>
      <w:tr w:rsidR="009B78AB" w:rsidRPr="00BB5519" w:rsidTr="002A6416">
        <w:tc>
          <w:tcPr>
            <w:tcW w:w="2555" w:type="dxa"/>
            <w:vAlign w:val="center"/>
          </w:tcPr>
          <w:p w:rsidR="009B78AB" w:rsidRPr="00BB5519" w:rsidRDefault="009B78AB" w:rsidP="009B78AB">
            <w:pPr>
              <w:rPr>
                <w:rFonts w:cs="Tahoma"/>
                <w:color w:val="000000"/>
                <w:szCs w:val="18"/>
              </w:rPr>
            </w:pPr>
            <w:r w:rsidRPr="00BB5519">
              <w:rPr>
                <w:rFonts w:cs="Tahoma"/>
                <w:color w:val="000000"/>
                <w:szCs w:val="18"/>
              </w:rPr>
              <w:t>Enterprise Strategy Forum</w:t>
            </w:r>
          </w:p>
        </w:tc>
        <w:tc>
          <w:tcPr>
            <w:tcW w:w="2215" w:type="dxa"/>
            <w:vAlign w:val="center"/>
          </w:tcPr>
          <w:p w:rsidR="009B78AB" w:rsidRPr="00BB5519" w:rsidRDefault="009B78AB" w:rsidP="00FD27BC">
            <w:pPr>
              <w:jc w:val="center"/>
              <w:rPr>
                <w:rFonts w:cs="Tahoma"/>
                <w:color w:val="000000"/>
                <w:szCs w:val="18"/>
              </w:rPr>
            </w:pPr>
          </w:p>
        </w:tc>
        <w:tc>
          <w:tcPr>
            <w:tcW w:w="2340" w:type="dxa"/>
            <w:vAlign w:val="center"/>
          </w:tcPr>
          <w:p w:rsidR="009B78AB" w:rsidRPr="00BB5519" w:rsidRDefault="009B78AB" w:rsidP="00FD27BC">
            <w:pPr>
              <w:jc w:val="center"/>
              <w:rPr>
                <w:rFonts w:cs="Tahoma"/>
                <w:color w:val="000000"/>
                <w:szCs w:val="18"/>
              </w:rPr>
            </w:pPr>
            <w:r w:rsidRPr="00BB5519">
              <w:rPr>
                <w:rFonts w:ascii="MS UI Gothic" w:eastAsia="MS UI Gothic" w:hAnsi="MS UI Gothic" w:cs="MS UI Gothic"/>
                <w:color w:val="000000"/>
                <w:szCs w:val="18"/>
              </w:rPr>
              <w:t>✓</w:t>
            </w:r>
          </w:p>
        </w:tc>
        <w:tc>
          <w:tcPr>
            <w:tcW w:w="2250" w:type="dxa"/>
            <w:vAlign w:val="center"/>
          </w:tcPr>
          <w:p w:rsidR="009B78AB" w:rsidRPr="00BB5519" w:rsidRDefault="009B78AB" w:rsidP="00FD27BC">
            <w:pPr>
              <w:jc w:val="center"/>
              <w:rPr>
                <w:rFonts w:cs="Tahoma"/>
                <w:color w:val="000000"/>
                <w:szCs w:val="18"/>
              </w:rPr>
            </w:pPr>
            <w:r w:rsidRPr="00BB5519">
              <w:rPr>
                <w:rFonts w:ascii="MS UI Gothic" w:eastAsia="MS UI Gothic" w:hAnsi="MS UI Gothic" w:cs="MS UI Gothic"/>
                <w:color w:val="000000"/>
                <w:szCs w:val="18"/>
              </w:rPr>
              <w:t>✓</w:t>
            </w:r>
          </w:p>
        </w:tc>
      </w:tr>
      <w:tr w:rsidR="00FD27BC" w:rsidRPr="00BB5519" w:rsidTr="002A6416">
        <w:tc>
          <w:tcPr>
            <w:tcW w:w="2555" w:type="dxa"/>
            <w:vAlign w:val="center"/>
          </w:tcPr>
          <w:p w:rsidR="00FD27BC" w:rsidRPr="00BB5519" w:rsidRDefault="00FD27BC" w:rsidP="009B78AB">
            <w:pPr>
              <w:rPr>
                <w:rFonts w:cs="Tahoma"/>
                <w:color w:val="000000"/>
                <w:szCs w:val="18"/>
              </w:rPr>
            </w:pPr>
            <w:r w:rsidRPr="00BB5519">
              <w:rPr>
                <w:rFonts w:cs="Tahoma"/>
                <w:color w:val="000000"/>
                <w:szCs w:val="18"/>
              </w:rPr>
              <w:t>Enterprise Strategy Capacity Add-On</w:t>
            </w:r>
          </w:p>
        </w:tc>
        <w:tc>
          <w:tcPr>
            <w:tcW w:w="2215" w:type="dxa"/>
            <w:vAlign w:val="center"/>
          </w:tcPr>
          <w:p w:rsidR="00FD27BC" w:rsidRPr="00BB5519" w:rsidRDefault="00FD27BC" w:rsidP="00FD27BC">
            <w:pPr>
              <w:jc w:val="center"/>
              <w:rPr>
                <w:rFonts w:ascii="MS UI Gothic" w:eastAsia="MS UI Gothic" w:hAnsi="MS UI Gothic" w:cs="MS UI Gothic"/>
                <w:color w:val="000000"/>
                <w:szCs w:val="18"/>
              </w:rPr>
            </w:pPr>
            <w:r w:rsidRPr="00BB5519">
              <w:rPr>
                <w:rFonts w:cs="Tahoma"/>
                <w:color w:val="000000"/>
                <w:szCs w:val="18"/>
              </w:rPr>
              <w:t>200 Stunden</w:t>
            </w:r>
          </w:p>
        </w:tc>
        <w:tc>
          <w:tcPr>
            <w:tcW w:w="2340" w:type="dxa"/>
            <w:vAlign w:val="center"/>
          </w:tcPr>
          <w:p w:rsidR="00FD27BC" w:rsidRPr="00BB5519" w:rsidRDefault="00FD27BC" w:rsidP="00FD27BC">
            <w:pPr>
              <w:jc w:val="center"/>
              <w:rPr>
                <w:rFonts w:ascii="MS UI Gothic" w:eastAsia="MS UI Gothic" w:hAnsi="MS UI Gothic" w:cs="MS UI Gothic"/>
                <w:color w:val="000000"/>
                <w:szCs w:val="18"/>
              </w:rPr>
            </w:pPr>
            <w:r w:rsidRPr="00BB5519">
              <w:rPr>
                <w:rFonts w:cs="Tahoma"/>
                <w:color w:val="000000"/>
                <w:szCs w:val="18"/>
              </w:rPr>
              <w:t>200 Stunden</w:t>
            </w:r>
          </w:p>
        </w:tc>
        <w:tc>
          <w:tcPr>
            <w:tcW w:w="2250" w:type="dxa"/>
            <w:vAlign w:val="center"/>
          </w:tcPr>
          <w:p w:rsidR="00FD27BC" w:rsidRPr="00BB5519" w:rsidRDefault="00FD27BC" w:rsidP="00FD27BC">
            <w:pPr>
              <w:jc w:val="center"/>
              <w:rPr>
                <w:rFonts w:ascii="MS UI Gothic" w:eastAsia="MS UI Gothic" w:hAnsi="MS UI Gothic" w:cs="MS UI Gothic"/>
              </w:rPr>
            </w:pPr>
            <w:r w:rsidRPr="00BB5519">
              <w:rPr>
                <w:rFonts w:cs="Tahoma"/>
                <w:color w:val="000000"/>
                <w:szCs w:val="18"/>
              </w:rPr>
              <w:t>200 Stunden</w:t>
            </w:r>
          </w:p>
        </w:tc>
      </w:tr>
    </w:tbl>
    <w:p w:rsidR="009B78AB" w:rsidRPr="00BB5519" w:rsidRDefault="00415DDA" w:rsidP="009E022C">
      <w:pPr>
        <w:rPr>
          <w:lang w:val="de-DE"/>
        </w:rPr>
      </w:pPr>
      <w:r w:rsidRPr="00BB5519">
        <w:rPr>
          <w:rFonts w:cs="Tahoma"/>
          <w:b/>
          <w:bCs/>
          <w:color w:val="000000"/>
          <w:sz w:val="20"/>
          <w:szCs w:val="18"/>
          <w:vertAlign w:val="superscript"/>
          <w:lang w:val="de-DE"/>
        </w:rPr>
        <w:t>1</w:t>
      </w:r>
      <w:r w:rsidRPr="00BB5519">
        <w:rPr>
          <w:rFonts w:eastAsia="Times New Roman" w:cs="Tahoma"/>
          <w:i/>
          <w:sz w:val="16"/>
          <w:szCs w:val="20"/>
          <w:lang w:val="de-DE"/>
        </w:rPr>
        <w:t>Der Einsatz von Enterprise Strategy Connect umfasst bis zu 400 Arbeitsstunden. Der Einsatz von Enterprise Strategy Foundation umfasst bis zu 800 Arbeitsstunden. Der Einsatz von Enterprise Strategy Portfolio umfasst bis zu 1</w:t>
      </w:r>
      <w:r w:rsidR="00D958B9">
        <w:rPr>
          <w:rFonts w:eastAsia="Times New Roman" w:cs="Tahoma"/>
          <w:i/>
          <w:sz w:val="16"/>
          <w:szCs w:val="20"/>
          <w:lang w:val="de-DE"/>
        </w:rPr>
        <w:t>.</w:t>
      </w:r>
      <w:r w:rsidRPr="00BB5519">
        <w:rPr>
          <w:rFonts w:eastAsia="Times New Roman" w:cs="Tahoma"/>
          <w:i/>
          <w:sz w:val="16"/>
          <w:szCs w:val="20"/>
          <w:lang w:val="de-DE"/>
        </w:rPr>
        <w:t>600 Arbeitsstunden. Die Ressourcen von Microsoft, die die Arbeiten ausführen, sind an spezifische Kundenanforderungen angepasst und bestehen aus einer</w:t>
      </w:r>
      <w:r w:rsidR="009E022C">
        <w:rPr>
          <w:rFonts w:eastAsia="Times New Roman" w:cs="Tahoma"/>
          <w:i/>
          <w:sz w:val="16"/>
          <w:szCs w:val="20"/>
          <w:lang w:val="de-DE"/>
        </w:rPr>
        <w:t> </w:t>
      </w:r>
      <w:r w:rsidRPr="00BB5519">
        <w:rPr>
          <w:rFonts w:eastAsia="Times New Roman" w:cs="Tahoma"/>
          <w:i/>
          <w:sz w:val="16"/>
          <w:szCs w:val="20"/>
          <w:lang w:val="de-DE"/>
        </w:rPr>
        <w:t>Mischung von Enterprise Architects- und Enterprise Strategy Network-Ressourcen.</w:t>
      </w:r>
    </w:p>
    <w:p w:rsidR="009B78AB" w:rsidRPr="00BB5519" w:rsidRDefault="009B78AB" w:rsidP="00DD7F8E">
      <w:pPr>
        <w:rPr>
          <w:lang w:val="de-DE"/>
        </w:rPr>
      </w:pPr>
    </w:p>
    <w:p w:rsidR="00DD7F8E" w:rsidRPr="00BB5519" w:rsidRDefault="009B78AB" w:rsidP="00DD7F8E">
      <w:pPr>
        <w:rPr>
          <w:lang w:val="de-DE"/>
        </w:rPr>
      </w:pPr>
      <w:r w:rsidRPr="00BB5519">
        <w:rPr>
          <w:rFonts w:cs="Tahoma"/>
          <w:b/>
          <w:bCs/>
          <w:i/>
          <w:color w:val="000000"/>
          <w:sz w:val="20"/>
          <w:szCs w:val="18"/>
          <w:vertAlign w:val="superscript"/>
          <w:lang w:val="de-DE"/>
        </w:rPr>
        <w:t>2</w:t>
      </w:r>
      <w:r w:rsidRPr="00BB5519">
        <w:rPr>
          <w:rFonts w:eastAsia="Times New Roman" w:cs="Tahoma"/>
          <w:i/>
          <w:sz w:val="16"/>
          <w:szCs w:val="20"/>
          <w:lang w:val="de-DE"/>
        </w:rPr>
        <w:t>Der tatsächliche Aufwand wird von Microsoft und dem Kunden vereinbart.</w:t>
      </w:r>
    </w:p>
    <w:p w:rsidR="00415DDA" w:rsidRPr="00BB5519" w:rsidRDefault="00415DDA" w:rsidP="00DD7F8E">
      <w:pPr>
        <w:rPr>
          <w:lang w:val="de-DE"/>
        </w:rPr>
      </w:pPr>
    </w:p>
    <w:p w:rsidR="00DD7F8E" w:rsidRPr="009E022C" w:rsidRDefault="00DD7F8E" w:rsidP="00E77F1E">
      <w:pPr>
        <w:spacing w:after="60"/>
        <w:rPr>
          <w:rFonts w:cs="Arial"/>
          <w:b/>
        </w:rPr>
      </w:pPr>
      <w:r w:rsidRPr="00BB5519">
        <w:rPr>
          <w:rFonts w:cs="Arial"/>
          <w:b/>
        </w:rPr>
        <w:t xml:space="preserve">Der Enterprise Architect: </w:t>
      </w:r>
    </w:p>
    <w:p w:rsidR="00DD7F8E" w:rsidRPr="00BB5519" w:rsidRDefault="00DD7F8E" w:rsidP="002C1048">
      <w:pPr>
        <w:numPr>
          <w:ilvl w:val="0"/>
          <w:numId w:val="93"/>
        </w:numPr>
        <w:spacing w:after="60"/>
        <w:ind w:left="1440"/>
        <w:rPr>
          <w:lang w:val="de-DE"/>
        </w:rPr>
      </w:pPr>
      <w:r w:rsidRPr="00BB5519">
        <w:rPr>
          <w:rFonts w:eastAsia="Times New Roman" w:cs="Tahoma"/>
          <w:szCs w:val="20"/>
          <w:lang w:val="de-DE"/>
        </w:rPr>
        <w:t>Arbeitet eng mit dem Kunden zusammen, um einen Architectur-Servicebereitstellungsplan für den Kunden zu erstellen, in dem Meilensteine und Ziele festgelegt sind, und bestimmt zur Verfolgung des Fortschritts im Vergleich zum Plan den Prozess, Daten und Regeln.</w:t>
      </w:r>
      <w:r w:rsidR="009E4976" w:rsidRPr="00BB5519">
        <w:rPr>
          <w:rFonts w:eastAsia="Times New Roman" w:cs="Tahoma"/>
          <w:szCs w:val="20"/>
          <w:lang w:val="de-DE"/>
        </w:rPr>
        <w:t xml:space="preserve"> </w:t>
      </w:r>
    </w:p>
    <w:p w:rsidR="00DD7F8E" w:rsidRPr="00BB5519" w:rsidRDefault="00DD7F8E" w:rsidP="00E77F1E">
      <w:pPr>
        <w:numPr>
          <w:ilvl w:val="0"/>
          <w:numId w:val="93"/>
        </w:numPr>
        <w:spacing w:after="60"/>
        <w:ind w:left="1440"/>
        <w:rPr>
          <w:lang w:val="de-DE"/>
        </w:rPr>
      </w:pPr>
      <w:r w:rsidRPr="00BB5519">
        <w:rPr>
          <w:rFonts w:eastAsia="Times New Roman" w:cs="Tahoma"/>
          <w:szCs w:val="20"/>
          <w:lang w:val="de-DE"/>
        </w:rPr>
        <w:t>Stellt außerdem monatliche Statusupdates des Kundenfortschritts im Vergleich zum Plan vor.</w:t>
      </w:r>
    </w:p>
    <w:p w:rsidR="00415DDA" w:rsidRPr="00BB5519" w:rsidRDefault="00415DDA" w:rsidP="002C1048">
      <w:pPr>
        <w:numPr>
          <w:ilvl w:val="0"/>
          <w:numId w:val="93"/>
        </w:numPr>
        <w:spacing w:after="60"/>
        <w:ind w:left="1440"/>
        <w:rPr>
          <w:lang w:val="de-DE"/>
        </w:rPr>
      </w:pPr>
      <w:r w:rsidRPr="00BB5519">
        <w:rPr>
          <w:rFonts w:cs="Tahoma"/>
          <w:lang w:val="de-DE"/>
        </w:rPr>
        <w:t>Verwaltet den Zugriff auf das Microsoft Enterprise Strategy Network.</w:t>
      </w:r>
    </w:p>
    <w:p w:rsidR="00E03856" w:rsidRPr="00BB5519" w:rsidRDefault="00E03856">
      <w:pPr>
        <w:rPr>
          <w:lang w:val="de-DE"/>
        </w:rPr>
      </w:pPr>
    </w:p>
    <w:p w:rsidR="00DD7F8E" w:rsidRPr="009E022C" w:rsidRDefault="00DD7F8E" w:rsidP="00DD7F8E">
      <w:pPr>
        <w:spacing w:after="60"/>
        <w:rPr>
          <w:rFonts w:cs="Arial"/>
          <w:b/>
        </w:rPr>
      </w:pPr>
      <w:r w:rsidRPr="00BB5519">
        <w:rPr>
          <w:rFonts w:cs="Arial"/>
          <w:b/>
        </w:rPr>
        <w:t>Die Bewertung:</w:t>
      </w:r>
    </w:p>
    <w:p w:rsidR="00DD7F8E" w:rsidRPr="00BB5519" w:rsidRDefault="00DD7F8E" w:rsidP="00E77F1E">
      <w:pPr>
        <w:numPr>
          <w:ilvl w:val="0"/>
          <w:numId w:val="94"/>
        </w:numPr>
        <w:spacing w:after="60"/>
        <w:ind w:left="1440"/>
        <w:rPr>
          <w:lang w:val="de-DE"/>
        </w:rPr>
      </w:pPr>
      <w:r w:rsidRPr="00BB5519">
        <w:rPr>
          <w:rFonts w:eastAsia="Times New Roman" w:cs="Tahoma"/>
          <w:szCs w:val="20"/>
          <w:lang w:val="de-DE"/>
        </w:rPr>
        <w:t>Ermittelt IT-Chancen, die den Geschäftszielen des Kunden entsprechen.</w:t>
      </w:r>
    </w:p>
    <w:p w:rsidR="00DD7F8E" w:rsidRPr="00BB5519" w:rsidRDefault="007E7AC6" w:rsidP="005F0406">
      <w:pPr>
        <w:numPr>
          <w:ilvl w:val="0"/>
          <w:numId w:val="94"/>
        </w:numPr>
        <w:spacing w:after="60"/>
        <w:ind w:left="1440"/>
        <w:rPr>
          <w:lang w:val="de-DE"/>
        </w:rPr>
      </w:pPr>
      <w:r>
        <w:rPr>
          <w:rFonts w:eastAsia="Times New Roman" w:cs="Tahoma"/>
          <w:szCs w:val="20"/>
          <w:lang w:val="de-DE"/>
        </w:rPr>
        <w:t>B</w:t>
      </w:r>
      <w:r w:rsidR="005F0406" w:rsidRPr="00BB5519">
        <w:rPr>
          <w:rFonts w:eastAsia="Times New Roman" w:cs="Tahoma"/>
          <w:szCs w:val="20"/>
          <w:lang w:val="de-DE"/>
        </w:rPr>
        <w:t>ildet den Geschäfts- und Architekturkontext vor dem Entwurf in Bezug auf betroffene IT-Services und Unternehmensgruppen, damit Zusammenhänge erkannt sowie Aufwand und Kosten zur Rechtfertigung weiterer Planung definiert werden.</w:t>
      </w:r>
    </w:p>
    <w:p w:rsidR="00DD7F8E" w:rsidRPr="00BB5519" w:rsidRDefault="00DD7F8E" w:rsidP="00E77F1E">
      <w:pPr>
        <w:numPr>
          <w:ilvl w:val="0"/>
          <w:numId w:val="94"/>
        </w:numPr>
        <w:spacing w:after="60"/>
        <w:ind w:left="1440"/>
        <w:rPr>
          <w:lang w:val="de-DE"/>
        </w:rPr>
      </w:pPr>
      <w:r w:rsidRPr="00BB5519">
        <w:rPr>
          <w:rFonts w:eastAsia="Times New Roman" w:cs="Tahoma"/>
          <w:szCs w:val="20"/>
          <w:lang w:val="de-DE"/>
        </w:rPr>
        <w:t>Wählt und bestätigt Initiativen im Architecture-Servicebereitstellungsplan aus und versieht sie mit einer Priorität.</w:t>
      </w:r>
    </w:p>
    <w:p w:rsidR="00DD7F8E" w:rsidRPr="00BB5519" w:rsidRDefault="00DD7F8E" w:rsidP="00E77F1E">
      <w:pPr>
        <w:numPr>
          <w:ilvl w:val="0"/>
          <w:numId w:val="94"/>
        </w:numPr>
        <w:spacing w:after="60"/>
        <w:ind w:left="1440"/>
        <w:rPr>
          <w:lang w:val="de-DE"/>
        </w:rPr>
      </w:pPr>
      <w:r w:rsidRPr="00BB5519">
        <w:rPr>
          <w:rFonts w:eastAsia="Times New Roman" w:cs="Tahoma"/>
          <w:szCs w:val="20"/>
          <w:lang w:val="de-DE"/>
        </w:rPr>
        <w:t>Ergebnis ist der Bewertungsabschlussbericht, in dem mindestens eine Initiative als Enterprise Strategy-Projekt empfohlen wird.</w:t>
      </w:r>
    </w:p>
    <w:p w:rsidR="00DD7F8E" w:rsidRDefault="00DD7F8E" w:rsidP="00DD7F8E">
      <w:pPr>
        <w:spacing w:after="60"/>
        <w:rPr>
          <w:lang w:val="de-DE"/>
        </w:rPr>
      </w:pPr>
    </w:p>
    <w:p w:rsidR="00DD7F8E" w:rsidRPr="00D15040" w:rsidRDefault="00DD7F8E" w:rsidP="00E77F1E">
      <w:pPr>
        <w:spacing w:after="60"/>
        <w:rPr>
          <w:rFonts w:cs="Arial"/>
          <w:b/>
          <w:lang w:val="de-DE"/>
        </w:rPr>
      </w:pPr>
      <w:r w:rsidRPr="00D15040">
        <w:rPr>
          <w:rFonts w:cs="Arial"/>
          <w:b/>
          <w:lang w:val="de-DE"/>
        </w:rPr>
        <w:lastRenderedPageBreak/>
        <w:t>Enterprise Strategy-Projekte</w:t>
      </w:r>
    </w:p>
    <w:p w:rsidR="00DD7F8E" w:rsidRPr="00BB5519" w:rsidRDefault="00DD7F8E" w:rsidP="00CA52FE">
      <w:pPr>
        <w:rPr>
          <w:lang w:val="de-DE"/>
        </w:rPr>
      </w:pPr>
      <w:r w:rsidRPr="00BB5519">
        <w:rPr>
          <w:rFonts w:eastAsia="Arial" w:cs="Tahoma"/>
          <w:bCs/>
          <w:color w:val="000000"/>
          <w:szCs w:val="18"/>
          <w:lang w:val="de-DE"/>
        </w:rPr>
        <w:t xml:space="preserve">Der Enterprise </w:t>
      </w:r>
      <w:r w:rsidRPr="00BB5519">
        <w:rPr>
          <w:rFonts w:cs="Tahoma"/>
          <w:bCs/>
          <w:szCs w:val="18"/>
          <w:lang w:val="de-DE"/>
        </w:rPr>
        <w:t xml:space="preserve">Architect arbeitet eng mit dem Kunden zusammen, </w:t>
      </w:r>
      <w:r w:rsidRPr="00BB5519">
        <w:rPr>
          <w:rFonts w:cs="Tahoma"/>
          <w:bCs/>
          <w:color w:val="000000"/>
          <w:szCs w:val="18"/>
          <w:lang w:val="de-DE"/>
        </w:rPr>
        <w:t xml:space="preserve">um einen Plan </w:t>
      </w:r>
      <w:r w:rsidRPr="00BB5519">
        <w:rPr>
          <w:rFonts w:cs="Tahoma"/>
          <w:color w:val="000000"/>
          <w:szCs w:val="18"/>
          <w:lang w:val="de-DE"/>
        </w:rPr>
        <w:t>zur Verwirklichung der für die ausgewählte(n) Initiative(n) ermittelten Geschäftsziele zu erarbeiten und den definierten künftigen IT-Zustand zu erreichen. Gleichzeitig werden Bereitstellungs- und Betriebsunterbrechungen verringert, und die Investitionsrendite wird beschleunigt.</w:t>
      </w:r>
    </w:p>
    <w:p w:rsidR="00CA52FE" w:rsidRPr="00BB5519" w:rsidRDefault="00CA52FE" w:rsidP="00CA52FE">
      <w:pPr>
        <w:rPr>
          <w:lang w:val="de-DE"/>
        </w:rPr>
      </w:pPr>
    </w:p>
    <w:p w:rsidR="00DD7F8E" w:rsidRPr="00D15040" w:rsidRDefault="00415DDA" w:rsidP="00E77F1E">
      <w:pPr>
        <w:spacing w:after="60"/>
        <w:rPr>
          <w:rFonts w:cs="Tahoma"/>
          <w:b/>
          <w:color w:val="000000"/>
          <w:szCs w:val="18"/>
          <w:lang w:val="de-DE"/>
        </w:rPr>
      </w:pPr>
      <w:r w:rsidRPr="00D15040">
        <w:rPr>
          <w:rFonts w:cs="Tahoma"/>
          <w:b/>
          <w:color w:val="000000"/>
          <w:szCs w:val="18"/>
          <w:lang w:val="de-DE"/>
        </w:rPr>
        <w:t>Enterprise Strategy-Projekte sind beispielsweise:</w:t>
      </w:r>
    </w:p>
    <w:p w:rsidR="00DD7F8E" w:rsidRPr="00BB5519" w:rsidRDefault="00DD7F8E" w:rsidP="00E77F1E">
      <w:pPr>
        <w:numPr>
          <w:ilvl w:val="0"/>
          <w:numId w:val="95"/>
        </w:numPr>
        <w:spacing w:after="60"/>
        <w:ind w:left="1440"/>
        <w:rPr>
          <w:lang w:val="de-DE"/>
        </w:rPr>
      </w:pPr>
      <w:r w:rsidRPr="00BB5519">
        <w:rPr>
          <w:rFonts w:eastAsia="Times New Roman" w:cs="Tahoma"/>
          <w:szCs w:val="20"/>
          <w:lang w:val="de-DE"/>
        </w:rPr>
        <w:t xml:space="preserve">Dokumentation und Abstimmung von Microsoft-Technologien auf wichtige Geschäftsziele. </w:t>
      </w:r>
    </w:p>
    <w:p w:rsidR="00DD7F8E" w:rsidRPr="00BB5519" w:rsidRDefault="00DD7F8E" w:rsidP="00E77F1E">
      <w:pPr>
        <w:numPr>
          <w:ilvl w:val="0"/>
          <w:numId w:val="95"/>
        </w:numPr>
        <w:tabs>
          <w:tab w:val="left" w:pos="1080"/>
        </w:tabs>
        <w:spacing w:after="60"/>
        <w:ind w:left="1440"/>
        <w:rPr>
          <w:lang w:val="de-DE"/>
        </w:rPr>
      </w:pPr>
      <w:r w:rsidRPr="00BB5519">
        <w:rPr>
          <w:rFonts w:eastAsia="Times New Roman" w:cs="Tahoma"/>
          <w:szCs w:val="20"/>
          <w:lang w:val="de-DE"/>
        </w:rPr>
        <w:t>Erstellung eines Business Case zum Ermitteln der potenziellen Vorteile und Kosten für jeden Geschäfts- oder Funktionsbereich, der vom Projekt betroffen wäre.</w:t>
      </w:r>
    </w:p>
    <w:p w:rsidR="00DD7F8E" w:rsidRPr="00BB5519" w:rsidRDefault="00DD7F8E" w:rsidP="00E77F1E">
      <w:pPr>
        <w:numPr>
          <w:ilvl w:val="0"/>
          <w:numId w:val="95"/>
        </w:numPr>
        <w:tabs>
          <w:tab w:val="left" w:pos="1080"/>
        </w:tabs>
        <w:spacing w:after="60"/>
        <w:ind w:left="1440"/>
        <w:rPr>
          <w:lang w:val="de-DE"/>
        </w:rPr>
      </w:pPr>
      <w:r w:rsidRPr="00BB5519">
        <w:rPr>
          <w:rFonts w:eastAsia="Times New Roman" w:cs="Tahoma"/>
          <w:szCs w:val="20"/>
          <w:lang w:val="de-DE"/>
        </w:rPr>
        <w:t>Erstellung eines Architekturdefinitionsdokuments, in dem die Funktionsarchitektur von Anwendung und Technologie sowie die Spezifikationsanforderungen zur Unterstützung der Empfehlungen beschrieben werden.</w:t>
      </w:r>
    </w:p>
    <w:p w:rsidR="00DD7F8E" w:rsidRPr="00BB5519" w:rsidRDefault="00DD7F8E" w:rsidP="00E77F1E">
      <w:pPr>
        <w:numPr>
          <w:ilvl w:val="0"/>
          <w:numId w:val="95"/>
        </w:numPr>
        <w:tabs>
          <w:tab w:val="left" w:pos="1080"/>
        </w:tabs>
        <w:spacing w:after="60"/>
        <w:ind w:left="1440"/>
        <w:rPr>
          <w:lang w:val="de-DE"/>
        </w:rPr>
      </w:pPr>
      <w:r w:rsidRPr="00BB5519">
        <w:rPr>
          <w:rFonts w:eastAsia="Times New Roman" w:cs="Tahoma"/>
          <w:szCs w:val="20"/>
          <w:lang w:val="de-DE"/>
        </w:rPr>
        <w:t>Erstellung eines Messplans, in dem Kennzahlen zur Messung des Fortschritts im Vergleich zu den angestrebten Geschäftszielen sowie Verantwortlichkeiten und Fristen beschrieben werden.</w:t>
      </w:r>
    </w:p>
    <w:p w:rsidR="00DD7F8E" w:rsidRPr="00BB5519" w:rsidRDefault="00DD7F8E" w:rsidP="00E77F1E">
      <w:pPr>
        <w:numPr>
          <w:ilvl w:val="0"/>
          <w:numId w:val="95"/>
        </w:numPr>
        <w:spacing w:after="60"/>
        <w:ind w:left="1440"/>
        <w:rPr>
          <w:lang w:val="de-DE"/>
        </w:rPr>
      </w:pPr>
      <w:r w:rsidRPr="00BB5519">
        <w:rPr>
          <w:rFonts w:eastAsia="Times New Roman" w:cs="Tahoma"/>
          <w:szCs w:val="20"/>
          <w:lang w:val="de-DE"/>
        </w:rPr>
        <w:t>Abstimmen von Microsoft Best Practices in Bezug auf Beaufsichtigung/Governance, Einführung und Messung auf die Umgebung des Kunden.</w:t>
      </w:r>
    </w:p>
    <w:p w:rsidR="00DD7F8E" w:rsidRPr="00BB5519" w:rsidRDefault="00DD7F8E" w:rsidP="00E77F1E">
      <w:pPr>
        <w:numPr>
          <w:ilvl w:val="0"/>
          <w:numId w:val="95"/>
        </w:numPr>
        <w:spacing w:after="60"/>
        <w:ind w:left="1440"/>
        <w:rPr>
          <w:lang w:val="de-DE"/>
        </w:rPr>
      </w:pPr>
      <w:r w:rsidRPr="00BB5519">
        <w:rPr>
          <w:rFonts w:eastAsia="Times New Roman" w:cs="Tahoma"/>
          <w:szCs w:val="20"/>
          <w:lang w:val="de-DE"/>
        </w:rPr>
        <w:t>Zusammenarbeit mit dem Managementteam des Kunden zur Festlegung der Programmaufsicht</w:t>
      </w:r>
      <w:r w:rsidRPr="00BB5519">
        <w:rPr>
          <w:rFonts w:eastAsia="Arial" w:cs="Tahoma"/>
          <w:szCs w:val="18"/>
          <w:lang w:val="de-DE"/>
        </w:rPr>
        <w:t>.</w:t>
      </w:r>
    </w:p>
    <w:p w:rsidR="00415DDA" w:rsidRPr="00BB5519" w:rsidDel="00954C6A" w:rsidRDefault="00415DDA" w:rsidP="00E77F1E">
      <w:pPr>
        <w:numPr>
          <w:ilvl w:val="0"/>
          <w:numId w:val="95"/>
        </w:numPr>
        <w:ind w:left="1440"/>
        <w:rPr>
          <w:lang w:val="de-DE"/>
        </w:rPr>
      </w:pPr>
      <w:r w:rsidRPr="00BB5519">
        <w:rPr>
          <w:rFonts w:eastAsia="Times New Roman" w:cs="Tahoma"/>
          <w:szCs w:val="20"/>
          <w:lang w:val="de-DE"/>
        </w:rPr>
        <w:t>Regelmäßige Prüfungen des Kundenfortschritts im Vergleich zur Geschäftsziele-Scorecard.</w:t>
      </w:r>
    </w:p>
    <w:p w:rsidR="00CA52FE" w:rsidRPr="00BB5519" w:rsidRDefault="00CA52FE" w:rsidP="00E77F1E">
      <w:pPr>
        <w:rPr>
          <w:lang w:val="de-DE"/>
        </w:rPr>
      </w:pPr>
    </w:p>
    <w:p w:rsidR="00DD7F8E" w:rsidRPr="00D15040" w:rsidRDefault="00DD7F8E" w:rsidP="00DD7F8E">
      <w:pPr>
        <w:rPr>
          <w:rFonts w:eastAsia="Arial" w:cs="Arial"/>
          <w:b/>
          <w:sz w:val="24"/>
          <w:szCs w:val="18"/>
          <w:lang w:val="de-DE" w:eastAsia="ja-JP"/>
        </w:rPr>
      </w:pPr>
      <w:r w:rsidRPr="00D15040">
        <w:rPr>
          <w:rFonts w:eastAsia="Arial" w:cs="Arial"/>
          <w:b/>
          <w:sz w:val="24"/>
          <w:szCs w:val="18"/>
          <w:lang w:val="de-DE" w:eastAsia="ja-JP"/>
        </w:rPr>
        <w:t>Programmvorteile</w:t>
      </w:r>
    </w:p>
    <w:p w:rsidR="00DD7F8E" w:rsidRPr="00BB5519" w:rsidRDefault="00DD7F8E" w:rsidP="00DD7F8E">
      <w:pPr>
        <w:rPr>
          <w:lang w:val="de-DE"/>
        </w:rPr>
      </w:pPr>
    </w:p>
    <w:p w:rsidR="00DD7F8E" w:rsidRPr="00BB5519" w:rsidRDefault="00DD7F8E" w:rsidP="00DD7F8E">
      <w:pPr>
        <w:rPr>
          <w:lang w:val="de-DE"/>
        </w:rPr>
      </w:pPr>
      <w:r w:rsidRPr="00BB5519">
        <w:rPr>
          <w:rFonts w:eastAsia="Arial" w:cs="Arial"/>
          <w:szCs w:val="18"/>
          <w:lang w:val="de-DE"/>
        </w:rPr>
        <w:t xml:space="preserve">Während des Einsatzes sind die folgenden Programmvorteile verfügbar: </w:t>
      </w:r>
    </w:p>
    <w:p w:rsidR="00DD7F8E" w:rsidRPr="00BB5519" w:rsidRDefault="00DD7F8E" w:rsidP="00DD7F8E">
      <w:pPr>
        <w:spacing w:after="60"/>
        <w:rPr>
          <w:lang w:val="de-DE"/>
        </w:rPr>
      </w:pPr>
    </w:p>
    <w:p w:rsidR="00E77F1E" w:rsidRPr="00D15040" w:rsidRDefault="00E77F1E" w:rsidP="00E77F1E">
      <w:pPr>
        <w:spacing w:after="60"/>
        <w:rPr>
          <w:b/>
          <w:szCs w:val="18"/>
          <w:lang w:val="de-DE"/>
        </w:rPr>
      </w:pPr>
      <w:r w:rsidRPr="00D15040">
        <w:rPr>
          <w:b/>
          <w:szCs w:val="18"/>
          <w:lang w:val="de-DE"/>
        </w:rPr>
        <w:t>Enterprise Strategy Network</w:t>
      </w:r>
    </w:p>
    <w:p w:rsidR="00C151FB" w:rsidRPr="00BB5519" w:rsidRDefault="00C151FB" w:rsidP="009E022C">
      <w:pPr>
        <w:rPr>
          <w:lang w:val="de-DE"/>
        </w:rPr>
      </w:pPr>
      <w:r w:rsidRPr="00BB5519">
        <w:rPr>
          <w:szCs w:val="18"/>
          <w:lang w:val="de-DE"/>
        </w:rPr>
        <w:t>Das Enterprise Strategy-Programm beinhaltet eine enge Verbindung mit den Forschungs- und Entwicklungsteams von</w:t>
      </w:r>
      <w:r w:rsidR="009E022C">
        <w:rPr>
          <w:szCs w:val="18"/>
          <w:lang w:val="de-DE"/>
        </w:rPr>
        <w:t> </w:t>
      </w:r>
      <w:r w:rsidRPr="00BB5519">
        <w:rPr>
          <w:szCs w:val="18"/>
          <w:lang w:val="de-DE"/>
        </w:rPr>
        <w:t>Microsoft sowie mit Experten aus den Service-Abteilungen von Microsoft. Enterprise Architects nutzen diese Fachkompetenz, um Kunden Best Practice-Ratschläge, konkrete Empfehlungen zu bestimmten Microsoft-Technologien und Referenzarchitekturen zur Verfügung zu stellen. Best Practice-Empfehlungen sowie zugehörige Materialien und Tools sind in der Microsoft Enterprise Strategy Library enthalten, um die Durchführung von ESP-Einsätzen für Kunden zu beschleunigen.</w:t>
      </w:r>
    </w:p>
    <w:p w:rsidR="001C1727" w:rsidRPr="00BB5519" w:rsidRDefault="001C1727">
      <w:pPr>
        <w:rPr>
          <w:lang w:val="de-DE"/>
        </w:rPr>
      </w:pPr>
    </w:p>
    <w:p w:rsidR="00E77F1E" w:rsidRPr="00D15040" w:rsidRDefault="00C151FB" w:rsidP="00E77F1E">
      <w:pPr>
        <w:spacing w:after="60"/>
        <w:rPr>
          <w:b/>
          <w:szCs w:val="18"/>
          <w:lang w:val="de-DE"/>
        </w:rPr>
      </w:pPr>
      <w:r w:rsidRPr="00D15040">
        <w:rPr>
          <w:b/>
          <w:szCs w:val="18"/>
          <w:lang w:val="de-DE"/>
        </w:rPr>
        <w:t>Enterprise Strategy Library</w:t>
      </w:r>
    </w:p>
    <w:p w:rsidR="00C151FB" w:rsidRPr="00BB5519" w:rsidRDefault="00C151FB" w:rsidP="00E77F1E">
      <w:pPr>
        <w:rPr>
          <w:lang w:val="de-DE"/>
        </w:rPr>
      </w:pPr>
      <w:r w:rsidRPr="00BB5519">
        <w:rPr>
          <w:szCs w:val="18"/>
          <w:lang w:val="de-DE"/>
        </w:rPr>
        <w:t xml:space="preserve">Das Enterprise Strategy-Programm umfasst </w:t>
      </w:r>
      <w:r w:rsidRPr="00BB5519">
        <w:rPr>
          <w:rFonts w:eastAsia="Arial" w:cs="Arial"/>
          <w:szCs w:val="18"/>
          <w:lang w:val="de-DE"/>
        </w:rPr>
        <w:t>eine vielseitige Sammlung von Materialien, darunter Industry Insights und Benchmarks-Tools, Enterprise Architecture- und Technology Architecture-Referenzmodelle und -Methoden. Je nach Anforderungen des Kunden setzt der Enterprise Architect die entsprechenden Materialien und Tools ein.</w:t>
      </w:r>
    </w:p>
    <w:p w:rsidR="00C151FB" w:rsidRPr="00BB5519" w:rsidRDefault="00C151FB" w:rsidP="00E77F1E">
      <w:pPr>
        <w:rPr>
          <w:lang w:val="de-DE"/>
        </w:rPr>
      </w:pPr>
    </w:p>
    <w:p w:rsidR="00E77F1E" w:rsidRPr="00D15040" w:rsidRDefault="00E77F1E" w:rsidP="00E77F1E">
      <w:pPr>
        <w:spacing w:after="60"/>
        <w:rPr>
          <w:b/>
          <w:szCs w:val="18"/>
          <w:lang w:val="de-DE"/>
        </w:rPr>
      </w:pPr>
      <w:r w:rsidRPr="00D15040">
        <w:rPr>
          <w:b/>
          <w:szCs w:val="18"/>
          <w:lang w:val="de-DE"/>
        </w:rPr>
        <w:t>Einsatz-Workshops</w:t>
      </w:r>
    </w:p>
    <w:p w:rsidR="00DD7F8E" w:rsidRPr="00BB5519" w:rsidRDefault="00DD7F8E" w:rsidP="00E77F1E">
      <w:pPr>
        <w:rPr>
          <w:lang w:val="de-DE"/>
        </w:rPr>
      </w:pPr>
      <w:r w:rsidRPr="00BB5519">
        <w:rPr>
          <w:rFonts w:eastAsia="Arial" w:cs="Arial"/>
          <w:lang w:val="de-DE"/>
        </w:rPr>
        <w:t>Diese Workshops, die sich an Führungsmitarbeiter richten, dauern einen Tag und werden in der Regel in regionalen Einrichtungen der jeweiligen Microsoft-Niederlassung durchgeführt. Die Workshops sind für Führungskräfte des Kunden aus Management und IT entwickelt und angepasst, um ihnen die Relevanz neuer Technologien und Branchen-Know-how für ihren Geschäftsbereich zu vermitteln.</w:t>
      </w:r>
      <w:r w:rsidR="009E4976" w:rsidRPr="00BB5519">
        <w:rPr>
          <w:rFonts w:eastAsia="Arial" w:cs="Arial"/>
          <w:lang w:val="de-DE"/>
        </w:rPr>
        <w:t xml:space="preserve"> </w:t>
      </w:r>
      <w:r w:rsidRPr="00BB5519">
        <w:rPr>
          <w:rFonts w:eastAsia="Arial" w:cs="Arial"/>
          <w:lang w:val="de-DE"/>
        </w:rPr>
        <w:t>Die Kosten für die Teilnahme des Kunden an diesen Workshops trägt der Kunde.</w:t>
      </w:r>
    </w:p>
    <w:p w:rsidR="00DD7F8E" w:rsidRPr="00BB5519" w:rsidRDefault="00DD7F8E" w:rsidP="00E77F1E">
      <w:pPr>
        <w:rPr>
          <w:lang w:val="de-DE"/>
        </w:rPr>
      </w:pPr>
    </w:p>
    <w:p w:rsidR="00E77F1E" w:rsidRPr="00D15040" w:rsidRDefault="00E77F1E" w:rsidP="00E77F1E">
      <w:pPr>
        <w:spacing w:after="60"/>
        <w:rPr>
          <w:b/>
          <w:szCs w:val="18"/>
          <w:lang w:val="de-DE"/>
        </w:rPr>
      </w:pPr>
      <w:r w:rsidRPr="00D15040">
        <w:rPr>
          <w:b/>
          <w:szCs w:val="18"/>
          <w:lang w:val="de-DE"/>
        </w:rPr>
        <w:t>Strategische Briefings</w:t>
      </w:r>
    </w:p>
    <w:p w:rsidR="00DD7F8E" w:rsidRPr="00BB5519" w:rsidRDefault="00DD7F8E" w:rsidP="009E022C">
      <w:pPr>
        <w:spacing w:after="60"/>
        <w:rPr>
          <w:lang w:val="de-DE"/>
        </w:rPr>
      </w:pPr>
      <w:r w:rsidRPr="00BB5519">
        <w:rPr>
          <w:rFonts w:eastAsia="Arial" w:cs="Arial"/>
          <w:lang w:val="de-DE"/>
        </w:rPr>
        <w:t>Hierbei handelt es sich um einstündige Webkonferenzen für Führungskräfte aus Management und IT. Dabei werden Geschäfts- und Branchenchancen, Technologietrends sowie die Einschätzung von Microsoft zu strategischen Aspekten wichtiger Themen behandelt.</w:t>
      </w:r>
      <w:r w:rsidR="009E4976" w:rsidRPr="00BB5519">
        <w:rPr>
          <w:rFonts w:eastAsia="Arial" w:cs="Arial"/>
          <w:lang w:val="de-DE"/>
        </w:rPr>
        <w:t xml:space="preserve"> </w:t>
      </w:r>
      <w:r w:rsidRPr="00BB5519">
        <w:rPr>
          <w:rFonts w:eastAsia="Arial" w:cs="Arial"/>
          <w:lang w:val="de-DE"/>
        </w:rPr>
        <w:t>Der Kunde kann sich außerdem zuvor aufgezeichnete strategische Briefings</w:t>
      </w:r>
      <w:r w:rsidR="009E022C">
        <w:rPr>
          <w:rFonts w:eastAsia="Arial" w:cs="Arial"/>
          <w:lang w:val="de-DE"/>
        </w:rPr>
        <w:t> </w:t>
      </w:r>
      <w:r w:rsidRPr="00BB5519">
        <w:rPr>
          <w:rFonts w:eastAsia="Arial" w:cs="Arial"/>
          <w:lang w:val="de-DE"/>
        </w:rPr>
        <w:t>ansehen.</w:t>
      </w:r>
    </w:p>
    <w:p w:rsidR="00DD7F8E" w:rsidRPr="00BB5519" w:rsidRDefault="00DD7F8E" w:rsidP="00E77F1E">
      <w:pPr>
        <w:rPr>
          <w:lang w:val="de-DE"/>
        </w:rPr>
      </w:pPr>
    </w:p>
    <w:p w:rsidR="009B78AB" w:rsidRPr="00D15040" w:rsidRDefault="009B78AB" w:rsidP="009E022C">
      <w:pPr>
        <w:keepNext/>
        <w:keepLines/>
        <w:spacing w:after="60"/>
        <w:rPr>
          <w:b/>
          <w:szCs w:val="18"/>
          <w:lang w:val="de-DE"/>
        </w:rPr>
      </w:pPr>
      <w:r w:rsidRPr="00D15040">
        <w:rPr>
          <w:b/>
          <w:szCs w:val="18"/>
          <w:lang w:val="de-DE"/>
        </w:rPr>
        <w:lastRenderedPageBreak/>
        <w:t>Enterprise Strategy Forum</w:t>
      </w:r>
    </w:p>
    <w:p w:rsidR="009B78AB" w:rsidRPr="00BB5519" w:rsidRDefault="009B78AB" w:rsidP="009E022C">
      <w:pPr>
        <w:keepNext/>
        <w:keepLines/>
        <w:spacing w:after="60"/>
        <w:rPr>
          <w:lang w:val="de-DE"/>
        </w:rPr>
      </w:pPr>
      <w:r w:rsidRPr="00BB5519">
        <w:rPr>
          <w:rFonts w:eastAsia="Arial" w:cs="Arial"/>
          <w:lang w:val="de-DE"/>
        </w:rPr>
        <w:t>An dieser Konferenz für geladene Gäste, die internationalen Kunden unseres Enterprise Strategy-Programms vorbehalten ist, nehmen Chief Architects und ihr Management teil. Chief Architects erhalten dabei Gelegenheit, sich mit Kollegen und Microsoft-Führungskräften über einige Probleme auszutauschen, mit denen unsere größten Kunden konfrontiert sind, und über mögliche Lösungen zu diskutieren.</w:t>
      </w:r>
      <w:r w:rsidR="009E4976" w:rsidRPr="00BB5519">
        <w:rPr>
          <w:rFonts w:eastAsia="Arial" w:cs="Arial"/>
          <w:lang w:val="de-DE"/>
        </w:rPr>
        <w:t xml:space="preserve"> </w:t>
      </w:r>
      <w:r w:rsidRPr="00BB5519">
        <w:rPr>
          <w:rFonts w:eastAsia="Arial" w:cs="Arial"/>
          <w:lang w:val="de-DE"/>
        </w:rPr>
        <w:t>Die Kosten für die Teilnahme des Kunden an diesen Foren trägt der Kunde.</w:t>
      </w:r>
      <w:r w:rsidRPr="00BB5519">
        <w:rPr>
          <w:rFonts w:ascii="Calibri" w:hAnsi="Calibri"/>
          <w:sz w:val="22"/>
          <w:lang w:val="de-DE"/>
        </w:rPr>
        <w:t xml:space="preserve"> </w:t>
      </w:r>
    </w:p>
    <w:p w:rsidR="00C151FB" w:rsidRPr="00BB5519" w:rsidRDefault="00C151FB" w:rsidP="00E77F1E">
      <w:pPr>
        <w:rPr>
          <w:lang w:val="de-DE"/>
        </w:rPr>
      </w:pPr>
    </w:p>
    <w:p w:rsidR="00E77F1E" w:rsidRPr="00BB5519" w:rsidRDefault="00C151FB" w:rsidP="00E77F1E">
      <w:pPr>
        <w:spacing w:after="60"/>
        <w:rPr>
          <w:lang w:val="de-DE"/>
        </w:rPr>
      </w:pPr>
      <w:r w:rsidRPr="00BB5519">
        <w:rPr>
          <w:rFonts w:cs="Tahoma"/>
          <w:b/>
          <w:bCs/>
          <w:color w:val="000000"/>
          <w:szCs w:val="18"/>
          <w:lang w:val="de-DE"/>
        </w:rPr>
        <w:t>Enterprise Strategy Capacity Add-On</w:t>
      </w:r>
    </w:p>
    <w:p w:rsidR="00C151FB" w:rsidRPr="00BB5519" w:rsidRDefault="00C151FB" w:rsidP="009E022C">
      <w:pPr>
        <w:rPr>
          <w:lang w:val="de-DE"/>
        </w:rPr>
      </w:pPr>
      <w:r w:rsidRPr="00BB5519">
        <w:rPr>
          <w:rFonts w:cs="Tahoma"/>
          <w:color w:val="000000"/>
          <w:szCs w:val="18"/>
          <w:lang w:val="de-DE"/>
        </w:rPr>
        <w:t>Der Kunde kann Consulting-Ressourcen des Microsoft Enterprise Service in Blöcken zu je 200 Stunden erwerben, um</w:t>
      </w:r>
      <w:r w:rsidR="009E022C">
        <w:rPr>
          <w:rFonts w:cs="Tahoma"/>
          <w:color w:val="000000"/>
          <w:szCs w:val="18"/>
          <w:lang w:val="de-DE"/>
        </w:rPr>
        <w:t> </w:t>
      </w:r>
      <w:r w:rsidRPr="00BB5519">
        <w:rPr>
          <w:rFonts w:cs="Tahoma"/>
          <w:color w:val="000000"/>
          <w:szCs w:val="18"/>
          <w:lang w:val="de-DE"/>
        </w:rPr>
        <w:t>die Lieferkapazität für Enterprise Strategy-Projekte zu erhöhen oder um Lücken zwischen den Leistungen zu überbrücken. Das Enterprise Strategy Capacity Add-On steht Kunden zur Verfügung, die das Angebot Enterprise Strategy Connect, Enterprise Strategy Foundation oder Enterprise Strategy Portfolio über Microsoft-Volumenlizenz- oder -Standardserviceverträge erworben haben.</w:t>
      </w:r>
    </w:p>
    <w:p w:rsidR="00DD7F8E" w:rsidRPr="00BB5519" w:rsidRDefault="00DD7F8E" w:rsidP="00E77F1E">
      <w:pPr>
        <w:rPr>
          <w:lang w:val="de-DE"/>
        </w:rPr>
      </w:pPr>
    </w:p>
    <w:bookmarkEnd w:id="985"/>
    <w:bookmarkEnd w:id="986"/>
    <w:p w:rsidR="00DD7F8E" w:rsidRPr="00D15040" w:rsidRDefault="00DD7F8E" w:rsidP="00DD7F8E">
      <w:pPr>
        <w:rPr>
          <w:b/>
          <w:sz w:val="24"/>
          <w:szCs w:val="18"/>
          <w:lang w:val="de-DE"/>
        </w:rPr>
      </w:pPr>
      <w:r w:rsidRPr="00D15040">
        <w:rPr>
          <w:b/>
          <w:sz w:val="24"/>
          <w:szCs w:val="18"/>
          <w:lang w:val="de-DE"/>
        </w:rPr>
        <w:t>Vertraglich nicht abgedeckte Services</w:t>
      </w:r>
      <w:r w:rsidR="009E4976" w:rsidRPr="00D15040">
        <w:rPr>
          <w:b/>
          <w:sz w:val="24"/>
          <w:szCs w:val="18"/>
          <w:lang w:val="de-DE"/>
        </w:rPr>
        <w:t xml:space="preserve"> </w:t>
      </w:r>
    </w:p>
    <w:p w:rsidR="00DD7F8E" w:rsidRPr="00BB5519" w:rsidRDefault="00DD7F8E" w:rsidP="00E77F1E">
      <w:pPr>
        <w:rPr>
          <w:lang w:val="de-DE"/>
        </w:rPr>
      </w:pPr>
    </w:p>
    <w:p w:rsidR="00DD7F8E" w:rsidRPr="00BB5519" w:rsidRDefault="00DD7F8E" w:rsidP="009E022C">
      <w:pPr>
        <w:rPr>
          <w:lang w:val="de-DE"/>
        </w:rPr>
      </w:pPr>
      <w:r w:rsidRPr="00BB5519">
        <w:rPr>
          <w:szCs w:val="18"/>
          <w:lang w:val="de-DE"/>
        </w:rPr>
        <w:t>Das Enterprise Strategy-Programm umfasst ausschließlich Beratung und Empfehlungen für die Einführung von Microsoft-Technologien durch den Kunden.</w:t>
      </w:r>
      <w:r w:rsidR="009E4976" w:rsidRPr="00BB5519">
        <w:rPr>
          <w:szCs w:val="18"/>
          <w:lang w:val="de-DE"/>
        </w:rPr>
        <w:t xml:space="preserve"> </w:t>
      </w:r>
      <w:r w:rsidRPr="00BB5519">
        <w:rPr>
          <w:rFonts w:eastAsia="Arial" w:cs="Arial"/>
          <w:bCs/>
          <w:sz w:val="19"/>
          <w:szCs w:val="19"/>
          <w:lang w:val="de-DE"/>
        </w:rPr>
        <w:t>Die Entscheidung, die Ratschläge, Hinweise und Empfehlungen von</w:t>
      </w:r>
      <w:r w:rsidR="009E022C">
        <w:rPr>
          <w:rFonts w:eastAsia="Arial" w:cs="Arial"/>
          <w:bCs/>
          <w:sz w:val="19"/>
          <w:szCs w:val="19"/>
          <w:lang w:val="de-DE"/>
        </w:rPr>
        <w:t> </w:t>
      </w:r>
      <w:r w:rsidRPr="00BB5519">
        <w:rPr>
          <w:rFonts w:eastAsia="Arial" w:cs="Arial"/>
          <w:bCs/>
          <w:sz w:val="19"/>
          <w:szCs w:val="19"/>
          <w:lang w:val="de-DE"/>
        </w:rPr>
        <w:t>Microsoft zu befolgen oder zu ignorieren, liegt ausschließlich beim Kunden.</w:t>
      </w:r>
      <w:r w:rsidR="009E4976" w:rsidRPr="00BB5519">
        <w:rPr>
          <w:rFonts w:eastAsia="Arial" w:cs="Arial"/>
          <w:bCs/>
          <w:sz w:val="19"/>
          <w:szCs w:val="19"/>
          <w:lang w:val="de-DE"/>
        </w:rPr>
        <w:t xml:space="preserve"> </w:t>
      </w:r>
      <w:r w:rsidRPr="00BB5519">
        <w:rPr>
          <w:rFonts w:eastAsia="Arial" w:cs="Arial"/>
          <w:bCs/>
          <w:sz w:val="19"/>
          <w:szCs w:val="19"/>
          <w:lang w:val="de-DE"/>
        </w:rPr>
        <w:t>Microsoft gibt keinerlei Zusicherungen, Gewährleistungen oder Garantien hinsichtlich der Ergebnisse ab, die der Kunde möglicherweise durch Befolgen der Ratschläge, Hinweise und Empfehlungen von Microsoft erzielt.</w:t>
      </w:r>
      <w:r w:rsidR="009E4976" w:rsidRPr="00BB5519">
        <w:rPr>
          <w:rFonts w:eastAsia="Arial" w:cs="Arial"/>
          <w:bCs/>
          <w:sz w:val="19"/>
          <w:szCs w:val="19"/>
          <w:lang w:val="de-DE"/>
        </w:rPr>
        <w:t xml:space="preserve"> </w:t>
      </w:r>
      <w:r w:rsidRPr="00BB5519">
        <w:rPr>
          <w:szCs w:val="18"/>
          <w:lang w:val="de-DE"/>
        </w:rPr>
        <w:t>Produktlizenzen sind nicht enthalten.</w:t>
      </w:r>
      <w:r w:rsidR="009E4976" w:rsidRPr="00BB5519">
        <w:rPr>
          <w:szCs w:val="18"/>
          <w:lang w:val="de-DE"/>
        </w:rPr>
        <w:t xml:space="preserve"> </w:t>
      </w:r>
      <w:r w:rsidRPr="00BB5519">
        <w:rPr>
          <w:szCs w:val="18"/>
          <w:lang w:val="de-DE"/>
        </w:rPr>
        <w:t>In den Services des Enterprise Architect sind außerdem Produktbereitstellung, Problembehebungs- oder</w:t>
      </w:r>
      <w:r w:rsidR="009E022C">
        <w:rPr>
          <w:szCs w:val="18"/>
          <w:lang w:val="de-DE"/>
        </w:rPr>
        <w:t> </w:t>
      </w:r>
      <w:r w:rsidRPr="00BB5519">
        <w:rPr>
          <w:szCs w:val="18"/>
          <w:lang w:val="de-DE"/>
        </w:rPr>
        <w:t>Break-Fix-Support, Prüfung von nicht von Microsoft stammendem Quellcode oder eine technische oder Architekturberatung, die über die oben beschriebene Ergebnisse hinausgeht, nicht enthalten. Bei nicht von Microsoft</w:t>
      </w:r>
      <w:r w:rsidR="009E022C">
        <w:rPr>
          <w:szCs w:val="18"/>
          <w:lang w:val="de-DE"/>
        </w:rPr>
        <w:t> </w:t>
      </w:r>
      <w:r w:rsidRPr="00BB5519">
        <w:rPr>
          <w:szCs w:val="18"/>
          <w:lang w:val="de-DE"/>
        </w:rPr>
        <w:t>stammendem Quellcode sind unsere Services auf die Analyse von Binärdaten, z. B. eine Prozesssicherung oder Netzwerkmonitor-Ablaufverfolgung, beschränkt.</w:t>
      </w:r>
    </w:p>
    <w:p w:rsidR="00DD7F8E" w:rsidRPr="00BB5519" w:rsidRDefault="00DD7F8E" w:rsidP="00E77F1E">
      <w:pPr>
        <w:rPr>
          <w:lang w:val="de-DE"/>
        </w:rPr>
      </w:pPr>
    </w:p>
    <w:p w:rsidR="00DD7F8E" w:rsidRPr="00BB5519" w:rsidRDefault="00DD7F8E" w:rsidP="00DD7F8E">
      <w:pPr>
        <w:rPr>
          <w:lang w:val="de-DE"/>
        </w:rPr>
      </w:pPr>
      <w:r w:rsidRPr="00BB5519">
        <w:rPr>
          <w:b/>
          <w:sz w:val="24"/>
          <w:szCs w:val="18"/>
          <w:lang w:val="de-DE"/>
        </w:rPr>
        <w:t>Verantwortlichkeiten des Kunden</w:t>
      </w:r>
      <w:r w:rsidR="009E4976" w:rsidRPr="00BB5519">
        <w:rPr>
          <w:sz w:val="24"/>
          <w:szCs w:val="18"/>
          <w:lang w:val="de-DE"/>
        </w:rPr>
        <w:t xml:space="preserve"> </w:t>
      </w:r>
    </w:p>
    <w:p w:rsidR="00DD7F8E" w:rsidRPr="00BB5519" w:rsidRDefault="00DD7F8E" w:rsidP="00DD7F8E">
      <w:pPr>
        <w:rPr>
          <w:lang w:val="de-DE"/>
        </w:rPr>
      </w:pPr>
    </w:p>
    <w:p w:rsidR="00DD7F8E" w:rsidRPr="00BB5519" w:rsidRDefault="00DD7F8E" w:rsidP="00DD7F8E">
      <w:pPr>
        <w:rPr>
          <w:lang w:val="de-DE"/>
        </w:rPr>
      </w:pPr>
      <w:r w:rsidRPr="00BB5519">
        <w:rPr>
          <w:szCs w:val="18"/>
          <w:lang w:val="de-DE"/>
        </w:rPr>
        <w:t>Der Erfolg des Enterprise Strategy-Programms und die Erfüllung unserer Pflichten sind von der Beteiligung des Kunden während des Programms abhängig, einschließlich, jedoch ohne Beschränkung auf Folgendes:</w:t>
      </w:r>
    </w:p>
    <w:p w:rsidR="00DD7F8E" w:rsidRPr="00BB5519" w:rsidRDefault="00DD7F8E" w:rsidP="00DD7F8E">
      <w:pPr>
        <w:rPr>
          <w:lang w:val="de-DE"/>
        </w:rPr>
      </w:pPr>
    </w:p>
    <w:p w:rsidR="00DD7F8E" w:rsidRPr="00BB5519" w:rsidRDefault="00DD7F8E" w:rsidP="002C1048">
      <w:pPr>
        <w:numPr>
          <w:ilvl w:val="0"/>
          <w:numId w:val="96"/>
        </w:numPr>
        <w:tabs>
          <w:tab w:val="left" w:pos="1440"/>
        </w:tabs>
        <w:spacing w:after="60"/>
        <w:ind w:left="1440"/>
        <w:rPr>
          <w:lang w:val="de-DE"/>
        </w:rPr>
      </w:pPr>
      <w:r w:rsidRPr="00BB5519">
        <w:rPr>
          <w:color w:val="000000"/>
          <w:szCs w:val="18"/>
          <w:lang w:val="de-DE"/>
        </w:rPr>
        <w:t xml:space="preserve">Verfügbarkeit von Vertretern, IT-Mitarbeitern und Ressourcen des Kunden, einschließlich, jedoch nicht beschränkt auf Hardware, Software, Internetanschluss und Büroräume </w:t>
      </w:r>
    </w:p>
    <w:p w:rsidR="00DD7F8E" w:rsidRPr="00BB5519" w:rsidRDefault="00DD7F8E" w:rsidP="002C1048">
      <w:pPr>
        <w:numPr>
          <w:ilvl w:val="0"/>
          <w:numId w:val="96"/>
        </w:numPr>
        <w:tabs>
          <w:tab w:val="left" w:pos="1440"/>
        </w:tabs>
        <w:spacing w:after="60"/>
        <w:ind w:left="1440"/>
        <w:rPr>
          <w:lang w:val="de-DE"/>
        </w:rPr>
      </w:pPr>
      <w:r w:rsidRPr="00BB5519">
        <w:rPr>
          <w:color w:val="000000"/>
          <w:szCs w:val="18"/>
          <w:lang w:val="de-DE"/>
        </w:rPr>
        <w:t xml:space="preserve">Zeitnahe Bereitstellung korrekter und vollständiger Informationen durch den Kunden </w:t>
      </w:r>
    </w:p>
    <w:p w:rsidR="00DD7F8E" w:rsidRPr="00BB5519" w:rsidRDefault="00DD7F8E" w:rsidP="002C1048">
      <w:pPr>
        <w:numPr>
          <w:ilvl w:val="0"/>
          <w:numId w:val="96"/>
        </w:numPr>
        <w:tabs>
          <w:tab w:val="left" w:pos="1440"/>
        </w:tabs>
        <w:spacing w:after="60"/>
        <w:ind w:left="1440"/>
        <w:rPr>
          <w:lang w:val="de-DE"/>
        </w:rPr>
      </w:pPr>
      <w:r w:rsidRPr="00BB5519">
        <w:rPr>
          <w:color w:val="000000"/>
          <w:szCs w:val="18"/>
          <w:lang w:val="de-DE"/>
        </w:rPr>
        <w:t>Zugang zu Informationen über das Unternehmen des Kunden</w:t>
      </w:r>
    </w:p>
    <w:p w:rsidR="00DD7F8E" w:rsidRPr="00BB5519" w:rsidRDefault="00DD7F8E" w:rsidP="002C1048">
      <w:pPr>
        <w:numPr>
          <w:ilvl w:val="0"/>
          <w:numId w:val="96"/>
        </w:numPr>
        <w:tabs>
          <w:tab w:val="left" w:pos="1440"/>
        </w:tabs>
        <w:spacing w:after="60"/>
        <w:ind w:left="1440"/>
        <w:rPr>
          <w:lang w:val="de-DE"/>
        </w:rPr>
      </w:pPr>
      <w:r w:rsidRPr="00BB5519">
        <w:rPr>
          <w:color w:val="000000"/>
          <w:szCs w:val="18"/>
          <w:lang w:val="de-DE"/>
        </w:rPr>
        <w:t>Zeitnahe und effektiven Erfüllung der dem Kunden zugewiesenen Verantwortlichkeiten und</w:t>
      </w:r>
    </w:p>
    <w:p w:rsidR="00DD7F8E" w:rsidRPr="00BB5519" w:rsidRDefault="00DD7F8E" w:rsidP="002C1048">
      <w:pPr>
        <w:numPr>
          <w:ilvl w:val="0"/>
          <w:numId w:val="96"/>
        </w:numPr>
        <w:tabs>
          <w:tab w:val="left" w:pos="1440"/>
        </w:tabs>
        <w:spacing w:after="60"/>
        <w:ind w:left="1440"/>
        <w:rPr>
          <w:lang w:val="de-DE"/>
        </w:rPr>
      </w:pPr>
      <w:r w:rsidRPr="00BB5519">
        <w:rPr>
          <w:color w:val="000000"/>
          <w:szCs w:val="18"/>
          <w:lang w:val="de-DE"/>
        </w:rPr>
        <w:t>Zeitnahe Entscheidungen und Genehmigungen durch das Management des Kunden.</w:t>
      </w:r>
      <w:r w:rsidR="009E4976" w:rsidRPr="00BB5519">
        <w:rPr>
          <w:color w:val="000000"/>
          <w:szCs w:val="18"/>
          <w:lang w:val="de-DE"/>
        </w:rPr>
        <w:t xml:space="preserve"> </w:t>
      </w:r>
    </w:p>
    <w:p w:rsidR="0064651F" w:rsidRPr="00BB5519" w:rsidRDefault="0064651F" w:rsidP="00CA52FE">
      <w:pPr>
        <w:rPr>
          <w:lang w:val="de-DE"/>
        </w:rPr>
      </w:pPr>
      <w:bookmarkStart w:id="987" w:name="_Toc288760404"/>
    </w:p>
    <w:p w:rsidR="00DD7F8E" w:rsidRPr="00D15040" w:rsidRDefault="00DD7F8E" w:rsidP="00CA52FE">
      <w:pPr>
        <w:rPr>
          <w:b/>
          <w:sz w:val="24"/>
          <w:szCs w:val="18"/>
          <w:lang w:val="de-DE"/>
        </w:rPr>
      </w:pPr>
      <w:r w:rsidRPr="00D15040">
        <w:rPr>
          <w:b/>
          <w:sz w:val="24"/>
          <w:szCs w:val="18"/>
          <w:lang w:val="de-DE"/>
        </w:rPr>
        <w:t>Zusätzliche Servicebestimmungen</w:t>
      </w:r>
    </w:p>
    <w:p w:rsidR="00DD7F8E" w:rsidRPr="00BB5519" w:rsidRDefault="00DD7F8E" w:rsidP="00CA52FE">
      <w:pPr>
        <w:rPr>
          <w:lang w:val="de-DE"/>
        </w:rPr>
      </w:pPr>
    </w:p>
    <w:p w:rsidR="00DD7F8E" w:rsidRPr="00D15040" w:rsidRDefault="00DB2D1E" w:rsidP="00E77F1E">
      <w:pPr>
        <w:spacing w:after="60"/>
        <w:rPr>
          <w:rStyle w:val="Heading2Char"/>
          <w:rFonts w:ascii="Tahoma" w:hAnsi="Tahoma"/>
          <w:sz w:val="20"/>
          <w:szCs w:val="20"/>
          <w:lang w:val="de-DE"/>
        </w:rPr>
      </w:pPr>
      <w:bookmarkStart w:id="988" w:name="_Toc317591257"/>
      <w:bookmarkStart w:id="989" w:name="_Toc336338248"/>
      <w:bookmarkStart w:id="990" w:name="_Toc354054945"/>
      <w:r w:rsidRPr="00D15040">
        <w:rPr>
          <w:rStyle w:val="Heading2Char"/>
          <w:rFonts w:ascii="Tahoma" w:hAnsi="Tahoma"/>
          <w:sz w:val="20"/>
          <w:szCs w:val="20"/>
          <w:lang w:val="de-DE"/>
        </w:rPr>
        <w:t>Nutzungsrechte, Eigentum und Lizenzrechte</w:t>
      </w:r>
      <w:bookmarkEnd w:id="987"/>
      <w:bookmarkEnd w:id="988"/>
      <w:bookmarkEnd w:id="989"/>
      <w:bookmarkEnd w:id="990"/>
    </w:p>
    <w:p w:rsidR="00DB2D1E" w:rsidRPr="00BB5519" w:rsidRDefault="00DB2D1E" w:rsidP="00CA52FE">
      <w:pPr>
        <w:pStyle w:val="normal1"/>
        <w:rPr>
          <w:lang w:val="de-DE"/>
        </w:rPr>
      </w:pPr>
      <w:r w:rsidRPr="00BB5519">
        <w:rPr>
          <w:rFonts w:ascii="Tahoma" w:hAnsi="Tahoma" w:cs="Tahoma"/>
          <w:b/>
          <w:bCs/>
          <w:color w:val="000000"/>
          <w:sz w:val="18"/>
          <w:szCs w:val="18"/>
          <w:lang w:val="de-DE"/>
        </w:rPr>
        <w:t>Fixes.</w:t>
      </w:r>
      <w:r w:rsidR="009E4976" w:rsidRPr="009E022C">
        <w:rPr>
          <w:rFonts w:ascii="Tahoma" w:hAnsi="Tahoma" w:cs="Tahoma"/>
          <w:color w:val="000000"/>
          <w:sz w:val="18"/>
          <w:szCs w:val="18"/>
          <w:lang w:val="de-DE"/>
        </w:rPr>
        <w:t xml:space="preserve"> </w:t>
      </w:r>
      <w:r w:rsidRPr="00BB5519">
        <w:rPr>
          <w:rFonts w:ascii="Tahoma" w:hAnsi="Tahoma" w:cs="Tahoma"/>
          <w:bCs/>
          <w:color w:val="000000"/>
          <w:sz w:val="18"/>
          <w:szCs w:val="18"/>
          <w:lang w:val="de-DE"/>
        </w:rPr>
        <w:t>Wenn Microsoft dem Kunden im Rahmen der Erbringung der Services Fixes zur Verfügung stellt, werden diese</w:t>
      </w:r>
      <w:r w:rsidRPr="00BB5519">
        <w:rPr>
          <w:rFonts w:ascii="Tahoma" w:hAnsi="Tahoma" w:cs="Tahoma"/>
          <w:b/>
          <w:bCs/>
          <w:color w:val="000000"/>
          <w:sz w:val="18"/>
          <w:szCs w:val="18"/>
          <w:lang w:val="de-DE"/>
        </w:rPr>
        <w:t xml:space="preserve"> </w:t>
      </w:r>
      <w:r w:rsidRPr="00BB5519">
        <w:rPr>
          <w:rFonts w:ascii="Tahoma" w:hAnsi="Tahoma" w:cs="Tahoma"/>
          <w:color w:val="000000"/>
          <w:sz w:val="18"/>
          <w:szCs w:val="18"/>
          <w:lang w:val="de-DE"/>
        </w:rPr>
        <w:t>Fixes in Übereinstimmung mit den Lizenzbestimmungen für das Product, auf das sich diese Fixes beziehen, lizenziert.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Der Kunde ist nicht berechtigt, Fixes zu ändern, ihre Dateinamen zu ändern oder sie mit Computercodes zu kombinieren, die nicht von Microsoft stammen.</w:t>
      </w:r>
    </w:p>
    <w:p w:rsidR="003F47CB" w:rsidRPr="00BB5519" w:rsidRDefault="003F47CB" w:rsidP="00CA52FE">
      <w:pPr>
        <w:pStyle w:val="normal1"/>
        <w:rPr>
          <w:lang w:val="de-DE"/>
        </w:rPr>
      </w:pPr>
    </w:p>
    <w:p w:rsidR="00DB2D1E" w:rsidRDefault="00DB2D1E" w:rsidP="009E022C">
      <w:pPr>
        <w:pStyle w:val="normal1"/>
        <w:keepNext/>
        <w:keepLines/>
        <w:rPr>
          <w:rFonts w:ascii="Tahoma" w:hAnsi="Tahoma" w:cs="Tahoma"/>
          <w:color w:val="000000"/>
          <w:sz w:val="18"/>
          <w:szCs w:val="18"/>
          <w:lang w:val="de-DE"/>
        </w:rPr>
      </w:pPr>
      <w:r w:rsidRPr="00BB5519">
        <w:rPr>
          <w:rFonts w:ascii="Tahoma" w:hAnsi="Tahoma" w:cs="Tahoma"/>
          <w:b/>
          <w:bCs/>
          <w:color w:val="000000"/>
          <w:sz w:val="18"/>
          <w:szCs w:val="18"/>
          <w:lang w:val="de-DE"/>
        </w:rPr>
        <w:lastRenderedPageBreak/>
        <w:t>Vorbestehende Werke.</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Sämtliche Rechte an Computercode oder an nicht codebasierten schriftlichen Materialien, die von den oder für die Parteien oder ihre(n) Verbundenen Unternehmen unabhängig von diesem Vertrag entwickelt</w:t>
      </w:r>
      <w:r w:rsidR="009E022C">
        <w:rPr>
          <w:rFonts w:ascii="Tahoma" w:hAnsi="Tahoma" w:cs="Tahoma"/>
          <w:color w:val="000000"/>
          <w:sz w:val="18"/>
          <w:szCs w:val="18"/>
          <w:lang w:val="de-DE"/>
        </w:rPr>
        <w:t> </w:t>
      </w:r>
      <w:r w:rsidRPr="00BB5519">
        <w:rPr>
          <w:rFonts w:ascii="Tahoma" w:hAnsi="Tahoma" w:cs="Tahoma"/>
          <w:color w:val="000000"/>
          <w:sz w:val="18"/>
          <w:szCs w:val="18"/>
          <w:lang w:val="de-DE"/>
        </w:rPr>
        <w:t>oder auf andere Weise erlangt wurden („Vorbestehende Werke“), verbleiben allein bei derjenigen Partei,</w:t>
      </w:r>
      <w:r w:rsidR="009E022C">
        <w:rPr>
          <w:rFonts w:ascii="Tahoma" w:hAnsi="Tahoma" w:cs="Tahoma"/>
          <w:color w:val="000000"/>
          <w:sz w:val="18"/>
          <w:szCs w:val="18"/>
          <w:lang w:val="de-DE"/>
        </w:rPr>
        <w:t> </w:t>
      </w:r>
      <w:r w:rsidRPr="00BB5519">
        <w:rPr>
          <w:rFonts w:ascii="Tahoma" w:hAnsi="Tahoma" w:cs="Tahoma"/>
          <w:color w:val="000000"/>
          <w:sz w:val="18"/>
          <w:szCs w:val="18"/>
          <w:lang w:val="de-DE"/>
        </w:rPr>
        <w:t>die die Vorbestehenden Werke jeweils bereitstellt.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Für die Dauer der zu erbringenden Leistungen erteilen die</w:t>
      </w:r>
      <w:r w:rsidR="009E022C">
        <w:rPr>
          <w:rFonts w:ascii="Tahoma" w:hAnsi="Tahoma" w:cs="Tahoma"/>
          <w:color w:val="000000"/>
          <w:sz w:val="18"/>
          <w:szCs w:val="18"/>
          <w:lang w:val="de-DE"/>
        </w:rPr>
        <w:t> </w:t>
      </w:r>
      <w:r w:rsidRPr="00BB5519">
        <w:rPr>
          <w:rFonts w:ascii="Tahoma" w:hAnsi="Tahoma" w:cs="Tahoma"/>
          <w:color w:val="000000"/>
          <w:sz w:val="18"/>
          <w:szCs w:val="18"/>
          <w:lang w:val="de-DE"/>
        </w:rPr>
        <w:t>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w:t>
      </w:r>
      <w:r w:rsidR="009E022C">
        <w:rPr>
          <w:rFonts w:ascii="Tahoma" w:hAnsi="Tahoma" w:cs="Tahoma"/>
          <w:color w:val="000000"/>
          <w:sz w:val="18"/>
          <w:szCs w:val="18"/>
          <w:lang w:val="de-DE"/>
        </w:rPr>
        <w:t> </w:t>
      </w:r>
      <w:r w:rsidRPr="00BB5519">
        <w:rPr>
          <w:rFonts w:ascii="Tahoma" w:hAnsi="Tahoma" w:cs="Tahoma"/>
          <w:color w:val="000000"/>
          <w:sz w:val="18"/>
          <w:szCs w:val="18"/>
          <w:lang w:val="de-DE"/>
        </w:rPr>
        <w:t>den Services zu erfüllen.</w:t>
      </w:r>
    </w:p>
    <w:p w:rsidR="00DB2D1E" w:rsidRPr="00BB5519" w:rsidRDefault="00DB2D1E" w:rsidP="00CA52FE">
      <w:pPr>
        <w:pStyle w:val="normal1"/>
        <w:rPr>
          <w:lang w:val="de-DE"/>
        </w:rPr>
      </w:pPr>
      <w:r w:rsidRPr="00BB5519">
        <w:rPr>
          <w:rFonts w:ascii="Tahoma" w:hAnsi="Tahoma" w:cs="Tahoma"/>
          <w:color w:val="000000"/>
          <w:sz w:val="18"/>
          <w:szCs w:val="18"/>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rsidR="003F47CB" w:rsidRPr="00BB5519" w:rsidRDefault="003F47CB" w:rsidP="00CA52FE">
      <w:pPr>
        <w:pStyle w:val="normal1"/>
        <w:rPr>
          <w:lang w:val="de-DE"/>
        </w:rPr>
      </w:pPr>
    </w:p>
    <w:p w:rsidR="00DB2D1E" w:rsidRPr="00BB5519" w:rsidRDefault="00DB2D1E" w:rsidP="00CA52FE">
      <w:pPr>
        <w:pStyle w:val="normal1"/>
        <w:rPr>
          <w:lang w:val="de-DE"/>
        </w:rPr>
      </w:pPr>
      <w:r w:rsidRPr="00BB5519">
        <w:rPr>
          <w:rFonts w:ascii="Tahoma" w:hAnsi="Tahoma" w:cs="Tahoma"/>
          <w:b/>
          <w:bCs/>
          <w:color w:val="000000"/>
          <w:sz w:val="18"/>
          <w:szCs w:val="18"/>
          <w:lang w:val="de-DE"/>
        </w:rPr>
        <w:t>Entwicklungen</w:t>
      </w:r>
      <w:r w:rsidRPr="009E022C">
        <w:rPr>
          <w:rFonts w:ascii="Tahoma" w:hAnsi="Tahoma" w:cs="Tahoma"/>
          <w:b/>
          <w:bCs/>
          <w:color w:val="000000"/>
          <w:sz w:val="18"/>
          <w:szCs w:val="18"/>
          <w:lang w:val="de-DE"/>
        </w:rPr>
        <w: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Jede Partei ist die alleinige Eigentümerin der Bearbeitungen, die sie auf Basis der Entwicklungen vornimmt.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Der Kunde verpflichtet sich, seine Rechte an Entwicklungen ausschließlich für seine internen Geschäftszwecke auszuüben und die Entwicklungen nicht an Dritte weiterzuverkaufen oder zu vertreiben.</w:t>
      </w:r>
    </w:p>
    <w:p w:rsidR="003F47CB" w:rsidRPr="00BB5519" w:rsidRDefault="003F47CB" w:rsidP="00CA52FE">
      <w:pPr>
        <w:pStyle w:val="normal1"/>
        <w:rPr>
          <w:lang w:val="de-DE"/>
        </w:rPr>
      </w:pPr>
    </w:p>
    <w:p w:rsidR="00222641" w:rsidRPr="00BB5519" w:rsidRDefault="00222641" w:rsidP="00CA52FE">
      <w:pPr>
        <w:rPr>
          <w:lang w:val="de-DE"/>
        </w:rPr>
      </w:pPr>
      <w:r w:rsidRPr="00BB5519">
        <w:rPr>
          <w:rFonts w:eastAsia="Calibri" w:cs="Tahoma"/>
          <w:b/>
          <w:bCs/>
          <w:color w:val="000000"/>
          <w:szCs w:val="18"/>
          <w:lang w:val="de-DE"/>
        </w:rPr>
        <w:t>Materialien.</w:t>
      </w:r>
      <w:r w:rsidR="009E4976" w:rsidRPr="009E022C">
        <w:rPr>
          <w:rFonts w:eastAsia="Calibri" w:cs="Tahoma"/>
          <w:color w:val="000000"/>
          <w:szCs w:val="18"/>
          <w:lang w:val="de-DE"/>
        </w:rPr>
        <w:t xml:space="preserve"> </w:t>
      </w:r>
      <w:r w:rsidRPr="00BB5519">
        <w:rPr>
          <w:rFonts w:eastAsia="Calibri" w:cs="Tahoma"/>
          <w:bCs/>
          <w:color w:val="000000"/>
          <w:szCs w:val="18"/>
          <w:lang w:val="de-DE"/>
        </w:rPr>
        <w:t>Alle Rechte an Materialien, die von uns entwickelt (ausgenommen Softwarecode) und dem Kunden in Verbindung mit dem Windows Azure-Support und Professional Support bereitgestellt werden („Materialien“), stehen in unserem Eigentum, außer insoweit solche Materialien Vorbestehenden Werke des Kunden darstellen.</w:t>
      </w:r>
      <w:r w:rsidR="009E4976" w:rsidRPr="00BB5519">
        <w:rPr>
          <w:rFonts w:eastAsia="Calibri" w:cs="Tahoma"/>
          <w:bCs/>
          <w:color w:val="000000"/>
          <w:szCs w:val="18"/>
          <w:lang w:val="de-DE"/>
        </w:rPr>
        <w:t xml:space="preserve"> </w:t>
      </w:r>
      <w:r w:rsidRPr="00BB5519">
        <w:rPr>
          <w:rFonts w:eastAsia="Calibri" w:cs="Tahoma"/>
          <w:bCs/>
          <w:color w:val="000000"/>
          <w:szCs w:val="18"/>
          <w:lang w:val="de-DE"/>
        </w:rP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9E4976" w:rsidRPr="00BB5519">
        <w:rPr>
          <w:rFonts w:eastAsia="Calibri" w:cs="Tahoma"/>
          <w:bCs/>
          <w:color w:val="000000"/>
          <w:szCs w:val="18"/>
          <w:lang w:val="de-DE"/>
        </w:rPr>
        <w:t xml:space="preserve"> </w:t>
      </w:r>
      <w:r w:rsidRPr="00BB5519">
        <w:rPr>
          <w:rFonts w:eastAsia="Calibri" w:cs="Tahoma"/>
          <w:bCs/>
          <w:color w:val="000000"/>
          <w:szCs w:val="18"/>
          <w:lang w:val="de-DE"/>
        </w:rPr>
        <w:t>Kunden sind berechtigt, die unter diesem Vertrag gewährten Rechte an ihre Verbundenen Unternehmen zu unterlizenzieren.</w:t>
      </w:r>
      <w:r w:rsidR="009E4976" w:rsidRPr="00BB5519">
        <w:rPr>
          <w:rFonts w:eastAsia="Calibri" w:cs="Tahoma"/>
          <w:bCs/>
          <w:color w:val="000000"/>
          <w:szCs w:val="18"/>
          <w:lang w:val="de-DE"/>
        </w:rPr>
        <w:t xml:space="preserve"> </w:t>
      </w:r>
      <w:r w:rsidRPr="00BB5519">
        <w:rPr>
          <w:rFonts w:eastAsia="Calibri" w:cs="Tahoma"/>
          <w:bCs/>
          <w:color w:val="000000"/>
          <w:szCs w:val="18"/>
          <w:lang w:val="de-DE"/>
        </w:rPr>
        <w:t>Alle nicht ausdrücklich gewährten Rechte bleiben vorbehalten.</w:t>
      </w:r>
    </w:p>
    <w:p w:rsidR="003F47CB" w:rsidRPr="00BB5519" w:rsidRDefault="003F47CB" w:rsidP="00CA52FE">
      <w:pPr>
        <w:rPr>
          <w:lang w:val="de-DE"/>
        </w:rPr>
      </w:pPr>
    </w:p>
    <w:p w:rsidR="00B53C3C" w:rsidRPr="00BB5519" w:rsidRDefault="00B53C3C" w:rsidP="00CA52FE">
      <w:pPr>
        <w:rPr>
          <w:lang w:val="de-DE"/>
        </w:rPr>
      </w:pPr>
      <w:r w:rsidRPr="00BB5519">
        <w:rPr>
          <w:rFonts w:eastAsia="Calibri" w:cs="Tahoma"/>
          <w:b/>
          <w:bCs/>
          <w:color w:val="000000"/>
          <w:szCs w:val="18"/>
          <w:lang w:val="de-DE"/>
        </w:rPr>
        <w:t>Mustercode.</w:t>
      </w:r>
      <w:r w:rsidR="009E4976" w:rsidRPr="009E022C">
        <w:rPr>
          <w:rFonts w:eastAsia="Calibri" w:cs="Tahoma"/>
          <w:color w:val="000000"/>
          <w:szCs w:val="18"/>
          <w:lang w:val="de-DE"/>
        </w:rPr>
        <w:t xml:space="preserve"> </w:t>
      </w:r>
      <w:r w:rsidRPr="00BB5519">
        <w:rPr>
          <w:rFonts w:eastAsia="Calibri" w:cs="Tahoma"/>
          <w:bCs/>
          <w:color w:val="000000"/>
          <w:szCs w:val="18"/>
          <w:lang w:val="de-DE"/>
        </w:rPr>
        <w:t xml:space="preserve">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 Softwareprodukt, in das der Mustercode eingebettet ist, zu vermarkten, (ii) sie nehmen einen gültigen Urheberrechtshinweis in ihr Softwareprodukt, in das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rsidR="003F47CB" w:rsidRPr="00BB5519" w:rsidRDefault="003F47CB" w:rsidP="00CA52FE">
      <w:pPr>
        <w:rPr>
          <w:lang w:val="de-DE"/>
        </w:rPr>
      </w:pPr>
    </w:p>
    <w:p w:rsidR="00DB2D1E" w:rsidRPr="00BB5519" w:rsidRDefault="00DB2D1E" w:rsidP="009E022C">
      <w:pPr>
        <w:pStyle w:val="normal1"/>
        <w:rPr>
          <w:lang w:val="de-DE"/>
        </w:rPr>
      </w:pPr>
      <w:r w:rsidRPr="00BB5519">
        <w:rPr>
          <w:rFonts w:ascii="Tahoma" w:hAnsi="Tahoma" w:cs="Tahoma"/>
          <w:b/>
          <w:bCs/>
          <w:color w:val="000000"/>
          <w:sz w:val="18"/>
          <w:szCs w:val="18"/>
          <w:lang w:val="de-DE"/>
        </w:rPr>
        <w:t>Open Source-Lizenzbeschränkungen</w:t>
      </w:r>
      <w:r w:rsidRPr="009E022C">
        <w:rPr>
          <w:rFonts w:ascii="Tahoma" w:hAnsi="Tahoma" w:cs="Tahoma"/>
          <w:b/>
          <w:bCs/>
          <w:color w:val="000000"/>
          <w:sz w:val="18"/>
          <w:szCs w:val="18"/>
          <w:lang w:val="de-DE"/>
        </w:rPr>
        <w: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w:t>
      </w:r>
      <w:r w:rsidR="009E022C">
        <w:rPr>
          <w:rFonts w:ascii="Tahoma" w:hAnsi="Tahoma" w:cs="Tahoma"/>
          <w:color w:val="000000"/>
          <w:sz w:val="18"/>
          <w:szCs w:val="18"/>
          <w:lang w:val="de-DE"/>
        </w:rPr>
        <w:t> </w:t>
      </w:r>
      <w:r w:rsidRPr="00BB5519">
        <w:rPr>
          <w:rFonts w:ascii="Tahoma" w:hAnsi="Tahoma" w:cs="Tahoma"/>
          <w:color w:val="000000"/>
          <w:sz w:val="18"/>
          <w:szCs w:val="18"/>
          <w:lang w:val="de-DE"/>
        </w:rPr>
        <w:t>Partei Open Source-Lizenzbestimmungen unterfällt.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Außerdem sichert jede Partei zu, dass sie der anderen Partei keinen Computercode bereitstellt oder überlässt, der Open Source-Lizenzbestimmungen unterliegt.</w:t>
      </w:r>
    </w:p>
    <w:p w:rsidR="003F47CB" w:rsidRPr="00BB5519" w:rsidRDefault="003F47CB" w:rsidP="00CA52FE">
      <w:pPr>
        <w:pStyle w:val="normal1"/>
        <w:rPr>
          <w:lang w:val="de-DE"/>
        </w:rPr>
      </w:pPr>
    </w:p>
    <w:p w:rsidR="00DB2D1E" w:rsidRPr="00BB5519" w:rsidRDefault="00DB2D1E" w:rsidP="00CA52FE">
      <w:pPr>
        <w:pStyle w:val="normal1"/>
        <w:rPr>
          <w:lang w:val="de-DE"/>
        </w:rPr>
      </w:pPr>
      <w:r w:rsidRPr="00BB5519">
        <w:rPr>
          <w:rFonts w:ascii="Tahoma" w:hAnsi="Tahoma" w:cs="Tahoma"/>
          <w:b/>
          <w:bCs/>
          <w:color w:val="000000"/>
          <w:sz w:val="18"/>
          <w:szCs w:val="18"/>
          <w:lang w:val="de-DE"/>
        </w:rPr>
        <w:t>Rechte von Verbundenen Unternehmen.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rsidR="001C1727" w:rsidRPr="00BB5519" w:rsidRDefault="001C1727">
      <w:pPr>
        <w:rPr>
          <w:lang w:val="de-DE"/>
        </w:rPr>
      </w:pPr>
    </w:p>
    <w:p w:rsidR="00DB2D1E" w:rsidRPr="00BB5519" w:rsidRDefault="00DB2D1E" w:rsidP="00CA52FE">
      <w:pPr>
        <w:rPr>
          <w:lang w:val="de-DE"/>
        </w:rPr>
      </w:pPr>
      <w:r w:rsidRPr="00BB5519">
        <w:rPr>
          <w:rFonts w:cs="Tahoma"/>
          <w:b/>
          <w:bCs/>
          <w:color w:val="000000"/>
          <w:szCs w:val="18"/>
          <w:lang w:val="de-DE"/>
        </w:rPr>
        <w:t>Vorbehalt von Rechten.</w:t>
      </w:r>
      <w:r w:rsidR="009E4976" w:rsidRPr="00BB5519">
        <w:rPr>
          <w:rFonts w:cs="Tahoma"/>
          <w:color w:val="000000"/>
          <w:szCs w:val="18"/>
          <w:lang w:val="de-DE"/>
        </w:rPr>
        <w:t xml:space="preserve"> </w:t>
      </w:r>
      <w:r w:rsidRPr="00BB5519">
        <w:rPr>
          <w:rFonts w:cs="Tahoma"/>
          <w:color w:val="000000"/>
          <w:szCs w:val="18"/>
          <w:lang w:val="de-DE"/>
        </w:rPr>
        <w:t>Alle nicht ausdrücklich gewährten Rechte bleiben vorbehalten.</w:t>
      </w:r>
    </w:p>
    <w:p w:rsidR="00DB2D1E" w:rsidRPr="00BB5519" w:rsidRDefault="00DB2D1E" w:rsidP="00CA52FE">
      <w:pPr>
        <w:rPr>
          <w:lang w:val="de-DE"/>
        </w:rPr>
      </w:pPr>
    </w:p>
    <w:p w:rsidR="00DD7F8E" w:rsidRPr="00BB5519" w:rsidRDefault="00DD7F8E" w:rsidP="00FC1DE7">
      <w:pPr>
        <w:keepNext/>
        <w:keepLines/>
        <w:spacing w:after="60"/>
        <w:rPr>
          <w:lang w:val="de-DE"/>
        </w:rPr>
      </w:pPr>
      <w:r w:rsidRPr="00BB5519">
        <w:rPr>
          <w:b/>
          <w:szCs w:val="18"/>
          <w:lang w:val="de-DE"/>
        </w:rPr>
        <w:lastRenderedPageBreak/>
        <w:t>Gewährleistungen, Ausschlüsse und Haftungsbeschränkung</w:t>
      </w:r>
    </w:p>
    <w:p w:rsidR="00DD7F8E" w:rsidRPr="00BB5519" w:rsidRDefault="00DD7F8E" w:rsidP="00CA52FE">
      <w:pPr>
        <w:ind w:left="360"/>
        <w:rPr>
          <w:lang w:val="de-DE"/>
        </w:rPr>
      </w:pPr>
      <w:r w:rsidRPr="00BB5519">
        <w:rPr>
          <w:rFonts w:cs="Tahoma"/>
          <w:b/>
          <w:color w:val="000000"/>
          <w:szCs w:val="18"/>
          <w:lang w:val="de-DE"/>
        </w:rPr>
        <w:t>Gewährleistung für Services</w:t>
      </w:r>
      <w:r w:rsidRPr="009E022C">
        <w:rPr>
          <w:rFonts w:cs="Tahoma"/>
          <w:b/>
          <w:bCs/>
          <w:color w:val="000000"/>
          <w:szCs w:val="18"/>
          <w:lang w:val="de-DE"/>
        </w:rPr>
        <w:t>.</w:t>
      </w:r>
      <w:r w:rsidR="009E4976" w:rsidRPr="00BB5519">
        <w:rPr>
          <w:rFonts w:cs="Tahoma"/>
          <w:color w:val="000000"/>
          <w:szCs w:val="18"/>
          <w:lang w:val="de-DE"/>
        </w:rPr>
        <w:t xml:space="preserve"> </w:t>
      </w:r>
      <w:r w:rsidRPr="00BB5519">
        <w:rPr>
          <w:rFonts w:cs="Tahoma"/>
          <w:color w:val="000000"/>
          <w:szCs w:val="18"/>
          <w:lang w:val="de-DE"/>
        </w:rPr>
        <w:t>Microsoft gewährleistet, dass alle Services mit professioneller Sorgfalt und Kenntnis erbracht werden.</w:t>
      </w:r>
    </w:p>
    <w:p w:rsidR="00DD7F8E" w:rsidRPr="00BB5519" w:rsidRDefault="00DD7F8E" w:rsidP="00CA52FE">
      <w:pPr>
        <w:ind w:left="360"/>
        <w:rPr>
          <w:lang w:val="de-DE"/>
        </w:rPr>
      </w:pPr>
    </w:p>
    <w:p w:rsidR="00DD7F8E" w:rsidRPr="00BB5519" w:rsidRDefault="00DD7F8E" w:rsidP="00CA52FE">
      <w:pPr>
        <w:ind w:left="360"/>
        <w:rPr>
          <w:lang w:val="de-DE"/>
        </w:rPr>
      </w:pPr>
      <w:r w:rsidRPr="00BB5519">
        <w:rPr>
          <w:b/>
          <w:szCs w:val="18"/>
          <w:lang w:val="de-DE"/>
        </w:rPr>
        <w:t>KEINE ANDEREN GARANTIEN</w:t>
      </w:r>
      <w:r w:rsidRPr="00D958B9">
        <w:rPr>
          <w:b/>
          <w:iCs/>
          <w:szCs w:val="18"/>
          <w:lang w:val="de-DE"/>
        </w:rPr>
        <w:t>.</w:t>
      </w:r>
      <w:r w:rsidR="009E4976" w:rsidRPr="00BB5519">
        <w:rPr>
          <w:szCs w:val="18"/>
          <w:lang w:val="de-DE"/>
        </w:rPr>
        <w:t xml:space="preserve"> </w:t>
      </w:r>
      <w:r w:rsidRPr="00BB5519">
        <w:rPr>
          <w:szCs w:val="18"/>
          <w:lang w:val="de-DE"/>
        </w:rPr>
        <w:t>IM DURCH DAS ANWENDBARE GESETZ ZUGELASSENEN UMFANG SCHLIESS MICROSOFT ALLE ZUSICHERUNGEN, GARANTIEN UND GEWÄHRLEISTUNGEN, OB AUSDRÜCKLICHE, KONKLUDENTE ODER GESETZLICHE, MIT AUSNAHME DER IN DIESEM VERTRAG AUSDRÜCKLICH GENANNTEN AUS.</w:t>
      </w:r>
      <w:r w:rsidR="009E4976" w:rsidRPr="00BB5519">
        <w:rPr>
          <w:szCs w:val="18"/>
          <w:lang w:val="de-DE"/>
        </w:rPr>
        <w:t xml:space="preserve"> </w:t>
      </w:r>
      <w:r w:rsidRPr="00BB5519">
        <w:rPr>
          <w:szCs w:val="18"/>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9E4976" w:rsidRPr="00BB5519">
        <w:rPr>
          <w:szCs w:val="18"/>
          <w:lang w:val="de-DE"/>
        </w:rPr>
        <w:t xml:space="preserve"> </w:t>
      </w:r>
    </w:p>
    <w:p w:rsidR="00DD7F8E" w:rsidRPr="00BB5519" w:rsidRDefault="00DD7F8E" w:rsidP="00CA52FE">
      <w:pPr>
        <w:ind w:left="360"/>
        <w:rPr>
          <w:lang w:val="de-DE"/>
        </w:rPr>
      </w:pPr>
    </w:p>
    <w:p w:rsidR="00DD7F8E" w:rsidRPr="00BB5519" w:rsidRDefault="00DD7F8E" w:rsidP="00CA52FE">
      <w:pPr>
        <w:ind w:left="360"/>
        <w:rPr>
          <w:lang w:val="de-DE"/>
        </w:rPr>
      </w:pPr>
      <w:r w:rsidRPr="00BB5519">
        <w:rPr>
          <w:b/>
          <w:szCs w:val="18"/>
          <w:lang w:val="de-DE"/>
        </w:rPr>
        <w:t>Haftungsbeschränkung</w:t>
      </w:r>
      <w:r w:rsidRPr="009E022C">
        <w:rPr>
          <w:b/>
          <w:bCs/>
          <w:szCs w:val="18"/>
          <w:lang w:val="de-DE"/>
        </w:rPr>
        <w:t>.</w:t>
      </w:r>
      <w:r w:rsidR="009E4976" w:rsidRPr="00BB5519">
        <w:rPr>
          <w:szCs w:val="18"/>
          <w:lang w:val="de-DE"/>
        </w:rPr>
        <w:t xml:space="preserve"> </w:t>
      </w:r>
      <w:r w:rsidRPr="00BB5519">
        <w:rPr>
          <w:szCs w:val="18"/>
          <w:lang w:val="de-DE"/>
        </w:rPr>
        <w:t>Die Haftung von Microsoft für direkte Schäden ist im größtmöglichen durch das anwendbare Recht zugelassenen Umfang auf die Beträge begrenzt, die der Kunde in den 12 Monaten vor dem Anspruch für die Services, die Grund für den Anspruch sind, gezahlt hat.</w:t>
      </w:r>
      <w:r w:rsidR="009E4976" w:rsidRPr="00BB5519">
        <w:rPr>
          <w:szCs w:val="18"/>
          <w:lang w:val="de-DE"/>
        </w:rPr>
        <w:t xml:space="preserve"> </w:t>
      </w:r>
    </w:p>
    <w:p w:rsidR="00DD7F8E" w:rsidRPr="00BB5519" w:rsidRDefault="00DD7F8E" w:rsidP="00CA52FE">
      <w:pPr>
        <w:ind w:left="360"/>
        <w:rPr>
          <w:lang w:val="de-DE"/>
        </w:rPr>
      </w:pPr>
    </w:p>
    <w:p w:rsidR="00DD7F8E" w:rsidRPr="00BB5519" w:rsidRDefault="00DD7F8E" w:rsidP="009E022C">
      <w:pPr>
        <w:ind w:left="360"/>
        <w:rPr>
          <w:lang w:val="de-DE"/>
        </w:rPr>
      </w:pPr>
      <w:r w:rsidRPr="00BB5519">
        <w:rPr>
          <w:b/>
          <w:szCs w:val="18"/>
          <w:lang w:val="de-DE"/>
        </w:rPr>
        <w:t>KEINE HAFTUNG FÜR BESTIMMTE SCHADENERSATZANSPRÜCHE</w:t>
      </w:r>
      <w:r w:rsidRPr="009E022C">
        <w:rPr>
          <w:b/>
          <w:bCs/>
          <w:szCs w:val="18"/>
          <w:lang w:val="de-DE"/>
        </w:rPr>
        <w:t>.</w:t>
      </w:r>
      <w:r w:rsidR="009E4976" w:rsidRPr="00BB5519">
        <w:rPr>
          <w:szCs w:val="18"/>
          <w:lang w:val="de-DE"/>
        </w:rPr>
        <w:t xml:space="preserve"> </w:t>
      </w:r>
      <w:r w:rsidRPr="00BB5519">
        <w:rPr>
          <w:szCs w:val="18"/>
          <w:lang w:val="de-DE"/>
        </w:rPr>
        <w:t>IM GRÖSSTMÖGLICHEN DURCH DAS</w:t>
      </w:r>
      <w:r w:rsidR="009E022C">
        <w:rPr>
          <w:szCs w:val="18"/>
          <w:lang w:val="de-DE"/>
        </w:rPr>
        <w:t> </w:t>
      </w:r>
      <w:r w:rsidRPr="00BB5519">
        <w:rPr>
          <w:szCs w:val="18"/>
          <w:lang w:val="de-DE"/>
        </w:rPr>
        <w:t>ANWENDBARE RECHT ZUGELASSENEN UMFANG IST KEINE PARTEI, KEINES IHRER VERBUNDENEN UNTERNEHMEN, KEINER IHRER LIEFERANTEN UND KEINER IHRER VERTRAGSPARTNER HAFTBAR FÜR INDIREKTE SCHÄDEN (EINSCHLIESSLICH OHNE EINSCHRÄNKUNG FOLGESCHÄDEN, SPEZIELLE ODER ZUFÄLLIGE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9E4976" w:rsidRPr="00BB5519">
        <w:rPr>
          <w:szCs w:val="18"/>
          <w:lang w:val="de-DE"/>
        </w:rPr>
        <w:t xml:space="preserve"> </w:t>
      </w:r>
      <w:r w:rsidRPr="00BB5519">
        <w:rPr>
          <w:szCs w:val="18"/>
          <w:lang w:val="de-DE"/>
        </w:rPr>
        <w:t>DIESER HAFTUNGSAUSSCHLUSS GILT NICHT FÜR DIE GEGENSEITIGE HAFTUNG BEIDER PARTEIEN FÜR VERLETZUNGEN VON VERTRAULICHKEITSVERPFLICHTUNGEN ODER VON URHEBERRECHTEN/GEWERBLICHEN SCHUTZRECHTEN DER JEWEILS ANDEREN PARTEI.</w:t>
      </w:r>
    </w:p>
    <w:p w:rsidR="00DD7F8E" w:rsidRPr="00BB5519" w:rsidRDefault="00DD7F8E" w:rsidP="00CA52FE">
      <w:pPr>
        <w:ind w:left="360" w:hanging="360"/>
        <w:jc w:val="both"/>
        <w:rPr>
          <w:lang w:val="de-DE"/>
        </w:rPr>
      </w:pPr>
    </w:p>
    <w:p w:rsidR="00DD7F8E" w:rsidRPr="00BB5519" w:rsidRDefault="00DD7F8E" w:rsidP="009E022C">
      <w:pPr>
        <w:ind w:left="360"/>
        <w:rPr>
          <w:lang w:val="de-DE"/>
        </w:rPr>
      </w:pPr>
      <w:r w:rsidRPr="00BB5519">
        <w:rPr>
          <w:b/>
          <w:szCs w:val="18"/>
          <w:lang w:val="de-DE"/>
        </w:rPr>
        <w:t>Anwendung</w:t>
      </w:r>
      <w:r w:rsidRPr="009E022C">
        <w:rPr>
          <w:b/>
          <w:bCs/>
          <w:szCs w:val="18"/>
          <w:lang w:val="de-DE"/>
        </w:rPr>
        <w:t>.</w:t>
      </w:r>
      <w:r w:rsidR="009E4976" w:rsidRPr="00BB5519">
        <w:rPr>
          <w:szCs w:val="18"/>
          <w:lang w:val="de-DE"/>
        </w:rPr>
        <w:t xml:space="preserve"> </w:t>
      </w:r>
      <w:r w:rsidRPr="00BB5519">
        <w:rPr>
          <w:szCs w:val="18"/>
          <w:lang w:val="de-DE"/>
        </w:rP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w:t>
      </w:r>
      <w:r w:rsidR="009E022C">
        <w:rPr>
          <w:szCs w:val="18"/>
          <w:lang w:val="de-DE"/>
        </w:rPr>
        <w:t> </w:t>
      </w:r>
      <w:r w:rsidRPr="00BB5519">
        <w:rPr>
          <w:szCs w:val="18"/>
          <w:lang w:val="de-DE"/>
        </w:rPr>
        <w:t>Verletzung von Gewährleistungen oder auf einem anderen Rechtsgrund beruht.</w:t>
      </w:r>
    </w:p>
    <w:p w:rsidR="00023FE7" w:rsidRPr="00BB5519" w:rsidRDefault="00023FE7">
      <w:pPr>
        <w:tabs>
          <w:tab w:val="left" w:pos="2936"/>
        </w:tabs>
        <w:rPr>
          <w:lang w:val="de-DE"/>
        </w:rPr>
      </w:pPr>
    </w:p>
    <w:p w:rsidR="00023FE7" w:rsidRPr="00BB5519" w:rsidRDefault="00023FE7">
      <w:pPr>
        <w:rPr>
          <w:lang w:val="de-DE"/>
        </w:rPr>
      </w:pPr>
      <w:r w:rsidRPr="00BB5519">
        <w:rPr>
          <w:lang w:val="de-DE"/>
        </w:rPr>
        <w:br w:type="page"/>
      </w:r>
    </w:p>
    <w:p w:rsidR="008A1637" w:rsidRPr="00EC2A0D" w:rsidRDefault="008A1637" w:rsidP="00B0065F">
      <w:pPr>
        <w:pStyle w:val="Heading1"/>
        <w:rPr>
          <w:lang w:val="de-DE"/>
        </w:rPr>
      </w:pPr>
      <w:bookmarkStart w:id="991" w:name="_Toc336338249"/>
      <w:bookmarkStart w:id="992" w:name="_Toc354054946"/>
      <w:r w:rsidRPr="00EC2A0D">
        <w:rPr>
          <w:lang w:val="de-DE"/>
        </w:rPr>
        <w:lastRenderedPageBreak/>
        <w:t>ABSCHNITT 9 – Zusätzliche Bestimmungen</w:t>
      </w:r>
      <w:bookmarkEnd w:id="991"/>
      <w:bookmarkEnd w:id="992"/>
    </w:p>
    <w:p w:rsidR="009E022C" w:rsidRPr="00D15040" w:rsidRDefault="009E022C" w:rsidP="009E022C">
      <w:pPr>
        <w:pStyle w:val="Heading1"/>
        <w:rPr>
          <w:sz w:val="18"/>
          <w:lang w:val="de-DE"/>
        </w:rPr>
      </w:pPr>
      <w:bookmarkStart w:id="993" w:name="_Toc323159781"/>
      <w:bookmarkStart w:id="994" w:name="_Toc336338250"/>
    </w:p>
    <w:p w:rsidR="008A1637" w:rsidRPr="00EC2A0D" w:rsidRDefault="008A1637" w:rsidP="009E022C">
      <w:pPr>
        <w:pStyle w:val="Heading3"/>
        <w:ind w:right="720"/>
        <w:rPr>
          <w:rFonts w:ascii="Tahoma" w:eastAsia="Times New Roman" w:hAnsi="Tahoma" w:cs="Tahoma"/>
          <w:color w:val="000000"/>
          <w:sz w:val="24"/>
          <w:szCs w:val="22"/>
          <w:lang w:val="de-DE"/>
        </w:rPr>
      </w:pPr>
      <w:bookmarkStart w:id="995" w:name="_Toc354054947"/>
      <w:r w:rsidRPr="00EC2A0D">
        <w:rPr>
          <w:rFonts w:ascii="Tahoma" w:eastAsia="Times New Roman" w:hAnsi="Tahoma" w:cs="Tahoma"/>
          <w:color w:val="000000"/>
          <w:sz w:val="24"/>
          <w:szCs w:val="22"/>
          <w:lang w:val="de-DE"/>
        </w:rPr>
        <w:t>Client-Zugriffslizenzen (Client Access Licenses, CALs) und Client-Management-Lizenzen (MLs)</w:t>
      </w:r>
      <w:bookmarkEnd w:id="993"/>
      <w:bookmarkEnd w:id="994"/>
      <w:bookmarkEnd w:id="995"/>
    </w:p>
    <w:p w:rsidR="008A1637" w:rsidRPr="00D15040" w:rsidRDefault="008A1637" w:rsidP="008A1637">
      <w:pPr>
        <w:pStyle w:val="AppendixFlushBulletedList"/>
        <w:tabs>
          <w:tab w:val="clear" w:pos="360"/>
        </w:tabs>
        <w:ind w:left="720" w:right="720" w:firstLine="0"/>
        <w:rPr>
          <w:lang w:val="de-DE"/>
        </w:rPr>
      </w:pPr>
    </w:p>
    <w:p w:rsidR="008A1637" w:rsidRPr="00BB5519" w:rsidRDefault="008A1637" w:rsidP="002C1048">
      <w:pPr>
        <w:pStyle w:val="AppendixFlushBulletedList"/>
        <w:numPr>
          <w:ilvl w:val="0"/>
          <w:numId w:val="97"/>
        </w:numPr>
        <w:ind w:left="1440" w:right="720"/>
        <w:rPr>
          <w:lang w:val="de-DE"/>
        </w:rPr>
      </w:pPr>
      <w:r w:rsidRPr="00BB5519">
        <w:rPr>
          <w:rFonts w:ascii="Tahoma" w:hAnsi="Tahoma" w:cs="Tahoma"/>
          <w:b/>
          <w:bCs/>
          <w:color w:val="000000"/>
          <w:sz w:val="18"/>
          <w:szCs w:val="18"/>
          <w:lang w:val="de-DE"/>
        </w:rPr>
        <w:t>Wechsel zwischen Nutzer- und Geräte-CALs</w:t>
      </w:r>
    </w:p>
    <w:p w:rsidR="008A1637" w:rsidRPr="00BB5519" w:rsidRDefault="008A1637" w:rsidP="0054332C">
      <w:pPr>
        <w:pStyle w:val="AppendixBodyText"/>
        <w:numPr>
          <w:ilvl w:val="0"/>
          <w:numId w:val="98"/>
        </w:numPr>
        <w:spacing w:afterLines="60" w:after="144"/>
        <w:ind w:left="1800" w:right="180"/>
        <w:rPr>
          <w:lang w:val="de-DE"/>
        </w:rPr>
      </w:pPr>
      <w:r w:rsidRPr="00BB5519">
        <w:rPr>
          <w:rFonts w:ascii="Tahoma" w:hAnsi="Tahoma" w:cs="Tahoma"/>
          <w:color w:val="000000"/>
          <w:sz w:val="18"/>
          <w:szCs w:val="18"/>
          <w:lang w:val="de-DE"/>
        </w:rPr>
        <w:t>Kunden mit aktueller Software Assurance für CALs können bei Verlängerung von Software Assurance zwischen Nutzer und Gerät wechseln.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Durch diesen Wechsel ändert sich die CAL-Edition (also Standard zu Enterprise) nicht. Weitere Informationen finden Sie in den Produkthinweisen für die jeweiligen Produkte</w:t>
      </w:r>
      <w:r w:rsidR="0020404F">
        <w:rPr>
          <w:rFonts w:ascii="Tahoma" w:hAnsi="Tahoma" w:cs="Tahoma"/>
          <w:color w:val="000000"/>
          <w:sz w:val="18"/>
          <w:szCs w:val="18"/>
          <w:lang w:val="de-DE"/>
        </w:rPr>
        <w:t>.</w:t>
      </w:r>
      <w:r w:rsidRPr="00BB5519">
        <w:rPr>
          <w:rFonts w:ascii="Tahoma" w:hAnsi="Tahoma" w:cs="Tahoma"/>
          <w:color w:val="000000"/>
          <w:sz w:val="18"/>
          <w:szCs w:val="18"/>
          <w:lang w:val="de-DE"/>
        </w:rPr>
        <w:t xml:space="preserve"> </w:t>
      </w:r>
    </w:p>
    <w:p w:rsidR="008A1637" w:rsidRPr="00BB5519" w:rsidRDefault="008A1637" w:rsidP="002C1048">
      <w:pPr>
        <w:pStyle w:val="AppendixFlushBulletedList"/>
        <w:numPr>
          <w:ilvl w:val="0"/>
          <w:numId w:val="97"/>
        </w:numPr>
        <w:ind w:left="1440" w:right="720"/>
        <w:rPr>
          <w:lang w:val="de-DE"/>
        </w:rPr>
      </w:pPr>
      <w:r w:rsidRPr="00BB5519">
        <w:rPr>
          <w:rFonts w:ascii="Tahoma" w:hAnsi="Tahoma" w:cs="Tahoma"/>
          <w:b/>
          <w:bCs/>
          <w:color w:val="000000"/>
          <w:sz w:val="18"/>
          <w:szCs w:val="18"/>
          <w:lang w:val="de-DE"/>
        </w:rPr>
        <w:t>Wechsel zwischen Nutzer- und OSE-Client-MLs</w:t>
      </w:r>
    </w:p>
    <w:p w:rsidR="008A1637" w:rsidRPr="00BB5519" w:rsidRDefault="008A1637" w:rsidP="005B6712">
      <w:pPr>
        <w:pStyle w:val="AppendixBodyText"/>
        <w:numPr>
          <w:ilvl w:val="0"/>
          <w:numId w:val="98"/>
        </w:numPr>
        <w:spacing w:afterLines="60" w:after="144"/>
        <w:ind w:left="1800" w:right="720"/>
        <w:rPr>
          <w:lang w:val="de-DE"/>
        </w:rPr>
      </w:pPr>
      <w:r w:rsidRPr="00BB5519">
        <w:rPr>
          <w:rFonts w:ascii="Tahoma" w:hAnsi="Tahoma" w:cs="Tahoma"/>
          <w:color w:val="000000"/>
          <w:sz w:val="18"/>
          <w:szCs w:val="18"/>
          <w:lang w:val="de-DE"/>
        </w:rPr>
        <w:t xml:space="preserve">Kunden mit aktueller Software Assurance für Client-MLs können bei Verlängerung von Software Assurance zwischen Nutzer und OSE wechseln. Weitere Einzelheiten finden Sie in den Produkthinweisen für die jeweiligen Produkte. </w:t>
      </w:r>
    </w:p>
    <w:p w:rsidR="008A1637" w:rsidRPr="00BB5519" w:rsidRDefault="008A1637" w:rsidP="002C1048">
      <w:pPr>
        <w:pStyle w:val="AppendixFlushBulletedList"/>
        <w:numPr>
          <w:ilvl w:val="0"/>
          <w:numId w:val="97"/>
        </w:numPr>
        <w:ind w:left="1440" w:right="720"/>
      </w:pPr>
      <w:r w:rsidRPr="00BB5519">
        <w:rPr>
          <w:rFonts w:ascii="Tahoma" w:hAnsi="Tahoma" w:cs="Tahoma"/>
          <w:b/>
          <w:bCs/>
          <w:color w:val="000000"/>
          <w:sz w:val="18"/>
          <w:szCs w:val="18"/>
        </w:rPr>
        <w:t>Bei Verlängerung</w:t>
      </w:r>
    </w:p>
    <w:p w:rsidR="008A1637" w:rsidRPr="00BB5519" w:rsidRDefault="008A1637" w:rsidP="0054332C">
      <w:pPr>
        <w:pStyle w:val="AppendixBodyText"/>
        <w:numPr>
          <w:ilvl w:val="0"/>
          <w:numId w:val="98"/>
        </w:numPr>
        <w:spacing w:afterLines="60" w:after="144"/>
        <w:ind w:left="1800" w:right="180"/>
        <w:rPr>
          <w:lang w:val="de-DE"/>
        </w:rPr>
      </w:pPr>
      <w:r w:rsidRPr="00BB5519">
        <w:rPr>
          <w:rFonts w:ascii="Tahoma" w:hAnsi="Tahoma" w:cs="Tahoma"/>
          <w:color w:val="000000"/>
          <w:sz w:val="18"/>
          <w:szCs w:val="18"/>
          <w:lang w:val="de-DE"/>
        </w:rPr>
        <w:t>Wenn sowohl Nutzer- als auch Geräte-CALs verfügbar sind, können Kunden Software Assurance für einen der CAL-Typen verlängern. Die Produktbenutzungsrechte für den CAL-Typ, für den Software Assurance bestellt wird, bestimmen, wie die CALs zugewiesen und genutzt werden können.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Konzernbeitrittskunden, die sich für die Bestellung von Software Assurance für Nutzer-CALs entscheiden, sind berechtigt, CALs basierend auf ihrer Anzahl der</w:t>
      </w:r>
      <w:r w:rsidR="0054332C">
        <w:rPr>
          <w:rFonts w:ascii="Tahoma" w:hAnsi="Tahoma" w:cs="Tahoma"/>
          <w:color w:val="000000"/>
          <w:sz w:val="18"/>
          <w:szCs w:val="18"/>
          <w:lang w:val="de-DE"/>
        </w:rPr>
        <w:t> </w:t>
      </w:r>
      <w:r w:rsidRPr="00BB5519">
        <w:rPr>
          <w:rFonts w:ascii="Tahoma" w:hAnsi="Tahoma" w:cs="Tahoma"/>
          <w:color w:val="000000"/>
          <w:sz w:val="18"/>
          <w:szCs w:val="18"/>
          <w:lang w:val="de-DE"/>
        </w:rPr>
        <w:t>Nutzer zu erwerben.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 xml:space="preserve">Weitere Informationen finden Sie in den Hinweisen für die jeweiligen Produkte. </w:t>
      </w:r>
    </w:p>
    <w:p w:rsidR="008A1637" w:rsidRPr="00BB5519" w:rsidRDefault="008A1637" w:rsidP="002C1048">
      <w:pPr>
        <w:pStyle w:val="AppendixFlushBulletedList"/>
        <w:numPr>
          <w:ilvl w:val="0"/>
          <w:numId w:val="97"/>
        </w:numPr>
        <w:ind w:left="1440" w:right="720"/>
      </w:pPr>
      <w:r w:rsidRPr="00BB5519">
        <w:rPr>
          <w:rFonts w:ascii="Tahoma" w:hAnsi="Tahoma" w:cs="Tahoma"/>
          <w:b/>
          <w:bCs/>
          <w:color w:val="000000"/>
          <w:sz w:val="18"/>
          <w:szCs w:val="18"/>
        </w:rPr>
        <w:t>Überschüssige CALs</w:t>
      </w:r>
    </w:p>
    <w:p w:rsidR="008A1637" w:rsidRPr="00BB5519" w:rsidRDefault="008A1637" w:rsidP="0054332C">
      <w:pPr>
        <w:pStyle w:val="AppendixBodyText"/>
        <w:numPr>
          <w:ilvl w:val="0"/>
          <w:numId w:val="98"/>
        </w:numPr>
        <w:spacing w:afterLines="60" w:after="144"/>
        <w:ind w:left="1800" w:right="450"/>
        <w:rPr>
          <w:lang w:val="de-DE"/>
        </w:rPr>
      </w:pPr>
      <w:r w:rsidRPr="00BB5519">
        <w:rPr>
          <w:rFonts w:ascii="Tahoma" w:hAnsi="Tahoma" w:cs="Tahoma"/>
          <w:color w:val="000000"/>
          <w:sz w:val="18"/>
          <w:szCs w:val="18"/>
          <w:lang w:val="de-DE"/>
        </w:rPr>
        <w:t>Der wie oben beschrieben zulässige Wechsel zwischen Nutzer- und Geräte-CALs kann zu</w:t>
      </w:r>
      <w:r w:rsidR="0054332C">
        <w:rPr>
          <w:rFonts w:ascii="Tahoma" w:hAnsi="Tahoma" w:cs="Tahoma"/>
          <w:color w:val="000000"/>
          <w:sz w:val="18"/>
          <w:szCs w:val="18"/>
          <w:lang w:val="de-DE"/>
        </w:rPr>
        <w:t> </w:t>
      </w:r>
      <w:r w:rsidRPr="00BB5519">
        <w:rPr>
          <w:rFonts w:ascii="Tahoma" w:hAnsi="Tahoma" w:cs="Tahoma"/>
          <w:color w:val="000000"/>
          <w:sz w:val="18"/>
          <w:szCs w:val="18"/>
          <w:lang w:val="de-DE"/>
        </w:rPr>
        <w:t xml:space="preserve">überschüssigen CALs führen. Kunden können überschüssige CALs mit zunehmender Anzahl von Nutzern oder Geräten neu zuweisen. Zum Verlängerungszeitpunkt können Kunden sich dafür entscheiden, Software Assurance für überschüssige CALs beizubehalten. Kunden können Software Assurance für überschüssige CALs, deren Software Assurance abgelaufen ist, nicht zu einem späteren Zeitpunkt verlängern. </w:t>
      </w:r>
    </w:p>
    <w:p w:rsidR="008A1637" w:rsidRPr="00BB5519" w:rsidRDefault="008A1637" w:rsidP="002C1048">
      <w:pPr>
        <w:pStyle w:val="AppendixFlushBulletedList"/>
        <w:numPr>
          <w:ilvl w:val="0"/>
          <w:numId w:val="97"/>
        </w:numPr>
        <w:ind w:left="1440" w:right="720"/>
      </w:pPr>
      <w:r w:rsidRPr="00BB5519">
        <w:rPr>
          <w:rFonts w:ascii="Tahoma" w:hAnsi="Tahoma" w:cs="Tahoma"/>
          <w:b/>
          <w:bCs/>
          <w:color w:val="000000"/>
          <w:sz w:val="18"/>
          <w:szCs w:val="18"/>
        </w:rPr>
        <w:t>Überschüssige MLs</w:t>
      </w:r>
    </w:p>
    <w:p w:rsidR="008A1637" w:rsidRPr="00BB5519" w:rsidRDefault="008A1637" w:rsidP="0054332C">
      <w:pPr>
        <w:pStyle w:val="AppendixBodyText"/>
        <w:numPr>
          <w:ilvl w:val="0"/>
          <w:numId w:val="98"/>
        </w:numPr>
        <w:spacing w:afterLines="60" w:after="144"/>
        <w:ind w:left="1800" w:right="450"/>
        <w:rPr>
          <w:lang w:val="de-DE"/>
        </w:rPr>
      </w:pPr>
      <w:r w:rsidRPr="00BB5519">
        <w:rPr>
          <w:rFonts w:ascii="Tahoma" w:hAnsi="Tahoma" w:cs="Tahoma"/>
          <w:color w:val="000000"/>
          <w:sz w:val="18"/>
          <w:szCs w:val="18"/>
          <w:lang w:val="de-DE"/>
        </w:rPr>
        <w:t xml:space="preserve">Der wie oben beschrieben zulässige Wechsel zwischen Nutzer- und OSE-Client-MLs kann zu überschüssigen MLs führen. Kunden können überschüssige MLs mit zunehmender Anzahl von Nutzern oder verwalteten OSEs neu zuweisen. Zum Verlängerungszeitpunkt können Kunden sich dafür entscheiden, Software Assurance für überschüssige MLs beizubehalten. Kunden können Software Assurance für überschüssige MLs, deren Software Assurance abgelaufen ist, nicht zu einem späteren Zeitpunkt verlängern. </w:t>
      </w:r>
    </w:p>
    <w:p w:rsidR="008A1637" w:rsidRPr="00BB5519" w:rsidRDefault="008A1637" w:rsidP="002C1048">
      <w:pPr>
        <w:pStyle w:val="AppendixFlushBulletedList"/>
        <w:numPr>
          <w:ilvl w:val="0"/>
          <w:numId w:val="97"/>
        </w:numPr>
        <w:ind w:left="1440" w:right="720"/>
      </w:pPr>
      <w:r w:rsidRPr="00BB5519">
        <w:rPr>
          <w:rFonts w:ascii="Tahoma" w:hAnsi="Tahoma" w:cs="Tahoma"/>
          <w:b/>
          <w:bCs/>
          <w:color w:val="000000"/>
          <w:sz w:val="18"/>
          <w:szCs w:val="18"/>
        </w:rPr>
        <w:t>Nachweis für Lizenzen</w:t>
      </w:r>
    </w:p>
    <w:p w:rsidR="007022C1" w:rsidRPr="00BB5519" w:rsidRDefault="008A1637" w:rsidP="0054332C">
      <w:pPr>
        <w:pStyle w:val="AppendixBodyText"/>
        <w:numPr>
          <w:ilvl w:val="0"/>
          <w:numId w:val="98"/>
        </w:numPr>
        <w:spacing w:after="0"/>
        <w:ind w:left="1800" w:right="180"/>
        <w:rPr>
          <w:lang w:val="de-DE"/>
        </w:rPr>
      </w:pPr>
      <w:r w:rsidRPr="00BB5519">
        <w:rPr>
          <w:rFonts w:ascii="Tahoma" w:hAnsi="Tahoma" w:cs="Tahoma"/>
          <w:color w:val="000000"/>
          <w:sz w:val="18"/>
          <w:szCs w:val="18"/>
          <w:lang w:val="de-DE"/>
        </w:rPr>
        <w:t>Das Recht, zu Nutzer-CALs zu migrieren und diese zu nutzen, wird durch diese Produktliste, die Software Assurance-Unterlagen des Kunden und die zugrunde liegenden CALs belegt. Das Recht, zu Nutzer-MLs zu migrieren und diese zu nutzen, wird durch diese Produktliste, die Software Assurance-Unterlagen des Kunden und die zugrunde liegenden MLs belegt.</w:t>
      </w:r>
    </w:p>
    <w:p w:rsidR="007022C1" w:rsidRPr="00BB5519" w:rsidRDefault="007022C1" w:rsidP="00944EE1">
      <w:pPr>
        <w:pStyle w:val="AppendixBodyText"/>
        <w:spacing w:after="0"/>
        <w:ind w:right="720"/>
        <w:rPr>
          <w:lang w:val="de-DE"/>
        </w:rPr>
      </w:pPr>
    </w:p>
    <w:p w:rsidR="008A1637" w:rsidRPr="00D15040" w:rsidRDefault="008A1637" w:rsidP="0054332C">
      <w:pPr>
        <w:pStyle w:val="Heading3"/>
        <w:ind w:right="720"/>
        <w:rPr>
          <w:rFonts w:ascii="Tahoma" w:hAnsi="Tahoma" w:cs="Tahoma"/>
          <w:sz w:val="24"/>
          <w:szCs w:val="22"/>
          <w:lang w:val="de-DE"/>
        </w:rPr>
      </w:pPr>
      <w:bookmarkStart w:id="996" w:name="_Toc323159782"/>
      <w:bookmarkStart w:id="997" w:name="_Toc336338251"/>
      <w:bookmarkStart w:id="998" w:name="_Toc354054948"/>
      <w:r w:rsidRPr="00EC2A0D">
        <w:rPr>
          <w:rFonts w:ascii="Tahoma" w:hAnsi="Tahoma" w:cs="Tahoma"/>
          <w:sz w:val="24"/>
          <w:szCs w:val="22"/>
          <w:lang w:val="de-DE"/>
        </w:rPr>
        <w:t xml:space="preserve">Beschränkungen durch </w:t>
      </w:r>
      <w:r w:rsidR="0054332C" w:rsidRPr="00D15040">
        <w:rPr>
          <w:rFonts w:ascii="Tahoma" w:hAnsi="Tahoma" w:cs="Tahoma"/>
          <w:sz w:val="24"/>
          <w:szCs w:val="22"/>
          <w:lang w:val="de-DE"/>
        </w:rPr>
        <w:t>„</w:t>
      </w:r>
      <w:r w:rsidRPr="00EC2A0D">
        <w:rPr>
          <w:rFonts w:ascii="Tahoma" w:hAnsi="Tahoma" w:cs="Tahoma"/>
          <w:sz w:val="24"/>
          <w:szCs w:val="22"/>
          <w:lang w:val="de-DE"/>
        </w:rPr>
        <w:t>EI Controls</w:t>
      </w:r>
      <w:bookmarkEnd w:id="996"/>
      <w:bookmarkEnd w:id="997"/>
      <w:r w:rsidR="0054332C" w:rsidRPr="00D15040">
        <w:rPr>
          <w:rFonts w:ascii="Tahoma" w:hAnsi="Tahoma" w:cs="Tahoma"/>
          <w:sz w:val="24"/>
          <w:szCs w:val="22"/>
          <w:lang w:val="de-DE"/>
        </w:rPr>
        <w:t>“</w:t>
      </w:r>
      <w:bookmarkEnd w:id="998"/>
    </w:p>
    <w:p w:rsidR="008A1637" w:rsidRPr="00BB5519" w:rsidRDefault="008A1637" w:rsidP="008A1637">
      <w:pPr>
        <w:ind w:right="720"/>
        <w:rPr>
          <w:lang w:val="de-DE"/>
        </w:rPr>
      </w:pPr>
    </w:p>
    <w:p w:rsidR="008A1637" w:rsidRPr="00BB5519" w:rsidRDefault="008A1637" w:rsidP="0054332C">
      <w:pPr>
        <w:pStyle w:val="AppendixBodyText"/>
        <w:ind w:right="360"/>
        <w:rPr>
          <w:lang w:val="de-DE"/>
        </w:rPr>
      </w:pPr>
      <w:r w:rsidRPr="00BB5519">
        <w:rPr>
          <w:rFonts w:ascii="Tahoma" w:hAnsi="Tahoma" w:cs="Tahoma"/>
          <w:sz w:val="18"/>
          <w:lang w:val="de-DE"/>
        </w:rPr>
        <w:t xml:space="preserve">Die Ausfuhr bestimmter Microsoft-Produkte aus den Vereinigten Staaten wird durch den Abschnitt „EI Controls“ der Export Administration Regulations (EAR, 15 CFR 730-744) des US-Handelsministeriums, Bureau of Export Administration (BXA), geregelt. Weitere Informationen erhalten Sie unter: </w:t>
      </w:r>
      <w:hyperlink r:id="rId36" w:history="1">
        <w:r w:rsidRPr="00BB5519">
          <w:rPr>
            <w:rStyle w:val="Hyperlink"/>
            <w:rFonts w:ascii="Tahoma" w:hAnsi="Tahoma" w:cs="Tahoma"/>
            <w:sz w:val="18"/>
            <w:lang w:val="de-DE"/>
          </w:rPr>
          <w:t>www.microsoft.com/products/exporting/basics.htm</w:t>
        </w:r>
      </w:hyperlink>
    </w:p>
    <w:p w:rsidR="008A1637" w:rsidRPr="00BB5519" w:rsidRDefault="008A1637" w:rsidP="008A1637">
      <w:pPr>
        <w:rPr>
          <w:lang w:val="de-DE"/>
        </w:rPr>
      </w:pPr>
    </w:p>
    <w:p w:rsidR="008A1637" w:rsidRPr="00EC2A0D" w:rsidRDefault="008A1637" w:rsidP="0054332C">
      <w:pPr>
        <w:pStyle w:val="Heading3"/>
        <w:keepNext/>
        <w:keepLines/>
        <w:spacing w:after="60"/>
        <w:ind w:right="720"/>
        <w:rPr>
          <w:rFonts w:ascii="Tahoma" w:hAnsi="Tahoma" w:cs="Tahoma"/>
          <w:bCs/>
          <w:lang w:val="de-DE"/>
        </w:rPr>
      </w:pPr>
      <w:bookmarkStart w:id="999" w:name="_Toc323159783"/>
      <w:bookmarkStart w:id="1000" w:name="_Toc336338252"/>
      <w:bookmarkStart w:id="1001" w:name="_Toc354054949"/>
      <w:r w:rsidRPr="00EC2A0D">
        <w:rPr>
          <w:rFonts w:ascii="Tahoma" w:hAnsi="Tahoma" w:cs="Tahoma"/>
          <w:bCs/>
          <w:lang w:val="de-DE"/>
        </w:rPr>
        <w:lastRenderedPageBreak/>
        <w:t>Multi Language Packs (MLPs), mehrsprachige Benutzeroberflächen (Multilanguage User Interface, MUIs) und neue Sprachrechte</w:t>
      </w:r>
      <w:bookmarkEnd w:id="999"/>
      <w:bookmarkEnd w:id="1000"/>
      <w:bookmarkEnd w:id="1001"/>
    </w:p>
    <w:p w:rsidR="008A1637" w:rsidRPr="00BB5519" w:rsidRDefault="008A1637" w:rsidP="0054332C">
      <w:pPr>
        <w:rPr>
          <w:lang w:val="de-DE"/>
        </w:rPr>
      </w:pPr>
      <w:r w:rsidRPr="00BB5519">
        <w:rPr>
          <w:lang w:val="de-DE"/>
        </w:rPr>
        <w:t>Durch MLPs und MUIs können Kunden verschiedene Sprachversionen von lizenzierten Produkten ausführen und zwischen diesen wechseln.</w:t>
      </w:r>
      <w:r w:rsidR="009E4976" w:rsidRPr="00BB5519">
        <w:rPr>
          <w:lang w:val="de-DE"/>
        </w:rPr>
        <w:t xml:space="preserve"> </w:t>
      </w:r>
      <w:r w:rsidRPr="00BB5519">
        <w:rPr>
          <w:lang w:val="de-DE"/>
        </w:rPr>
        <w:t>Das Recht zur Nutzung von MLPs und MUIs hängt von Produkt, Programm und Lizenztyp</w:t>
      </w:r>
      <w:r w:rsidR="0054332C">
        <w:rPr>
          <w:lang w:val="de-DE"/>
        </w:rPr>
        <w:t> </w:t>
      </w:r>
      <w:r w:rsidRPr="00BB5519">
        <w:rPr>
          <w:lang w:val="de-DE"/>
        </w:rPr>
        <w:t>ab.</w:t>
      </w:r>
      <w:r w:rsidR="009E4976" w:rsidRPr="00BB5519">
        <w:rPr>
          <w:lang w:val="de-DE"/>
        </w:rPr>
        <w:t xml:space="preserve"> </w:t>
      </w:r>
    </w:p>
    <w:p w:rsidR="008A1637" w:rsidRPr="0054332C" w:rsidRDefault="008A1637" w:rsidP="008A1637">
      <w:pPr>
        <w:pStyle w:val="Heading3"/>
        <w:ind w:right="720"/>
        <w:rPr>
          <w:rFonts w:ascii="Tahoma" w:hAnsi="Tahoma" w:cs="Tahoma"/>
          <w:sz w:val="18"/>
          <w:szCs w:val="18"/>
          <w:lang w:val="de-DE"/>
        </w:rPr>
      </w:pPr>
    </w:p>
    <w:p w:rsidR="008A1637" w:rsidRPr="00BB5519" w:rsidRDefault="008A1637" w:rsidP="007022C1">
      <w:pPr>
        <w:numPr>
          <w:ilvl w:val="0"/>
          <w:numId w:val="17"/>
        </w:numPr>
        <w:tabs>
          <w:tab w:val="left" w:pos="1440"/>
        </w:tabs>
        <w:spacing w:after="60"/>
        <w:rPr>
          <w:lang w:val="de-DE"/>
        </w:rPr>
      </w:pPr>
      <w:r w:rsidRPr="00BB5519">
        <w:rPr>
          <w:lang w:val="de-DE"/>
        </w:rPr>
        <w:t>Bei den meisten Serverprodukten (z. B. Windows Server) ist die MUI im Basisprodukt enthalten. Kunden, die diese Produkte lizenzieren, dürfen die MUI gemäß den Nutzungsrechten für diese Produkte nutzen.</w:t>
      </w:r>
      <w:r w:rsidR="009E4976" w:rsidRPr="00BB5519">
        <w:rPr>
          <w:lang w:val="de-DE"/>
        </w:rPr>
        <w:t xml:space="preserve"> </w:t>
      </w:r>
    </w:p>
    <w:p w:rsidR="008A1637" w:rsidRPr="00BB5519" w:rsidRDefault="008A1637" w:rsidP="007022C1">
      <w:pPr>
        <w:numPr>
          <w:ilvl w:val="0"/>
          <w:numId w:val="17"/>
        </w:numPr>
        <w:tabs>
          <w:tab w:val="left" w:pos="1440"/>
        </w:tabs>
        <w:spacing w:after="60"/>
        <w:rPr>
          <w:lang w:val="de-DE"/>
        </w:rPr>
      </w:pPr>
      <w:r w:rsidRPr="00BB5519">
        <w:rPr>
          <w:rFonts w:cs="Tahoma"/>
          <w:szCs w:val="18"/>
          <w:lang w:val="de-DE"/>
        </w:rPr>
        <w:t>I</w:t>
      </w:r>
      <w:r w:rsidRPr="00BB5519">
        <w:rPr>
          <w:lang w:val="de-DE"/>
        </w:rPr>
        <w:t xml:space="preserve">m Fall von Office System-Produkten (die keine Server sind) und -Suites haben Kunden mit aktiver Software Assurance für qualifizierende Lizenzen seit dem 1. Oktober 2008 das Recht, das MLP zu nutzen (weitere Details finden Sie in Abschnitt 6). Unter bestimmten Programmen (z. B. Select) stehen MLPs für Office System-Produkte und -Suites weiterhin außerhalb von Software Assurance separat zur Verfügung. </w:t>
      </w:r>
    </w:p>
    <w:p w:rsidR="008A1637" w:rsidRPr="00BB5519" w:rsidRDefault="008A1637" w:rsidP="007022C1">
      <w:pPr>
        <w:numPr>
          <w:ilvl w:val="0"/>
          <w:numId w:val="17"/>
        </w:numPr>
        <w:spacing w:after="60"/>
        <w:rPr>
          <w:lang w:val="de-DE"/>
        </w:rPr>
      </w:pPr>
      <w:r w:rsidRPr="00BB5519">
        <w:rPr>
          <w:lang w:val="de-DE"/>
        </w:rPr>
        <w:t>Im Fall von Windows 8 ist die MUI in Windows 8 Pro enthalten.</w:t>
      </w:r>
      <w:r w:rsidR="009E4976" w:rsidRPr="00BB5519">
        <w:rPr>
          <w:lang w:val="de-DE"/>
        </w:rPr>
        <w:t xml:space="preserve"> </w:t>
      </w:r>
    </w:p>
    <w:p w:rsidR="008A1637" w:rsidRPr="00BB5519" w:rsidRDefault="008A1637" w:rsidP="008A1637">
      <w:pPr>
        <w:rPr>
          <w:lang w:val="de-DE"/>
        </w:rPr>
      </w:pPr>
    </w:p>
    <w:p w:rsidR="008A1637" w:rsidRPr="00BB5519" w:rsidRDefault="008A1637" w:rsidP="008A1637">
      <w:pPr>
        <w:rPr>
          <w:lang w:val="de-DE"/>
        </w:rPr>
      </w:pPr>
      <w:r w:rsidRPr="00BB5519">
        <w:rPr>
          <w:lang w:val="de-DE"/>
        </w:rPr>
        <w:t>Die Sprachversionen, mit denen Kunden MUIs und MLPs nutzen dürfen, hängt dementsprechend von Programm, Produkt und Region ab.</w:t>
      </w:r>
      <w:r w:rsidR="009E4976" w:rsidRPr="00BB5519">
        <w:rPr>
          <w:lang w:val="de-DE"/>
        </w:rPr>
        <w:t xml:space="preserve"> </w:t>
      </w:r>
    </w:p>
    <w:p w:rsidR="008A1637" w:rsidRPr="0054332C" w:rsidRDefault="008A1637" w:rsidP="008A1637">
      <w:pPr>
        <w:pStyle w:val="Heading3"/>
        <w:ind w:right="720"/>
        <w:rPr>
          <w:rFonts w:ascii="Tahoma" w:hAnsi="Tahoma" w:cs="Tahoma"/>
          <w:sz w:val="18"/>
          <w:szCs w:val="18"/>
          <w:lang w:val="de-DE"/>
        </w:rPr>
      </w:pPr>
    </w:p>
    <w:p w:rsidR="008A1637" w:rsidRPr="00BB5519" w:rsidRDefault="008A1637" w:rsidP="0054332C">
      <w:pPr>
        <w:numPr>
          <w:ilvl w:val="0"/>
          <w:numId w:val="18"/>
        </w:numPr>
        <w:tabs>
          <w:tab w:val="clear" w:pos="1080"/>
          <w:tab w:val="num" w:pos="1440"/>
        </w:tabs>
        <w:ind w:left="1440" w:right="-180"/>
        <w:rPr>
          <w:lang w:val="de-DE"/>
        </w:rPr>
      </w:pPr>
      <w:r w:rsidRPr="00BB5519">
        <w:rPr>
          <w:lang w:val="de-DE"/>
        </w:rPr>
        <w:t>Seit dem 1. Oktober 2008 sind Kunden, die das Recht zur Nutzung von MUIs und MLPs unter einem</w:t>
      </w:r>
      <w:r w:rsidR="0054332C">
        <w:rPr>
          <w:lang w:val="de-DE"/>
        </w:rPr>
        <w:t> </w:t>
      </w:r>
      <w:r w:rsidRPr="00BB5519">
        <w:rPr>
          <w:lang w:val="de-DE"/>
        </w:rPr>
        <w:t>Konzernvertrag, Konzern-Abonnement-Vertrag, Open Value-Vertrag (organisationsweite/</w:t>
      </w:r>
      <w:r w:rsidR="0054332C">
        <w:rPr>
          <w:lang w:val="de-DE"/>
        </w:rPr>
        <w:br/>
      </w:r>
      <w:r w:rsidRPr="00BB5519">
        <w:rPr>
          <w:lang w:val="de-DE"/>
        </w:rPr>
        <w:t>unternehmensweite Option) oder Open Value Subscription erwerben, berechtigt, diese Funktionalität</w:t>
      </w:r>
      <w:r w:rsidR="0054332C">
        <w:rPr>
          <w:lang w:val="de-DE"/>
        </w:rPr>
        <w:t> </w:t>
      </w:r>
      <w:r w:rsidRPr="00BB5519">
        <w:rPr>
          <w:lang w:val="de-DE"/>
        </w:rPr>
        <w:t xml:space="preserve">mit lizenzierten </w:t>
      </w:r>
      <w:r w:rsidRPr="0054332C">
        <w:rPr>
          <w:lang w:val="de-DE"/>
        </w:rPr>
        <w:t xml:space="preserve">Produkten </w:t>
      </w:r>
      <w:r w:rsidRPr="004211C8">
        <w:rPr>
          <w:b/>
          <w:bCs/>
          <w:u w:val="single"/>
          <w:lang w:val="de-DE"/>
        </w:rPr>
        <w:t>i</w:t>
      </w:r>
      <w:r w:rsidRPr="00BB5519">
        <w:rPr>
          <w:b/>
          <w:u w:val="single"/>
          <w:lang w:val="de-DE"/>
        </w:rPr>
        <w:t>n allen Sprachversionen zu nutzen</w:t>
      </w:r>
      <w:r w:rsidRPr="0054332C">
        <w:rPr>
          <w:bCs/>
          <w:lang w:val="de-DE"/>
        </w:rPr>
        <w:t xml:space="preserve">, </w:t>
      </w:r>
      <w:r w:rsidRPr="00BB5519">
        <w:rPr>
          <w:lang w:val="de-DE"/>
        </w:rPr>
        <w:t xml:space="preserve">ungeachtet etwaiger Beschränkungen der Nutzung bestimmter Sprachen in diesen Verträgen. </w:t>
      </w:r>
    </w:p>
    <w:p w:rsidR="008A1637" w:rsidRPr="0054332C" w:rsidRDefault="008A1637" w:rsidP="008A1637">
      <w:pPr>
        <w:pStyle w:val="Heading3"/>
        <w:ind w:right="720"/>
        <w:rPr>
          <w:rFonts w:ascii="Tahoma" w:hAnsi="Tahoma" w:cs="Tahoma"/>
          <w:sz w:val="18"/>
          <w:szCs w:val="18"/>
          <w:lang w:val="de-DE"/>
        </w:rPr>
      </w:pPr>
    </w:p>
    <w:p w:rsidR="008A1637" w:rsidRPr="00BB5519" w:rsidRDefault="008A1637" w:rsidP="0054332C">
      <w:pPr>
        <w:rPr>
          <w:lang w:val="de-DE"/>
        </w:rPr>
      </w:pPr>
      <w:r w:rsidRPr="00BB5519">
        <w:rPr>
          <w:lang w:val="de-DE"/>
        </w:rPr>
        <w:t>Kunden, die das Recht zur Nutzung von MUIs und MLP unter anderen Verträgen als einem Konzernvertrag oder Open</w:t>
      </w:r>
      <w:r w:rsidR="0054332C">
        <w:rPr>
          <w:lang w:val="de-DE"/>
        </w:rPr>
        <w:t> </w:t>
      </w:r>
      <w:r w:rsidRPr="00BB5519">
        <w:rPr>
          <w:lang w:val="de-DE"/>
        </w:rPr>
        <w:t>Value-Vertrag (organisationsweite/unternehmensweite Option) erwerben (ob mit dem Basisprodukt oder über Software Assurance), unterliegen weiterhin Beschränkungen (sofern vorhanden) in ihrem Vertrag für die Nutzung bestimmter Sprachen.</w:t>
      </w:r>
      <w:r w:rsidR="009E4976" w:rsidRPr="00BB5519">
        <w:rPr>
          <w:lang w:val="de-DE"/>
        </w:rPr>
        <w:t xml:space="preserve"> </w:t>
      </w:r>
      <w:r w:rsidRPr="00BB5519">
        <w:rPr>
          <w:lang w:val="de-DE"/>
        </w:rPr>
        <w:t>Beispiel: Wenn eine lokale Sprachversion eines Produktes auf der Preisliste des Kunden zu einem anderen Preis lizenziert wird, ist das Recht des Kunden zur Nutzung anderer Sprachversionen als dieser Version (mit oder ohne MUI- oder MLP-Funktionalität) unter Umständen beschränkt.</w:t>
      </w:r>
      <w:r w:rsidR="009E4976" w:rsidRPr="00BB5519">
        <w:rPr>
          <w:lang w:val="de-DE"/>
        </w:rPr>
        <w:t xml:space="preserve"> </w:t>
      </w:r>
      <w:r w:rsidRPr="00BB5519">
        <w:rPr>
          <w:lang w:val="de-DE"/>
        </w:rPr>
        <w:t xml:space="preserve">Kunden sollten sich in ihrem Lizenzvertrag oder beim Handelspartner oder Kundenbetreuer von Microsoft über ihr Recht zur Nutzung anderer Sprachen informieren. </w:t>
      </w:r>
    </w:p>
    <w:p w:rsidR="007022C1" w:rsidRPr="00BB5519" w:rsidRDefault="007022C1" w:rsidP="0054332C">
      <w:pPr>
        <w:rPr>
          <w:lang w:val="de-DE"/>
        </w:rPr>
      </w:pPr>
    </w:p>
    <w:p w:rsidR="008A1637" w:rsidRPr="00EC2A0D" w:rsidRDefault="008A1637" w:rsidP="007022C1">
      <w:pPr>
        <w:pStyle w:val="Heading2"/>
        <w:ind w:left="0"/>
        <w:rPr>
          <w:rFonts w:ascii="Tahoma" w:hAnsi="Tahoma" w:cs="Tahoma"/>
          <w:lang w:val="de-DE"/>
        </w:rPr>
      </w:pPr>
      <w:bookmarkStart w:id="1002" w:name="_Toc323159784"/>
      <w:bookmarkStart w:id="1003" w:name="_Toc336338253"/>
      <w:bookmarkStart w:id="1004" w:name="_Toc354054950"/>
      <w:r w:rsidRPr="00EC2A0D">
        <w:rPr>
          <w:rFonts w:ascii="Tahoma" w:hAnsi="Tahoma" w:cs="Tahoma"/>
          <w:lang w:val="de-DE"/>
        </w:rPr>
        <w:t>Plattformunabhängige Lizenzen</w:t>
      </w:r>
      <w:bookmarkEnd w:id="1002"/>
      <w:bookmarkEnd w:id="1003"/>
      <w:bookmarkEnd w:id="1004"/>
    </w:p>
    <w:p w:rsidR="008A1637" w:rsidRPr="00BB5519" w:rsidRDefault="008A1637" w:rsidP="007022C1">
      <w:pPr>
        <w:tabs>
          <w:tab w:val="num" w:pos="0"/>
        </w:tabs>
        <w:ind w:right="720"/>
        <w:rPr>
          <w:lang w:val="de-DE"/>
        </w:rPr>
      </w:pPr>
    </w:p>
    <w:p w:rsidR="008A1637" w:rsidRPr="00BB5519" w:rsidRDefault="008A1637" w:rsidP="0054332C">
      <w:pPr>
        <w:pStyle w:val="AppendixBodyText"/>
        <w:spacing w:after="0"/>
        <w:ind w:right="180"/>
        <w:rPr>
          <w:lang w:val="de-DE"/>
        </w:rPr>
      </w:pPr>
      <w:r w:rsidRPr="00BB5519">
        <w:rPr>
          <w:rFonts w:ascii="Tahoma" w:hAnsi="Tahoma" w:cs="Tahoma"/>
          <w:color w:val="000000"/>
          <w:sz w:val="18"/>
          <w:szCs w:val="18"/>
          <w:lang w:val="de-DE"/>
        </w:rPr>
        <w:t>Microsoft Office Standard, Office Professional Plus, Word, Excel, PowerPoint, Outlook, Office für Mac, Word für Mac, Excel für Mac, PowerPoint für Mac, Lync für Mac und Outlook für Mac sind „plattformunabhängige“ Lizenzen.</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Mit einer plattformunabhängigen Lizenz kann ein Produkt auf jeder Computerplattform (z. B. PC, Macintosh) genutzt werden, auf der die Software ausgeführt wird, sofern die verwendete Version mit der ursprünglich lizenzierten Version identisch oder eine frühere Version ist.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Beispiel: Ein Kunde, der für Office für Mac Standard 2011 lizenziert ist, kann sich dafür entscheiden, mit dieser Lizenz Office Standard 2010 für Windows auszuführen.</w:t>
      </w:r>
    </w:p>
    <w:p w:rsidR="008A1637" w:rsidRPr="00BB5519" w:rsidRDefault="008A1637" w:rsidP="0054332C">
      <w:pPr>
        <w:tabs>
          <w:tab w:val="left" w:pos="360"/>
        </w:tabs>
        <w:ind w:right="720"/>
        <w:rPr>
          <w:lang w:val="de-DE"/>
        </w:rPr>
      </w:pPr>
    </w:p>
    <w:p w:rsidR="008A1637" w:rsidRPr="00BB5519" w:rsidRDefault="008A1637" w:rsidP="0054332C">
      <w:pPr>
        <w:pStyle w:val="AppendixBodyText"/>
        <w:spacing w:after="0"/>
        <w:ind w:right="360"/>
        <w:rPr>
          <w:lang w:val="de-DE"/>
        </w:rPr>
      </w:pPr>
      <w:r w:rsidRPr="00BB5519">
        <w:rPr>
          <w:rFonts w:ascii="Tahoma" w:hAnsi="Tahoma" w:cs="Tahoma"/>
          <w:color w:val="000000"/>
          <w:sz w:val="18"/>
          <w:szCs w:val="18"/>
          <w:lang w:val="de-DE"/>
        </w:rPr>
        <w:t>Die Komponenten einer Produktsuite können je nach Plattformversion variieren. Sie dürfen nur die Komponenten der Suite verwenden, welche Sie für die Nutzung auswählen. Beispiel: Wenn ein Kunde, der für Office für Mac Standard 2011 lizenziert ist, Office Standard 2010 nutzen möchte, darf der Kunde nur die Komponenten ausführen, die in Office Standard 2010 enthalten sind. Er hat beispielsweise nicht das Recht, Lync auszuführen, aber er darf OneNote nutzen.</w:t>
      </w:r>
    </w:p>
    <w:p w:rsidR="008A1637" w:rsidRPr="00BB5519" w:rsidRDefault="008A1637" w:rsidP="0054332C">
      <w:pPr>
        <w:pStyle w:val="AppendixBodyText"/>
        <w:spacing w:after="0"/>
        <w:ind w:right="180"/>
        <w:rPr>
          <w:lang w:val="de-DE"/>
        </w:rPr>
      </w:pPr>
      <w:r w:rsidRPr="00BB5519">
        <w:rPr>
          <w:rFonts w:ascii="Tahoma" w:hAnsi="Tahoma" w:cs="Tahoma"/>
          <w:color w:val="000000"/>
          <w:sz w:val="18"/>
          <w:lang w:val="de-DE"/>
        </w:rPr>
        <w:t>Darüber hinaus ist ein Kunde durch aktive Software Assurance für eine plattformunabhängige Lizenz berechtigt, anstelle des lizenzierten Produktes die aktuellste Version einer Plattformversion des Produktes zu nutzen, die während der Laufzeit von Software Assurance verfügbar wird (vorbehaltlich der oben genannten Beschränkung für Komponenten). Beispiel: Ein Kunde mit aktiver Software Assurance für eine Office für Mac-Lizenz ist berechtigt, anstelle von Office für Mac die aktuellste Version der entsprechenden Edition von Office für Windows zu nutzen, die während der Software Assurance-Laufzeit herausgegeben wird.</w:t>
      </w:r>
    </w:p>
    <w:p w:rsidR="008A1637" w:rsidRPr="00BB5519" w:rsidRDefault="008A1637" w:rsidP="007022C1">
      <w:pPr>
        <w:tabs>
          <w:tab w:val="left" w:pos="360"/>
        </w:tabs>
        <w:ind w:right="720"/>
        <w:rPr>
          <w:lang w:val="de-DE"/>
        </w:rPr>
      </w:pPr>
    </w:p>
    <w:p w:rsidR="008A1637" w:rsidRPr="00BB5519" w:rsidRDefault="008A1637" w:rsidP="0054332C">
      <w:pPr>
        <w:pStyle w:val="AppendixBodyText"/>
        <w:keepNext/>
        <w:keepLines/>
        <w:spacing w:after="0"/>
        <w:ind w:right="450"/>
        <w:rPr>
          <w:lang w:val="de-DE"/>
        </w:rPr>
      </w:pPr>
      <w:r w:rsidRPr="00BB5519">
        <w:rPr>
          <w:rFonts w:ascii="Tahoma" w:hAnsi="Tahoma" w:cs="Tahoma"/>
          <w:sz w:val="18"/>
          <w:lang w:val="de-DE"/>
        </w:rPr>
        <w:lastRenderedPageBreak/>
        <w:t>Microsoft SQL Server ist eine „plattformunabhängige“ Lizenz. Mit einer plattformunabhängigen Lizenz kann ein bestimmtes Produkt auf jeder Computerplattform genutzt werden, auf der die Software ausgeführt wird, sofern die verwendete Version mit der ursprünglich lizenzierten Version identisch oder eine frühere Version ist.</w:t>
      </w:r>
    </w:p>
    <w:p w:rsidR="008A1637" w:rsidRPr="00BB5519" w:rsidRDefault="008A1637" w:rsidP="0054332C">
      <w:pPr>
        <w:spacing w:after="60"/>
        <w:ind w:right="720"/>
        <w:rPr>
          <w:lang w:val="de-DE"/>
        </w:rPr>
      </w:pPr>
    </w:p>
    <w:p w:rsidR="008A1637" w:rsidRPr="00BB5519" w:rsidRDefault="008A1637" w:rsidP="0054332C">
      <w:pPr>
        <w:pStyle w:val="AppendixBodyText"/>
        <w:spacing w:after="0"/>
        <w:ind w:right="270"/>
        <w:rPr>
          <w:lang w:val="de-DE"/>
        </w:rPr>
      </w:pPr>
      <w:r w:rsidRPr="00BB5519">
        <w:rPr>
          <w:rFonts w:ascii="Tahoma" w:hAnsi="Tahoma" w:cs="Tahoma"/>
          <w:sz w:val="18"/>
          <w:lang w:val="de-DE"/>
        </w:rPr>
        <w:t>Darüber hinaus ist ein Kunde, der Software Assurance für eine plattformunabhängige Lizenz erwirbt, berechtigt, die aktuellste Version dieses bestimmten Produktes zu nutzen, die während der Laufzeit von Software Assurance verfügbar ist, unabhängig von der Plattform (sofern nur jeweils eine Version installiert ist/genutzt wird).</w:t>
      </w:r>
    </w:p>
    <w:p w:rsidR="00973A93" w:rsidRPr="00BB5519" w:rsidRDefault="00973A93">
      <w:pPr>
        <w:rPr>
          <w:lang w:val="de-DE"/>
        </w:rPr>
      </w:pPr>
      <w:bookmarkStart w:id="1005" w:name="_Toc336338254"/>
    </w:p>
    <w:p w:rsidR="008A1637" w:rsidRPr="00EC2A0D" w:rsidRDefault="008A1637" w:rsidP="008A1637">
      <w:pPr>
        <w:pStyle w:val="Heading2"/>
        <w:ind w:left="0"/>
        <w:rPr>
          <w:rFonts w:ascii="Tahoma" w:hAnsi="Tahoma" w:cs="Tahoma"/>
          <w:lang w:val="de-DE"/>
        </w:rPr>
      </w:pPr>
      <w:bookmarkStart w:id="1006" w:name="_Toc354054951"/>
      <w:r w:rsidRPr="00EC2A0D">
        <w:rPr>
          <w:rFonts w:ascii="Tahoma" w:hAnsi="Tahoma" w:cs="Tahoma"/>
          <w:lang w:val="de-DE"/>
        </w:rPr>
        <w:t>Volumenlizenz-Product Keys</w:t>
      </w:r>
      <w:bookmarkEnd w:id="1005"/>
      <w:bookmarkEnd w:id="1006"/>
    </w:p>
    <w:p w:rsidR="008A1637" w:rsidRPr="00BB5519" w:rsidRDefault="008A1637" w:rsidP="008A1637">
      <w:pPr>
        <w:spacing w:after="60"/>
        <w:ind w:right="720"/>
        <w:rPr>
          <w:lang w:val="de-DE"/>
        </w:rPr>
      </w:pPr>
    </w:p>
    <w:p w:rsidR="008A1637" w:rsidRPr="00BB5519" w:rsidRDefault="008A1637" w:rsidP="007022C1">
      <w:pPr>
        <w:ind w:right="720"/>
        <w:rPr>
          <w:lang w:val="de-DE"/>
        </w:rPr>
      </w:pPr>
      <w:r w:rsidRPr="00BB5519">
        <w:rPr>
          <w:rFonts w:cs="Tahoma"/>
          <w:color w:val="000000"/>
          <w:szCs w:val="18"/>
          <w:lang w:val="de-DE"/>
        </w:rPr>
        <w:t>Mithilfe von Product Keys können Organisationen die Software und Produkte nutzen, die sie lizenziert haben.</w:t>
      </w:r>
      <w:r w:rsidR="009E4976" w:rsidRPr="00BB5519">
        <w:rPr>
          <w:rFonts w:cs="Tahoma"/>
          <w:color w:val="000000"/>
          <w:szCs w:val="18"/>
          <w:lang w:val="de-DE"/>
        </w:rPr>
        <w:t xml:space="preserve"> </w:t>
      </w:r>
      <w:r w:rsidRPr="00BB5519">
        <w:rPr>
          <w:rFonts w:cs="Tahoma"/>
          <w:color w:val="000000"/>
          <w:szCs w:val="18"/>
          <w:lang w:val="de-DE"/>
        </w:rPr>
        <w:t>Alle Product Keys werden unter einem bestimmten Lizenzvertrag für einen Kunden ausgestellt.</w:t>
      </w:r>
      <w:r w:rsidR="009E4976" w:rsidRPr="00BB5519">
        <w:rPr>
          <w:rFonts w:cs="Tahoma"/>
          <w:color w:val="000000"/>
          <w:szCs w:val="18"/>
          <w:lang w:val="de-DE"/>
        </w:rPr>
        <w:t xml:space="preserve"> </w:t>
      </w:r>
      <w:r w:rsidRPr="00BB5519">
        <w:rPr>
          <w:rFonts w:cs="Tahoma"/>
          <w:color w:val="000000"/>
          <w:szCs w:val="18"/>
          <w:lang w:val="de-DE"/>
        </w:rPr>
        <w:t xml:space="preserve">Ihre Product Keys erhalten Sie im </w:t>
      </w:r>
      <w:hyperlink r:id="rId37" w:history="1">
        <w:r w:rsidRPr="00BB5519">
          <w:rPr>
            <w:rStyle w:val="Hyperlink"/>
            <w:szCs w:val="18"/>
            <w:lang w:val="de-DE"/>
          </w:rPr>
          <w:t>Center für Microsoft Volumenlizenz-Services (VLSC)</w:t>
        </w:r>
      </w:hyperlink>
      <w:r w:rsidRPr="00BB5519">
        <w:rPr>
          <w:rFonts w:cs="Tahoma"/>
          <w:color w:val="000000"/>
          <w:szCs w:val="18"/>
          <w:lang w:val="de-DE"/>
        </w:rPr>
        <w:t xml:space="preserve"> . Außerdem können Sie das </w:t>
      </w:r>
      <w:hyperlink r:id="rId38" w:history="1">
        <w:r w:rsidRPr="00BB5519">
          <w:rPr>
            <w:rStyle w:val="Hyperlink"/>
            <w:color w:val="0070C0"/>
            <w:szCs w:val="18"/>
            <w:lang w:val="de-DE"/>
          </w:rPr>
          <w:t>Microsoft Volumenlizenz-Aktivierungscenter anrufen</w:t>
        </w:r>
      </w:hyperlink>
      <w:r w:rsidRPr="00BB5519">
        <w:rPr>
          <w:rFonts w:cs="Tahoma"/>
          <w:color w:val="0070C0"/>
          <w:szCs w:val="18"/>
          <w:lang w:val="de-DE"/>
        </w:rPr>
        <w:t>.</w:t>
      </w:r>
      <w:r w:rsidRPr="00BB5519">
        <w:rPr>
          <w:rFonts w:cs="Tahoma"/>
          <w:color w:val="000000"/>
          <w:szCs w:val="18"/>
          <w:lang w:val="de-DE"/>
        </w:rPr>
        <w:t xml:space="preserve"> </w:t>
      </w:r>
    </w:p>
    <w:p w:rsidR="008A1637" w:rsidRPr="00BB5519" w:rsidRDefault="008A1637" w:rsidP="007022C1">
      <w:pPr>
        <w:ind w:right="720"/>
        <w:rPr>
          <w:lang w:val="de-DE"/>
        </w:rPr>
      </w:pPr>
    </w:p>
    <w:p w:rsidR="008A1637" w:rsidRPr="00BB5519" w:rsidRDefault="008A1637" w:rsidP="0054332C">
      <w:pPr>
        <w:ind w:right="360"/>
        <w:rPr>
          <w:lang w:val="de-DE"/>
        </w:rPr>
      </w:pPr>
      <w:r w:rsidRPr="00BB5519">
        <w:rPr>
          <w:rFonts w:cs="Tahoma"/>
          <w:color w:val="000000"/>
          <w:szCs w:val="18"/>
          <w:lang w:val="de-DE"/>
        </w:rPr>
        <w:t xml:space="preserve">Eine Liste der Volumenlizenzprodukte, für die Product Keys erforderlich sind, sowie zusätzliche Informationen erhalten Sie unter: </w:t>
      </w:r>
      <w:hyperlink r:id="rId39" w:history="1">
        <w:r w:rsidRPr="00BB5519">
          <w:rPr>
            <w:rStyle w:val="Hyperlink"/>
            <w:szCs w:val="18"/>
            <w:lang w:val="de-DE"/>
          </w:rPr>
          <w:t>http://www.microsoft.com/licensing/resources/vol/volumelicensekey/default.mspx</w:t>
        </w:r>
      </w:hyperlink>
      <w:r w:rsidRPr="00BB5519">
        <w:rPr>
          <w:rFonts w:cs="Tahoma"/>
          <w:szCs w:val="18"/>
          <w:lang w:val="de-DE"/>
        </w:rPr>
        <w:t>.</w:t>
      </w:r>
      <w:r w:rsidRPr="00BB5519">
        <w:rPr>
          <w:rFonts w:cs="Tahoma"/>
          <w:color w:val="000000"/>
          <w:szCs w:val="18"/>
          <w:lang w:val="de-DE"/>
        </w:rPr>
        <w:t xml:space="preserve"> </w:t>
      </w:r>
    </w:p>
    <w:p w:rsidR="008A1637" w:rsidRPr="00BB5519" w:rsidRDefault="008A1637" w:rsidP="007022C1">
      <w:pPr>
        <w:ind w:right="720"/>
        <w:rPr>
          <w:lang w:val="de-DE"/>
        </w:rPr>
      </w:pPr>
      <w:r w:rsidRPr="00BB5519">
        <w:rPr>
          <w:rFonts w:cs="Tahoma"/>
          <w:color w:val="1F497D"/>
          <w:szCs w:val="18"/>
          <w:lang w:val="de-DE"/>
        </w:rPr>
        <w:br/>
      </w:r>
      <w:r w:rsidRPr="00BB5519">
        <w:rPr>
          <w:rFonts w:cs="Tahoma"/>
          <w:color w:val="000000"/>
          <w:szCs w:val="18"/>
          <w:lang w:val="de-DE"/>
        </w:rPr>
        <w:t>Nicht für alle Volumenlizenzprodukte ist ein Product Key erforderlich.</w:t>
      </w:r>
      <w:r w:rsidRPr="00BB5519">
        <w:rPr>
          <w:rFonts w:ascii="Verdana" w:hAnsi="Verdana"/>
          <w:color w:val="333333"/>
          <w:sz w:val="17"/>
          <w:szCs w:val="17"/>
          <w:lang w:val="de-DE"/>
        </w:rPr>
        <w:t xml:space="preserve"> </w:t>
      </w:r>
      <w:r w:rsidRPr="00BB5519">
        <w:rPr>
          <w:rFonts w:cs="Tahoma"/>
          <w:color w:val="000000"/>
          <w:szCs w:val="18"/>
          <w:lang w:val="de-DE"/>
        </w:rPr>
        <w:t>Für Produkte, die nicht aufgeführt sind, ist kein Key erforderlich.</w:t>
      </w:r>
    </w:p>
    <w:p w:rsidR="008A1637" w:rsidRPr="00BB5519" w:rsidRDefault="008A1637" w:rsidP="007022C1">
      <w:pPr>
        <w:ind w:right="720"/>
        <w:rPr>
          <w:lang w:val="de-DE"/>
        </w:rPr>
      </w:pPr>
    </w:p>
    <w:p w:rsidR="008A1637" w:rsidRPr="00BB5519" w:rsidRDefault="008A1637" w:rsidP="0054332C">
      <w:pPr>
        <w:ind w:right="360"/>
        <w:rPr>
          <w:lang w:val="de-DE"/>
        </w:rPr>
      </w:pPr>
      <w:r w:rsidRPr="00BB5519">
        <w:rPr>
          <w:rFonts w:cs="Tahoma"/>
          <w:b/>
          <w:bCs/>
          <w:color w:val="000000"/>
          <w:szCs w:val="18"/>
          <w:lang w:val="de-DE"/>
        </w:rPr>
        <w:t>Anmerkung:</w:t>
      </w:r>
      <w:r w:rsidR="009E4976" w:rsidRPr="00BB5519">
        <w:rPr>
          <w:rFonts w:cs="Tahoma"/>
          <w:color w:val="000000"/>
          <w:szCs w:val="18"/>
          <w:lang w:val="de-DE"/>
        </w:rPr>
        <w:t xml:space="preserve"> </w:t>
      </w:r>
      <w:r w:rsidRPr="00BB5519">
        <w:rPr>
          <w:rFonts w:cs="Tahoma"/>
          <w:color w:val="000000"/>
          <w:szCs w:val="18"/>
          <w:lang w:val="de-DE"/>
        </w:rPr>
        <w:t xml:space="preserve">Product Keys werden Ihrer Organisation zugewiesen und sind ausschließlich zur Nutzung durch Ihre Organisation vorgesehen. Sie sind für die unberechtigte Nutzung von Product Keys verantwortlich, die unter Ihrem Vertrag herausgegeben werden. Ergreifen Sie entsprechende Maßnahmen zum Schutz der Keys. Sie dürfen Ihre Product Keys nicht gegenüber unberechtigten Parteien offenlegen. </w:t>
      </w:r>
    </w:p>
    <w:p w:rsidR="00023FE7" w:rsidRPr="00D15040" w:rsidRDefault="008A1637" w:rsidP="00F246FF">
      <w:pPr>
        <w:pStyle w:val="Heading1"/>
        <w:keepNext w:val="0"/>
        <w:spacing w:before="0"/>
        <w:rPr>
          <w:lang w:val="de-DE"/>
        </w:rPr>
      </w:pPr>
      <w:r w:rsidRPr="00D15040">
        <w:rPr>
          <w:lang w:val="de-DE"/>
        </w:rPr>
        <w:br w:type="page"/>
      </w:r>
      <w:bookmarkStart w:id="1007" w:name="_Toc336338255"/>
      <w:bookmarkStart w:id="1008" w:name="_Toc354054952"/>
      <w:r w:rsidRPr="00D15040">
        <w:rPr>
          <w:lang w:val="de-DE"/>
        </w:rPr>
        <w:lastRenderedPageBreak/>
        <w:t>ProduktHINWEISE</w:t>
      </w:r>
      <w:bookmarkEnd w:id="1007"/>
      <w:bookmarkEnd w:id="1008"/>
    </w:p>
    <w:p w:rsidR="0054332C" w:rsidRPr="00D15040" w:rsidRDefault="0054332C" w:rsidP="0054332C">
      <w:pPr>
        <w:pStyle w:val="Heading2"/>
        <w:ind w:hanging="540"/>
        <w:rPr>
          <w:rFonts w:ascii="Tahoma" w:hAnsi="Tahoma" w:cs="Tahoma"/>
          <w:sz w:val="28"/>
          <w:szCs w:val="28"/>
          <w:lang w:val="de-DE"/>
        </w:rPr>
      </w:pPr>
      <w:bookmarkStart w:id="1009" w:name="_Toc336338256"/>
    </w:p>
    <w:p w:rsidR="00023FE7" w:rsidRPr="00EC2A0D" w:rsidRDefault="00023FE7">
      <w:pPr>
        <w:pStyle w:val="Heading2"/>
        <w:ind w:left="0"/>
        <w:rPr>
          <w:rFonts w:ascii="Tahoma" w:hAnsi="Tahoma" w:cs="Tahoma"/>
          <w:sz w:val="28"/>
          <w:lang w:val="de-DE"/>
        </w:rPr>
      </w:pPr>
      <w:bookmarkStart w:id="1010" w:name="_Toc354054953"/>
      <w:r w:rsidRPr="00EC2A0D">
        <w:rPr>
          <w:rFonts w:ascii="Tahoma" w:hAnsi="Tahoma" w:cs="Tahoma"/>
          <w:sz w:val="28"/>
          <w:lang w:val="de-DE"/>
        </w:rPr>
        <w:t>Anwendungs-Pool</w:t>
      </w:r>
      <w:bookmarkEnd w:id="1009"/>
      <w:bookmarkEnd w:id="1010"/>
    </w:p>
    <w:p w:rsidR="0054332C" w:rsidRPr="00D15040" w:rsidRDefault="0054332C" w:rsidP="0054332C">
      <w:pPr>
        <w:rPr>
          <w:lang w:val="de-DE"/>
        </w:rPr>
      </w:pPr>
      <w:bookmarkStart w:id="1011" w:name="_1_Data_Analyzer"/>
      <w:bookmarkStart w:id="1012" w:name="_12_Expression_Encoder"/>
      <w:bookmarkStart w:id="1013" w:name="Aps_1BingMapsDesktopandContentPack"/>
      <w:bookmarkStart w:id="1014" w:name="Aps_ExpStudioproducts"/>
      <w:bookmarkStart w:id="1015" w:name="_Toc336338258"/>
      <w:bookmarkStart w:id="1016" w:name="Aps_ExpStudio2"/>
      <w:bookmarkStart w:id="1017" w:name="Aps_1ExpStudio3"/>
      <w:bookmarkEnd w:id="1011"/>
      <w:bookmarkEnd w:id="1012"/>
    </w:p>
    <w:bookmarkEnd w:id="1013"/>
    <w:p w:rsidR="0054332C" w:rsidRPr="00D15040" w:rsidRDefault="0054332C" w:rsidP="0054332C">
      <w:pPr>
        <w:rPr>
          <w:lang w:val="de-DE"/>
        </w:rPr>
      </w:pPr>
    </w:p>
    <w:p w:rsidR="00176313" w:rsidRPr="00BB5519" w:rsidRDefault="00B54C21" w:rsidP="004A2FC2">
      <w:pPr>
        <w:pStyle w:val="Heading3"/>
        <w:ind w:left="180" w:hanging="180"/>
        <w:rPr>
          <w:lang w:val="de-DE"/>
        </w:rPr>
      </w:pPr>
      <w:bookmarkStart w:id="1018" w:name="_1_Expression_Encoder"/>
      <w:bookmarkStart w:id="1019" w:name="_Toc354054954"/>
      <w:bookmarkEnd w:id="1018"/>
      <w:r w:rsidRPr="00BB5519">
        <w:rPr>
          <w:rFonts w:ascii="Tahoma" w:hAnsi="Tahoma"/>
          <w:caps/>
          <w:color w:val="F66400"/>
          <w:sz w:val="22"/>
          <w:vertAlign w:val="superscript"/>
          <w:lang w:val="de-DE"/>
        </w:rPr>
        <w:t>1</w:t>
      </w:r>
      <w:r w:rsidRPr="00BB5519">
        <w:rPr>
          <w:rFonts w:ascii="Tahoma" w:hAnsi="Tahoma"/>
          <w:color w:val="F66400"/>
          <w:sz w:val="22"/>
          <w:lang w:val="de-DE"/>
        </w:rPr>
        <w:t xml:space="preserve"> Expression Encoder Pro 4</w:t>
      </w:r>
      <w:bookmarkEnd w:id="1014"/>
      <w:bookmarkEnd w:id="1015"/>
      <w:bookmarkEnd w:id="1019"/>
    </w:p>
    <w:p w:rsidR="00176313" w:rsidRPr="00BB5519" w:rsidRDefault="00176313" w:rsidP="004A2FC2">
      <w:pPr>
        <w:rPr>
          <w:lang w:val="de-DE"/>
        </w:rPr>
      </w:pPr>
    </w:p>
    <w:p w:rsidR="00176313" w:rsidRPr="00BB5519" w:rsidRDefault="00176313" w:rsidP="00864B8A">
      <w:pPr>
        <w:spacing w:after="60"/>
        <w:ind w:left="720"/>
        <w:rPr>
          <w:lang w:val="de-DE"/>
        </w:rPr>
      </w:pPr>
      <w:r w:rsidRPr="00BB5519">
        <w:rPr>
          <w:rFonts w:cs="Tahoma"/>
          <w:b/>
          <w:szCs w:val="20"/>
          <w:lang w:val="de-DE"/>
        </w:rPr>
        <w:t>Expression Encoder Pro 4</w:t>
      </w:r>
    </w:p>
    <w:p w:rsidR="00176313" w:rsidRPr="00BB5519" w:rsidRDefault="00176313" w:rsidP="00777826">
      <w:pPr>
        <w:ind w:left="720"/>
        <w:rPr>
          <w:lang w:val="de-DE"/>
        </w:rPr>
      </w:pPr>
      <w:r w:rsidRPr="00BB5519">
        <w:rPr>
          <w:rFonts w:cs="Tahoma"/>
          <w:color w:val="000000"/>
          <w:szCs w:val="18"/>
          <w:lang w:val="de-DE"/>
        </w:rPr>
        <w:t>Bei der Produktlinie Expression wurden Änderungen an den Markennamen vorgenommen.</w:t>
      </w:r>
      <w:r w:rsidR="009E4976" w:rsidRPr="00BB5519">
        <w:rPr>
          <w:rFonts w:cs="Tahoma"/>
          <w:color w:val="000000"/>
          <w:szCs w:val="18"/>
          <w:lang w:val="de-DE"/>
        </w:rPr>
        <w:t xml:space="preserve"> </w:t>
      </w:r>
      <w:r w:rsidRPr="00BB5519">
        <w:rPr>
          <w:rFonts w:cs="Tahoma"/>
          <w:color w:val="000000"/>
          <w:szCs w:val="18"/>
          <w:lang w:val="de-DE"/>
        </w:rPr>
        <w:t>Es wurde nur der</w:t>
      </w:r>
      <w:r w:rsidR="00777826">
        <w:rPr>
          <w:rFonts w:cs="Tahoma"/>
          <w:color w:val="000000"/>
          <w:szCs w:val="18"/>
          <w:lang w:val="de-DE"/>
        </w:rPr>
        <w:t> </w:t>
      </w:r>
      <w:r w:rsidRPr="00BB5519">
        <w:rPr>
          <w:rFonts w:cs="Tahoma"/>
          <w:color w:val="000000"/>
          <w:szCs w:val="18"/>
          <w:lang w:val="de-DE"/>
        </w:rPr>
        <w:t>Produktmarkenname geändert; die Software der Version 3 und die Software der Version 4 sind identisch.</w:t>
      </w:r>
      <w:r w:rsidR="009E4976" w:rsidRPr="00BB5519">
        <w:rPr>
          <w:rFonts w:cs="Tahoma"/>
          <w:color w:val="000000"/>
          <w:szCs w:val="18"/>
          <w:lang w:val="de-DE"/>
        </w:rPr>
        <w:t xml:space="preserve"> </w:t>
      </w:r>
      <w:r w:rsidRPr="00BB5519">
        <w:rPr>
          <w:rFonts w:cs="Tahoma"/>
          <w:color w:val="000000"/>
          <w:szCs w:val="18"/>
          <w:lang w:val="de-DE"/>
        </w:rPr>
        <w:t>Dementsprechend gelten Kunden, die für Produkte der Version 3 lizenziert sind, als für die entsprechenden Produkte der Version 4 lizenziert (wie nachstehend dargestellt) und sind berechtigt, Software unter der Marke von Version 4 anstelle von Software unter der Marke von Version 3 zu verwenden.</w:t>
      </w:r>
      <w:r w:rsidR="00777826">
        <w:rPr>
          <w:rFonts w:cs="Tahoma"/>
          <w:color w:val="000000"/>
          <w:szCs w:val="18"/>
          <w:lang w:val="de-DE"/>
        </w:rPr>
        <w:t> </w:t>
      </w:r>
      <w:r w:rsidRPr="00BB5519">
        <w:rPr>
          <w:rFonts w:cs="Tahoma"/>
          <w:color w:val="000000"/>
          <w:szCs w:val="18"/>
          <w:lang w:val="de-DE"/>
        </w:rPr>
        <w:t>Das Recht zur Nutzung der Software unterliegt weiterhin den Bestimmungen des Volumenlizenzvertrages des Kunden sowie den Produktbenutzungsrechten für die Software, wie durch</w:t>
      </w:r>
      <w:r w:rsidR="00777826">
        <w:rPr>
          <w:rFonts w:cs="Tahoma"/>
          <w:color w:val="000000"/>
          <w:szCs w:val="18"/>
          <w:lang w:val="de-DE"/>
        </w:rPr>
        <w:t> </w:t>
      </w:r>
      <w:r w:rsidRPr="00BB5519">
        <w:rPr>
          <w:rFonts w:cs="Tahoma"/>
          <w:color w:val="000000"/>
          <w:szCs w:val="18"/>
          <w:lang w:val="de-DE"/>
        </w:rPr>
        <w:t>diesen Hinweis auf die Produktbedingungen ergänzt.</w:t>
      </w:r>
      <w:r w:rsidR="009E4976" w:rsidRPr="00BB5519">
        <w:rPr>
          <w:rFonts w:cs="Tahoma"/>
          <w:color w:val="000000"/>
          <w:szCs w:val="18"/>
          <w:lang w:val="de-DE"/>
        </w:rPr>
        <w:t xml:space="preserve"> </w:t>
      </w:r>
      <w:r w:rsidRPr="00BB5519">
        <w:rPr>
          <w:rFonts w:cs="Tahoma"/>
          <w:color w:val="000000"/>
          <w:szCs w:val="18"/>
          <w:lang w:val="de-DE"/>
        </w:rPr>
        <w:t>Durch die Änderung der Marke werden die</w:t>
      </w:r>
      <w:r w:rsidR="00777826">
        <w:rPr>
          <w:rFonts w:cs="Tahoma"/>
          <w:color w:val="000000"/>
          <w:szCs w:val="18"/>
          <w:lang w:val="de-DE"/>
        </w:rPr>
        <w:t> </w:t>
      </w:r>
      <w:r w:rsidRPr="00BB5519">
        <w:rPr>
          <w:rFonts w:cs="Tahoma"/>
          <w:color w:val="000000"/>
          <w:szCs w:val="18"/>
          <w:lang w:val="de-DE"/>
        </w:rPr>
        <w:t>Gewährleistung oder Supportverpflichtungen von Microsoft in Verbindung mit Software Assurance für</w:t>
      </w:r>
      <w:r w:rsidR="00777826">
        <w:rPr>
          <w:rFonts w:cs="Tahoma"/>
          <w:color w:val="000000"/>
          <w:szCs w:val="18"/>
          <w:lang w:val="de-DE"/>
        </w:rPr>
        <w:t> </w:t>
      </w:r>
      <w:r w:rsidRPr="00BB5519">
        <w:rPr>
          <w:rFonts w:cs="Tahoma"/>
          <w:color w:val="000000"/>
          <w:szCs w:val="18"/>
          <w:lang w:val="de-DE"/>
        </w:rPr>
        <w:t>die</w:t>
      </w:r>
      <w:r w:rsidR="00777826">
        <w:rPr>
          <w:rFonts w:cs="Tahoma"/>
          <w:color w:val="000000"/>
          <w:szCs w:val="18"/>
          <w:lang w:val="de-DE"/>
        </w:rPr>
        <w:t> </w:t>
      </w:r>
      <w:r w:rsidRPr="00BB5519">
        <w:rPr>
          <w:rFonts w:cs="Tahoma"/>
          <w:color w:val="000000"/>
          <w:szCs w:val="18"/>
          <w:lang w:val="de-DE"/>
        </w:rPr>
        <w:t>Produkte nicht</w:t>
      </w:r>
      <w:r w:rsidR="00777826">
        <w:rPr>
          <w:rFonts w:cs="Tahoma"/>
          <w:color w:val="000000"/>
          <w:szCs w:val="18"/>
          <w:lang w:val="de-DE"/>
        </w:rPr>
        <w:t> </w:t>
      </w:r>
      <w:r w:rsidRPr="00BB5519">
        <w:rPr>
          <w:rFonts w:cs="Tahoma"/>
          <w:color w:val="000000"/>
          <w:szCs w:val="18"/>
          <w:lang w:val="de-DE"/>
        </w:rPr>
        <w:t>verlängert.</w:t>
      </w:r>
    </w:p>
    <w:p w:rsidR="00973A93" w:rsidRPr="00BB5519" w:rsidRDefault="00973A93">
      <w:pPr>
        <w:rPr>
          <w:lang w:val="de-DE"/>
        </w:rPr>
      </w:pPr>
    </w:p>
    <w:p w:rsidR="004A2FC2" w:rsidRPr="00BB5519" w:rsidRDefault="004A2FC2" w:rsidP="004A2FC2">
      <w:pPr>
        <w:rPr>
          <w:lang w:val="de-DE"/>
        </w:rPr>
      </w:pPr>
      <w:bookmarkStart w:id="1020" w:name="_Toc254806117"/>
      <w:bookmarkStart w:id="1021" w:name="Aps_MSDNOPSystems"/>
      <w:bookmarkStart w:id="1022" w:name="Aps_3MSDNOPSystems"/>
      <w:bookmarkStart w:id="1023" w:name="Aps_5OffCommunicator07"/>
      <w:bookmarkEnd w:id="1016"/>
      <w:bookmarkEnd w:id="1017"/>
    </w:p>
    <w:p w:rsidR="00E316C2" w:rsidRPr="00BB5519" w:rsidRDefault="00B54C21" w:rsidP="00E316C2">
      <w:pPr>
        <w:pStyle w:val="Heading3"/>
        <w:rPr>
          <w:lang w:val="de-DE"/>
        </w:rPr>
      </w:pPr>
      <w:bookmarkStart w:id="1024" w:name="_23_Lync_for"/>
      <w:bookmarkStart w:id="1025" w:name="_2_Lync_für"/>
      <w:bookmarkStart w:id="1026" w:name="_Toc336338259"/>
      <w:bookmarkStart w:id="1027" w:name="_Toc354054955"/>
      <w:bookmarkStart w:id="1028" w:name="Aps_3Lync2010"/>
      <w:bookmarkEnd w:id="1024"/>
      <w:bookmarkEnd w:id="1025"/>
      <w:r w:rsidRPr="00BB5519">
        <w:rPr>
          <w:rFonts w:ascii="Tahoma" w:hAnsi="Tahoma"/>
          <w:caps/>
          <w:color w:val="F66400"/>
          <w:sz w:val="22"/>
          <w:vertAlign w:val="superscript"/>
          <w:lang w:val="de-DE"/>
        </w:rPr>
        <w:t>2</w:t>
      </w:r>
      <w:r w:rsidRPr="00BB5519">
        <w:rPr>
          <w:rFonts w:ascii="Tahoma" w:hAnsi="Tahoma"/>
          <w:color w:val="F66400"/>
          <w:sz w:val="22"/>
          <w:lang w:val="de-DE"/>
        </w:rPr>
        <w:t xml:space="preserve"> </w:t>
      </w:r>
      <w:bookmarkStart w:id="1029" w:name="Aps_4LyncforMac2011"/>
      <w:r w:rsidRPr="00BB5519">
        <w:rPr>
          <w:rFonts w:ascii="Tahoma" w:hAnsi="Tahoma"/>
          <w:color w:val="F66400"/>
          <w:sz w:val="22"/>
          <w:lang w:val="de-DE"/>
        </w:rPr>
        <w:t xml:space="preserve">Lync </w:t>
      </w:r>
      <w:bookmarkEnd w:id="1026"/>
      <w:r w:rsidRPr="00BB5519">
        <w:rPr>
          <w:rFonts w:ascii="Tahoma" w:hAnsi="Tahoma"/>
          <w:color w:val="F66400"/>
          <w:sz w:val="22"/>
          <w:lang w:val="de-DE"/>
        </w:rPr>
        <w:t>für Mac 2011</w:t>
      </w:r>
      <w:bookmarkEnd w:id="1027"/>
      <w:bookmarkEnd w:id="1029"/>
    </w:p>
    <w:p w:rsidR="00AE5A9F" w:rsidRPr="00BB5519" w:rsidRDefault="00AE5A9F" w:rsidP="00AE5A9F">
      <w:pPr>
        <w:rPr>
          <w:lang w:val="de-DE"/>
        </w:rPr>
      </w:pPr>
    </w:p>
    <w:bookmarkEnd w:id="1028"/>
    <w:p w:rsidR="004A2FC2" w:rsidRPr="00BB5519" w:rsidRDefault="00E316C2" w:rsidP="00864B8A">
      <w:pPr>
        <w:spacing w:after="60"/>
        <w:ind w:left="720"/>
        <w:rPr>
          <w:lang w:val="de-DE"/>
        </w:rPr>
      </w:pPr>
      <w:r w:rsidRPr="00BB5519">
        <w:rPr>
          <w:rFonts w:cs="Tahoma"/>
          <w:b/>
          <w:szCs w:val="20"/>
          <w:lang w:val="de-DE"/>
        </w:rPr>
        <w:t xml:space="preserve">Software Assurance-Migrationspfad für Communicator für Mac 2011 </w:t>
      </w:r>
    </w:p>
    <w:p w:rsidR="00B9674D" w:rsidRPr="00BB5519" w:rsidRDefault="00E316C2" w:rsidP="004A2FC2">
      <w:pPr>
        <w:adjustRightInd w:val="0"/>
        <w:ind w:left="720"/>
        <w:textAlignment w:val="baseline"/>
        <w:rPr>
          <w:lang w:val="de-DE"/>
        </w:rPr>
      </w:pPr>
      <w:r w:rsidRPr="00BB5519">
        <w:rPr>
          <w:rFonts w:cs="Tahoma"/>
          <w:lang w:val="de-DE"/>
        </w:rPr>
        <w:t>Die Folgeversion von Communicator für Mac 2011 ist Lync für Mac 2011.</w:t>
      </w:r>
    </w:p>
    <w:p w:rsidR="004A2FC2" w:rsidRPr="00BB5519" w:rsidRDefault="004A2FC2" w:rsidP="004A2FC2">
      <w:pPr>
        <w:adjustRightInd w:val="0"/>
        <w:textAlignment w:val="baseline"/>
        <w:rPr>
          <w:lang w:val="de-DE"/>
        </w:rPr>
      </w:pPr>
    </w:p>
    <w:p w:rsidR="004A2FC2" w:rsidRPr="00BB5519" w:rsidRDefault="004A2FC2" w:rsidP="004A2FC2">
      <w:pPr>
        <w:adjustRightInd w:val="0"/>
        <w:textAlignment w:val="baseline"/>
        <w:rPr>
          <w:lang w:val="de-DE"/>
        </w:rPr>
      </w:pPr>
    </w:p>
    <w:p w:rsidR="00DC2291" w:rsidRPr="00BB5519" w:rsidRDefault="00B54C21" w:rsidP="00DC2291">
      <w:pPr>
        <w:pStyle w:val="Heading3"/>
        <w:rPr>
          <w:lang w:val="de-DE"/>
        </w:rPr>
      </w:pPr>
      <w:bookmarkStart w:id="1030" w:name="_34_MSDN_Operating"/>
      <w:bookmarkStart w:id="1031" w:name="_3_MSDN-Betriebssysteme"/>
      <w:bookmarkStart w:id="1032" w:name="_Toc336338261"/>
      <w:bookmarkStart w:id="1033" w:name="_Toc354054956"/>
      <w:bookmarkEnd w:id="1030"/>
      <w:bookmarkEnd w:id="1031"/>
      <w:r w:rsidRPr="00BB5519">
        <w:rPr>
          <w:rFonts w:ascii="Tahoma" w:hAnsi="Tahoma"/>
          <w:caps/>
          <w:color w:val="F66400"/>
          <w:sz w:val="22"/>
          <w:vertAlign w:val="superscript"/>
          <w:lang w:val="de-DE"/>
        </w:rPr>
        <w:t>3</w:t>
      </w:r>
      <w:r w:rsidRPr="00BB5519">
        <w:rPr>
          <w:rFonts w:ascii="Tahoma" w:hAnsi="Tahoma"/>
          <w:color w:val="F66400"/>
          <w:sz w:val="22"/>
          <w:lang w:val="de-DE"/>
        </w:rPr>
        <w:t xml:space="preserve"> MSDN-Betriebssysteme</w:t>
      </w:r>
      <w:bookmarkEnd w:id="1020"/>
      <w:bookmarkEnd w:id="1032"/>
      <w:bookmarkEnd w:id="1033"/>
    </w:p>
    <w:bookmarkEnd w:id="1021"/>
    <w:bookmarkEnd w:id="1022"/>
    <w:p w:rsidR="00D16EA8" w:rsidRPr="00BB5519" w:rsidRDefault="00D16EA8" w:rsidP="00D16EA8">
      <w:pPr>
        <w:pStyle w:val="FootnoteBulletLevel1"/>
        <w:tabs>
          <w:tab w:val="clear" w:pos="900"/>
        </w:tabs>
        <w:spacing w:before="0" w:after="0"/>
        <w:ind w:left="720" w:firstLine="0"/>
        <w:rPr>
          <w:lang w:val="de-DE"/>
        </w:rPr>
      </w:pPr>
    </w:p>
    <w:p w:rsidR="00D16EA8" w:rsidRPr="00BB5519" w:rsidRDefault="00DC2291" w:rsidP="00864B8A">
      <w:pPr>
        <w:spacing w:after="60"/>
        <w:ind w:left="720"/>
        <w:rPr>
          <w:lang w:val="de-DE"/>
        </w:rPr>
      </w:pPr>
      <w:r w:rsidRPr="00BB5519">
        <w:rPr>
          <w:rFonts w:cs="Tahoma"/>
          <w:b/>
          <w:szCs w:val="20"/>
          <w:lang w:val="de-DE"/>
        </w:rPr>
        <w:t>Software Assurance-Berechtigung</w:t>
      </w:r>
    </w:p>
    <w:p w:rsidR="008368B4" w:rsidRPr="00BB5519" w:rsidRDefault="00DC2291" w:rsidP="001721E7">
      <w:pPr>
        <w:pStyle w:val="EndnoteText"/>
        <w:tabs>
          <w:tab w:val="num" w:pos="1080"/>
        </w:tabs>
        <w:ind w:left="720"/>
        <w:rPr>
          <w:lang w:val="de-DE"/>
        </w:rPr>
      </w:pPr>
      <w:r w:rsidRPr="00BB5519">
        <w:rPr>
          <w:rFonts w:ascii="Tahoma" w:hAnsi="Tahoma" w:cs="Tahoma"/>
          <w:sz w:val="18"/>
          <w:lang w:val="de-DE"/>
        </w:rPr>
        <w:t>Kunden, deren Software Assurance für Lizenzen für die folgenden Produkte abläuft, sind berechtigt, diese als Software Assurance für MSDN-Betriebssysteme zu verlängern. Bei Verlängerung auf einer anderen MSDN-Abonnementebene ersetzen die neuen Nutzungsbestimmungen die alten, und jegliche Software, die</w:t>
      </w:r>
      <w:r w:rsidR="001721E7">
        <w:rPr>
          <w:rFonts w:ascii="Tahoma" w:hAnsi="Tahoma" w:cs="Tahoma"/>
          <w:sz w:val="18"/>
          <w:lang w:val="de-DE"/>
        </w:rPr>
        <w:t> </w:t>
      </w:r>
      <w:r w:rsidRPr="00BB5519">
        <w:rPr>
          <w:rFonts w:ascii="Tahoma" w:hAnsi="Tahoma" w:cs="Tahoma"/>
          <w:sz w:val="18"/>
          <w:lang w:val="de-DE"/>
        </w:rPr>
        <w:t>nicht im neuen MSDN-Abonnement enthalten ist, muss entfernt werden.</w:t>
      </w:r>
    </w:p>
    <w:p w:rsidR="00DC2291" w:rsidRPr="00BB5519" w:rsidRDefault="00DC2291" w:rsidP="00D16EA8">
      <w:pPr>
        <w:pStyle w:val="EndnoteText"/>
        <w:tabs>
          <w:tab w:val="num" w:pos="1080"/>
        </w:tabs>
        <w:ind w:left="720"/>
        <w:rPr>
          <w:lang w:val="de-DE"/>
        </w:rPr>
      </w:pP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Ultimate mit MSDN</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Premium mit MSDN</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Professional mit MSDN</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Professional mit MSDN Embedded</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Test Professional mit MSDN</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Professional mit MSDN Professional</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Professional mit MSDN Premium</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Team System Team Suite mit MSDN Premium</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Team System Test Edition mit MSDN Premium</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Team System Development Edition mit MSDN Premium</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 xml:space="preserve">Visual Studio Team System Architecture Edition mit MSDN Premium </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Visual Studio Team System Database Edition mit MSDN Premium</w:t>
      </w:r>
    </w:p>
    <w:p w:rsidR="00DC2291" w:rsidRPr="00BB5519" w:rsidRDefault="00DC2291" w:rsidP="00D16EA8">
      <w:pPr>
        <w:pStyle w:val="FootnoteBulletLevel2"/>
        <w:numPr>
          <w:ilvl w:val="0"/>
          <w:numId w:val="4"/>
        </w:numPr>
        <w:spacing w:before="0" w:after="60"/>
        <w:ind w:left="1440"/>
      </w:pPr>
      <w:r w:rsidRPr="00BB5519">
        <w:rPr>
          <w:rFonts w:ascii="Tahoma" w:hAnsi="Tahoma" w:cs="Tahoma"/>
          <w:sz w:val="18"/>
        </w:rPr>
        <w:t>MSDN-Betriebssysteme</w:t>
      </w:r>
    </w:p>
    <w:p w:rsidR="00DC2291" w:rsidRPr="00BB5519" w:rsidRDefault="00DC2291" w:rsidP="00D16EA8">
      <w:pPr>
        <w:pStyle w:val="FootnoteBulletLevel2"/>
        <w:numPr>
          <w:ilvl w:val="0"/>
          <w:numId w:val="4"/>
        </w:numPr>
        <w:spacing w:before="0" w:after="60"/>
        <w:ind w:left="1440"/>
        <w:rPr>
          <w:lang w:val="de-DE"/>
        </w:rPr>
      </w:pPr>
      <w:r w:rsidRPr="00BB5519">
        <w:rPr>
          <w:rFonts w:ascii="Tahoma" w:hAnsi="Tahoma" w:cs="Tahoma"/>
          <w:sz w:val="18"/>
          <w:lang w:val="de-DE"/>
        </w:rPr>
        <w:t>Aktives Einzelhandelsabonnement für eine der oben genannten Softwareversionen</w:t>
      </w:r>
    </w:p>
    <w:p w:rsidR="002333B5" w:rsidRPr="00BB5519" w:rsidRDefault="002333B5" w:rsidP="00D16EA8">
      <w:pPr>
        <w:pStyle w:val="FootnoteBulletLevel2"/>
        <w:tabs>
          <w:tab w:val="clear" w:pos="1260"/>
        </w:tabs>
        <w:spacing w:before="0"/>
        <w:ind w:left="0" w:firstLine="0"/>
        <w:rPr>
          <w:lang w:val="de-DE"/>
        </w:rPr>
      </w:pPr>
    </w:p>
    <w:p w:rsidR="00D16EA8" w:rsidRPr="00BB5519" w:rsidRDefault="00F51051" w:rsidP="00FC1DE7">
      <w:pPr>
        <w:keepNext/>
        <w:keepLines/>
        <w:spacing w:after="60"/>
        <w:ind w:left="720"/>
        <w:rPr>
          <w:lang w:val="de-DE"/>
        </w:rPr>
      </w:pPr>
      <w:r w:rsidRPr="00BB5519">
        <w:rPr>
          <w:rFonts w:cs="Tahoma"/>
          <w:b/>
          <w:szCs w:val="20"/>
          <w:lang w:val="de-DE"/>
        </w:rPr>
        <w:lastRenderedPageBreak/>
        <w:t>Abonnementdienste</w:t>
      </w:r>
    </w:p>
    <w:p w:rsidR="00B26237" w:rsidRPr="00BB5519" w:rsidRDefault="002333B5" w:rsidP="00D16EA8">
      <w:pPr>
        <w:pStyle w:val="FootnoteBulletLevel2"/>
        <w:tabs>
          <w:tab w:val="clear" w:pos="1260"/>
        </w:tabs>
        <w:spacing w:before="0"/>
        <w:ind w:left="720" w:firstLine="0"/>
        <w:rPr>
          <w:lang w:val="de-DE"/>
        </w:rPr>
      </w:pPr>
      <w:r w:rsidRPr="00BB5519">
        <w:rPr>
          <w:rFonts w:ascii="Tahoma" w:hAnsi="Tahoma" w:cs="Tahoma"/>
          <w:sz w:val="18"/>
          <w:lang w:val="de-DE"/>
        </w:rPr>
        <w:t>MSDN-Abonnementdienste, die Downloads, Product Keys, Windows Azure-Vergünstigungen, E-Learning, technischen Support, Windows Store-Vergünstigungen und andere Services umfassen können, sind nur verfügbar, während das Abonnement aktiv ist.</w:t>
      </w:r>
    </w:p>
    <w:p w:rsidR="00D16EA8" w:rsidRPr="00BB5519" w:rsidRDefault="00D16EA8" w:rsidP="00D16EA8">
      <w:pPr>
        <w:pStyle w:val="FootnoteBulletLevel2"/>
        <w:tabs>
          <w:tab w:val="clear" w:pos="1260"/>
        </w:tabs>
        <w:spacing w:before="0"/>
        <w:ind w:left="0" w:firstLine="0"/>
        <w:rPr>
          <w:lang w:val="de-DE"/>
        </w:rPr>
      </w:pPr>
    </w:p>
    <w:p w:rsidR="00D16EA8" w:rsidRPr="00BB5519" w:rsidRDefault="00D16EA8" w:rsidP="00D16EA8">
      <w:pPr>
        <w:pStyle w:val="FootnoteBulletLevel2"/>
        <w:tabs>
          <w:tab w:val="clear" w:pos="1260"/>
        </w:tabs>
        <w:spacing w:before="0"/>
        <w:ind w:left="0" w:firstLine="0"/>
        <w:rPr>
          <w:lang w:val="de-DE"/>
        </w:rPr>
      </w:pPr>
    </w:p>
    <w:p w:rsidR="00B26237" w:rsidRPr="00BB5519" w:rsidRDefault="00B54C21" w:rsidP="00B26237">
      <w:pPr>
        <w:pStyle w:val="Heading2"/>
        <w:ind w:left="0"/>
      </w:pPr>
      <w:bookmarkStart w:id="1034" w:name="_6_Office_365"/>
      <w:bookmarkStart w:id="1035" w:name="_45_Office_365"/>
      <w:bookmarkStart w:id="1036" w:name="_4_Office_365"/>
      <w:bookmarkStart w:id="1037" w:name="_Toc336338262"/>
      <w:bookmarkStart w:id="1038" w:name="_Toc354054957"/>
      <w:bookmarkEnd w:id="1034"/>
      <w:bookmarkEnd w:id="1035"/>
      <w:bookmarkEnd w:id="1036"/>
      <w:r w:rsidRPr="00BB5519">
        <w:rPr>
          <w:rFonts w:ascii="Tahoma" w:hAnsi="Tahoma" w:cs="Tahoma"/>
          <w:caps/>
          <w:color w:val="F66400"/>
          <w:sz w:val="22"/>
          <w:szCs w:val="20"/>
          <w:vertAlign w:val="superscript"/>
        </w:rPr>
        <w:t>4</w:t>
      </w:r>
      <w:r w:rsidRPr="00BB5519">
        <w:rPr>
          <w:color w:val="F66400"/>
          <w:sz w:val="22"/>
          <w:szCs w:val="20"/>
        </w:rPr>
        <w:t xml:space="preserve"> </w:t>
      </w:r>
      <w:r w:rsidRPr="00BB5519">
        <w:rPr>
          <w:rFonts w:ascii="Tahoma" w:hAnsi="Tahoma" w:cs="Tahoma"/>
          <w:color w:val="FF6600"/>
          <w:sz w:val="22"/>
          <w:szCs w:val="22"/>
        </w:rPr>
        <w:t>Office 365 Education A2-A4 (Nutzer-AL)</w:t>
      </w:r>
      <w:bookmarkEnd w:id="1037"/>
      <w:bookmarkEnd w:id="1038"/>
    </w:p>
    <w:p w:rsidR="00B26237" w:rsidRPr="00BB5519" w:rsidRDefault="00B26237" w:rsidP="00AE5A9F"/>
    <w:p w:rsidR="00B26237" w:rsidRPr="00BB5519" w:rsidRDefault="00B26237" w:rsidP="001721E7">
      <w:pPr>
        <w:ind w:left="720"/>
        <w:rPr>
          <w:lang w:val="de-DE"/>
        </w:rPr>
      </w:pPr>
      <w:r w:rsidRPr="00BB5519">
        <w:rPr>
          <w:rFonts w:eastAsia="Calibri" w:cs="Tahoma"/>
          <w:color w:val="000000"/>
          <w:szCs w:val="18"/>
          <w:lang w:val="de-DE"/>
        </w:rPr>
        <w:t>Office 365 Education A2-A4 besteht aus speziell für Forschung und Lehre erstellten Versionen derselben Onlinedienste, die Office 365 Enterprise E2-E4 umfassen.</w:t>
      </w:r>
      <w:r w:rsidR="009E4976" w:rsidRPr="00BB5519">
        <w:rPr>
          <w:rFonts w:eastAsia="Calibri" w:cs="Tahoma"/>
          <w:color w:val="000000"/>
          <w:szCs w:val="18"/>
          <w:lang w:val="de-DE"/>
        </w:rPr>
        <w:t xml:space="preserve"> </w:t>
      </w:r>
      <w:r w:rsidRPr="00BB5519">
        <w:rPr>
          <w:rFonts w:eastAsia="Calibri" w:cs="Tahoma"/>
          <w:color w:val="000000"/>
          <w:szCs w:val="18"/>
          <w:lang w:val="de-DE"/>
        </w:rPr>
        <w:t>Nutzungsrechte für Education A2-A4 und ihre Komponenten entsprechen ihren kommerziellen Gegenstücken.</w:t>
      </w:r>
      <w:r w:rsidR="009E4976" w:rsidRPr="00BB5519">
        <w:rPr>
          <w:rFonts w:eastAsia="Calibri" w:cs="Tahoma"/>
          <w:color w:val="000000"/>
          <w:szCs w:val="18"/>
          <w:lang w:val="de-DE"/>
        </w:rPr>
        <w:t xml:space="preserve"> </w:t>
      </w:r>
      <w:r w:rsidRPr="00BB5519">
        <w:rPr>
          <w:rFonts w:eastAsia="Calibri" w:cs="Tahoma"/>
          <w:color w:val="000000"/>
          <w:szCs w:val="18"/>
          <w:lang w:val="de-DE"/>
        </w:rPr>
        <w:t>Nutzern mit Nutzer-ALs für Office</w:t>
      </w:r>
      <w:r w:rsidR="001721E7">
        <w:rPr>
          <w:rFonts w:eastAsia="Calibri" w:cs="Tahoma"/>
          <w:color w:val="000000"/>
          <w:szCs w:val="18"/>
          <w:lang w:val="de-DE"/>
        </w:rPr>
        <w:t> </w:t>
      </w:r>
      <w:r w:rsidRPr="00BB5519">
        <w:rPr>
          <w:rFonts w:eastAsia="Calibri" w:cs="Tahoma"/>
          <w:color w:val="000000"/>
          <w:szCs w:val="18"/>
          <w:lang w:val="de-DE"/>
        </w:rPr>
        <w:t>365</w:t>
      </w:r>
      <w:r w:rsidR="001721E7">
        <w:rPr>
          <w:rFonts w:eastAsia="Calibri" w:cs="Tahoma"/>
          <w:color w:val="000000"/>
          <w:szCs w:val="18"/>
          <w:lang w:val="de-DE"/>
        </w:rPr>
        <w:t> </w:t>
      </w:r>
      <w:r w:rsidRPr="00BB5519">
        <w:rPr>
          <w:rFonts w:eastAsia="Calibri" w:cs="Tahoma"/>
          <w:color w:val="000000"/>
          <w:szCs w:val="18"/>
          <w:lang w:val="de-DE"/>
        </w:rPr>
        <w:t>Education A2 ist es jedoch nicht gestattet, auf lokale Server zuzugreifen.</w:t>
      </w:r>
    </w:p>
    <w:p w:rsidR="00B26237" w:rsidRPr="00BB5519" w:rsidRDefault="00B26237" w:rsidP="00B26237">
      <w:pPr>
        <w:ind w:left="720"/>
        <w:rPr>
          <w:lang w:val="de-DE"/>
        </w:rPr>
      </w:pPr>
    </w:p>
    <w:p w:rsidR="00B26237" w:rsidRPr="00BB5519" w:rsidRDefault="00B26237" w:rsidP="00B26237">
      <w:pPr>
        <w:ind w:left="720"/>
        <w:rPr>
          <w:lang w:val="de-DE"/>
        </w:rPr>
      </w:pPr>
      <w:r w:rsidRPr="00BB5519">
        <w:rPr>
          <w:rFonts w:eastAsia="Calibri" w:cs="Tahoma"/>
          <w:color w:val="000000"/>
          <w:szCs w:val="18"/>
          <w:lang w:val="de-DE"/>
        </w:rPr>
        <w:t>Unter dem School-Vertrag müssen Abonnementlizenzen für Office 365 Pläne pro Nutzer für die gesamte Einrichtung oder nur Teile davon erworben werden. Wenn während der Laufzeit zusätzliche Nutzer-Abonnementlizenzen für den Zugriff auf O365 Plan benötigt werden, muss die Einrichtung eine Bestellung für diese Lizenzen abgeben.</w:t>
      </w:r>
      <w:r w:rsidR="009E4976" w:rsidRPr="00BB5519">
        <w:rPr>
          <w:rFonts w:eastAsia="Calibri" w:cs="Tahoma"/>
          <w:color w:val="000000"/>
          <w:szCs w:val="18"/>
          <w:lang w:val="de-DE"/>
        </w:rPr>
        <w:t xml:space="preserve"> </w:t>
      </w:r>
      <w:r w:rsidRPr="00BB5519">
        <w:rPr>
          <w:rFonts w:eastAsia="Calibri" w:cs="Tahoma"/>
          <w:color w:val="000000"/>
          <w:szCs w:val="18"/>
          <w:lang w:val="de-DE"/>
        </w:rPr>
        <w:t>Die Einrichtung kann jeden O365 Plan nutzen, um die Mindestanforderungen des Programms zu erfüllen. Bei der Lizenzierung des O365 Add-On muss das entsprechende qualifizierende Produkt unter demselben Beitritt lizenziert werden.</w:t>
      </w:r>
      <w:r w:rsidR="009E4976" w:rsidRPr="00BB5519">
        <w:rPr>
          <w:rFonts w:eastAsia="Calibri" w:cs="Tahoma"/>
          <w:color w:val="000000"/>
          <w:szCs w:val="18"/>
          <w:lang w:val="de-DE"/>
        </w:rPr>
        <w:t xml:space="preserve"> </w:t>
      </w:r>
      <w:r w:rsidRPr="00BB5519">
        <w:rPr>
          <w:color w:val="000000"/>
          <w:lang w:val="de-DE"/>
        </w:rP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rsidR="00B26237" w:rsidRPr="00BB5519" w:rsidRDefault="00B26237" w:rsidP="00B26237">
      <w:pPr>
        <w:ind w:left="720"/>
        <w:rPr>
          <w:lang w:val="de-DE"/>
        </w:rPr>
      </w:pPr>
    </w:p>
    <w:p w:rsidR="00996781" w:rsidRPr="00BB5519" w:rsidRDefault="00996781" w:rsidP="00B26237">
      <w:pPr>
        <w:ind w:left="720"/>
        <w:rPr>
          <w:lang w:val="de-DE"/>
        </w:rPr>
      </w:pPr>
      <w:r w:rsidRPr="00BB5519">
        <w:rPr>
          <w:iCs/>
          <w:lang w:val="de-DE"/>
        </w:rPr>
        <w:t>Als zeitlich beschränktes Angebot erhalten Kunden, die für Office 365 Education A1, A2, A3 oder A4 lizenziert sind, mit jeder Nutzerabonnementlizenz für Office 365 Education A1, A2, A3 und A4 eine lizenzierte Kopie von Lync 2013 (oder Lync für Mac 2011) kostenlos. Die Software darf nur mit Office 365 Education A1, A2, A3, A4 (enthält Lync Online) genutzt werden, und alle Rechte zur Nutzung der Software enden bei Ablauf der zugrunde liegende Abonnementlizenz oder bei Migration auf die nächste Hauptversion von Office 365 Education A1, A2, A3, A4 und Lync Online, je nachdem, welches Ereignis zuerst eintritt.</w:t>
      </w:r>
    </w:p>
    <w:p w:rsidR="00996781" w:rsidRPr="00BB5519" w:rsidRDefault="00996781" w:rsidP="00B26237">
      <w:pPr>
        <w:ind w:left="720"/>
        <w:rPr>
          <w:lang w:val="de-DE"/>
        </w:rPr>
      </w:pPr>
    </w:p>
    <w:p w:rsidR="00B26237" w:rsidRPr="00BB5519" w:rsidRDefault="0035314F" w:rsidP="00864B8A">
      <w:pPr>
        <w:spacing w:after="60"/>
        <w:ind w:left="720"/>
        <w:rPr>
          <w:lang w:val="de-DE"/>
        </w:rPr>
      </w:pPr>
      <w:r w:rsidRPr="00BB5519">
        <w:rPr>
          <w:rFonts w:cs="Tahoma"/>
          <w:b/>
          <w:szCs w:val="20"/>
          <w:lang w:val="de-DE"/>
        </w:rPr>
        <w:t>Add-Ons für Nutzer-AL</w:t>
      </w:r>
    </w:p>
    <w:p w:rsidR="00B26237" w:rsidRPr="00BB5519" w:rsidRDefault="00B26237" w:rsidP="00B26237">
      <w:pPr>
        <w:ind w:left="720"/>
        <w:rPr>
          <w:lang w:val="de-DE"/>
        </w:rPr>
      </w:pPr>
      <w:r w:rsidRPr="00BB5519">
        <w:rPr>
          <w:rFonts w:eastAsia="Calibri" w:cs="Tahoma"/>
          <w:color w:val="000000"/>
          <w:szCs w:val="18"/>
          <w:lang w:val="de-DE"/>
        </w:rPr>
        <w:t>Einrichtungen, bei denen qualifizierende Produkte abgedeckt sind, können die entsprechende Nutzer-Abonnementlizenz für O365 Add-On Plan erwerben, wie in der Tabelle unten festgelegt.</w:t>
      </w:r>
      <w:r w:rsidR="009E4976" w:rsidRPr="00BB5519">
        <w:rPr>
          <w:rFonts w:eastAsia="Calibri" w:cs="Tahoma"/>
          <w:color w:val="000000"/>
          <w:szCs w:val="18"/>
          <w:lang w:val="de-DE"/>
        </w:rPr>
        <w:t xml:space="preserve"> </w:t>
      </w:r>
      <w:r w:rsidRPr="00BB5519">
        <w:rPr>
          <w:rFonts w:eastAsia="Calibri" w:cs="Tahoma"/>
          <w:color w:val="000000"/>
          <w:szCs w:val="18"/>
          <w:lang w:val="de-DE"/>
        </w:rPr>
        <w:t>Einrichtungen mit einem School-Vertrag: Einrichtungen können so viele Nutzer-Abonnementlizenzen für O365 Add-On Plan für ihre Nutzer erwerben, wie sie berechtigte PCs besitzen, solange die Abdeckung für die qualifizierenden Produkte beibehalten wird.</w:t>
      </w:r>
      <w:r w:rsidR="009E4976" w:rsidRPr="00BB5519">
        <w:rPr>
          <w:rFonts w:eastAsia="Calibri" w:cs="Tahoma"/>
          <w:color w:val="000000"/>
          <w:szCs w:val="18"/>
          <w:lang w:val="de-DE"/>
        </w:rPr>
        <w:t xml:space="preserve"> </w:t>
      </w:r>
    </w:p>
    <w:p w:rsidR="00B26237" w:rsidRPr="00BB5519" w:rsidRDefault="00B26237" w:rsidP="00B26237">
      <w:pPr>
        <w:rPr>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3"/>
        <w:gridCol w:w="4079"/>
      </w:tblGrid>
      <w:tr w:rsidR="00B26237" w:rsidRPr="00D244F0" w:rsidTr="001721E7">
        <w:tc>
          <w:tcPr>
            <w:tcW w:w="4500" w:type="dxa"/>
            <w:shd w:val="clear" w:color="auto" w:fill="FABF8F"/>
          </w:tcPr>
          <w:p w:rsidR="00B26237" w:rsidRPr="00BB5519" w:rsidRDefault="00B26237" w:rsidP="00B42A20">
            <w:pPr>
              <w:rPr>
                <w:rFonts w:eastAsia="Calibri" w:cs="Tahoma"/>
                <w:b/>
                <w:color w:val="000000"/>
                <w:szCs w:val="18"/>
              </w:rPr>
            </w:pPr>
            <w:r w:rsidRPr="00BB5519">
              <w:rPr>
                <w:rFonts w:eastAsia="Calibri" w:cs="Tahoma"/>
                <w:b/>
                <w:color w:val="000000"/>
                <w:szCs w:val="18"/>
              </w:rPr>
              <w:t>Kriterien für qualifizierende Lizenzen</w:t>
            </w:r>
          </w:p>
        </w:tc>
        <w:tc>
          <w:tcPr>
            <w:tcW w:w="4140" w:type="dxa"/>
            <w:shd w:val="clear" w:color="auto" w:fill="FABF8F"/>
          </w:tcPr>
          <w:p w:rsidR="00B26237" w:rsidRPr="00BB5519" w:rsidRDefault="00B26237" w:rsidP="00B42A20">
            <w:pPr>
              <w:rPr>
                <w:rFonts w:eastAsia="Calibri" w:cs="Tahoma"/>
                <w:b/>
                <w:color w:val="000000"/>
                <w:szCs w:val="18"/>
                <w:lang w:val="de-DE"/>
              </w:rPr>
            </w:pPr>
            <w:r w:rsidRPr="00BB5519">
              <w:rPr>
                <w:rFonts w:eastAsia="Calibri" w:cs="Tahoma"/>
                <w:b/>
                <w:color w:val="000000"/>
                <w:szCs w:val="18"/>
                <w:lang w:val="de-DE"/>
              </w:rPr>
              <w:t>Add-On für Nutzer-AL</w:t>
            </w:r>
          </w:p>
        </w:tc>
      </w:tr>
      <w:tr w:rsidR="00B26237" w:rsidRPr="00BB5519" w:rsidTr="001721E7">
        <w:tc>
          <w:tcPr>
            <w:tcW w:w="4500" w:type="dxa"/>
            <w:shd w:val="clear" w:color="auto" w:fill="auto"/>
          </w:tcPr>
          <w:p w:rsidR="00B26237" w:rsidRPr="00BB5519" w:rsidRDefault="00B26237" w:rsidP="00B42A20">
            <w:pPr>
              <w:rPr>
                <w:rFonts w:eastAsia="Calibri" w:cs="Tahoma"/>
                <w:color w:val="000000"/>
                <w:szCs w:val="18"/>
                <w:lang w:val="fr-FR"/>
              </w:rPr>
            </w:pPr>
            <w:r w:rsidRPr="00BB5519">
              <w:rPr>
                <w:rFonts w:eastAsia="Calibri" w:cs="Tahoma"/>
                <w:color w:val="000000"/>
                <w:szCs w:val="18"/>
                <w:lang w:val="fr-FR"/>
              </w:rPr>
              <w:t>Core CAL Suite</w:t>
            </w:r>
            <w:r w:rsidRPr="00BB5519">
              <w:rPr>
                <w:rFonts w:eastAsia="Calibri" w:cs="Tahoma"/>
                <w:color w:val="000000"/>
                <w:szCs w:val="18"/>
                <w:vertAlign w:val="superscript"/>
                <w:lang w:val="fr-FR"/>
              </w:rPr>
              <w:t>1</w:t>
            </w:r>
            <w:r w:rsidRPr="00BB5519">
              <w:rPr>
                <w:rFonts w:eastAsia="Calibri" w:cs="Tahoma"/>
                <w:color w:val="000000"/>
                <w:szCs w:val="18"/>
                <w:lang w:val="fr-FR"/>
              </w:rPr>
              <w:t xml:space="preserve"> oder ECAL Suite</w:t>
            </w:r>
            <w:r w:rsidRPr="00BB5519">
              <w:rPr>
                <w:rFonts w:eastAsia="Calibri" w:cs="Tahoma"/>
                <w:color w:val="000000"/>
                <w:szCs w:val="18"/>
                <w:vertAlign w:val="superscript"/>
                <w:lang w:val="fr-FR"/>
              </w:rPr>
              <w:t>1</w:t>
            </w:r>
          </w:p>
        </w:tc>
        <w:tc>
          <w:tcPr>
            <w:tcW w:w="4140" w:type="dxa"/>
            <w:shd w:val="clear" w:color="auto" w:fill="auto"/>
          </w:tcPr>
          <w:p w:rsidR="00B26237" w:rsidRPr="00BB5519" w:rsidRDefault="00B26237" w:rsidP="009B3FA2">
            <w:pPr>
              <w:rPr>
                <w:rFonts w:eastAsia="Calibri" w:cs="Tahoma"/>
                <w:color w:val="000000"/>
                <w:szCs w:val="18"/>
              </w:rPr>
            </w:pPr>
            <w:r w:rsidRPr="00BB5519">
              <w:rPr>
                <w:rFonts w:eastAsia="Calibri" w:cs="Tahoma"/>
                <w:color w:val="000000"/>
                <w:szCs w:val="18"/>
              </w:rPr>
              <w:t>Nutzer-AL für Office 365 Education A3 Add-On für Core CAL oder ECAL</w:t>
            </w:r>
          </w:p>
        </w:tc>
      </w:tr>
      <w:tr w:rsidR="00B26237" w:rsidRPr="00BB5519" w:rsidTr="001721E7">
        <w:tc>
          <w:tcPr>
            <w:tcW w:w="4500" w:type="dxa"/>
            <w:shd w:val="clear" w:color="auto" w:fill="auto"/>
          </w:tcPr>
          <w:p w:rsidR="00B26237" w:rsidRPr="00BB5519" w:rsidRDefault="00B26237" w:rsidP="00B42A20">
            <w:pPr>
              <w:rPr>
                <w:rFonts w:eastAsia="Calibri" w:cs="Tahoma"/>
                <w:color w:val="000000"/>
                <w:szCs w:val="18"/>
              </w:rPr>
            </w:pPr>
            <w:r w:rsidRPr="00BB5519">
              <w:rPr>
                <w:rFonts w:eastAsia="Calibri" w:cs="Tahoma"/>
                <w:color w:val="000000"/>
                <w:szCs w:val="18"/>
              </w:rPr>
              <w:t>Office Pro Plus</w:t>
            </w:r>
            <w:r w:rsidRPr="00BB5519">
              <w:rPr>
                <w:rFonts w:eastAsia="Calibri" w:cs="Tahoma"/>
                <w:color w:val="000000"/>
                <w:szCs w:val="18"/>
                <w:vertAlign w:val="superscript"/>
              </w:rPr>
              <w:t>1</w:t>
            </w:r>
          </w:p>
        </w:tc>
        <w:tc>
          <w:tcPr>
            <w:tcW w:w="4140" w:type="dxa"/>
            <w:shd w:val="clear" w:color="auto" w:fill="auto"/>
          </w:tcPr>
          <w:p w:rsidR="00B26237" w:rsidRPr="00BB5519" w:rsidRDefault="00B26237" w:rsidP="009B3FA2">
            <w:pPr>
              <w:rPr>
                <w:rFonts w:eastAsia="Calibri" w:cs="Tahoma"/>
                <w:color w:val="000000"/>
                <w:szCs w:val="18"/>
              </w:rPr>
            </w:pPr>
            <w:r w:rsidRPr="00BB5519">
              <w:rPr>
                <w:rFonts w:eastAsia="Calibri" w:cs="Tahoma"/>
                <w:color w:val="000000"/>
                <w:szCs w:val="18"/>
              </w:rPr>
              <w:t>Nutzer-AL für Office 365 Education A3 Add-On für Office Pro Plus</w:t>
            </w:r>
          </w:p>
        </w:tc>
      </w:tr>
      <w:tr w:rsidR="00B26237" w:rsidRPr="00BB5519" w:rsidTr="001721E7">
        <w:tc>
          <w:tcPr>
            <w:tcW w:w="4500" w:type="dxa"/>
            <w:shd w:val="clear" w:color="auto" w:fill="auto"/>
          </w:tcPr>
          <w:p w:rsidR="00B26237" w:rsidRPr="00BB5519" w:rsidRDefault="00B26237" w:rsidP="00B42A20">
            <w:pPr>
              <w:rPr>
                <w:rFonts w:eastAsia="Calibri" w:cs="Tahoma"/>
                <w:color w:val="000000"/>
                <w:szCs w:val="18"/>
                <w:lang w:val="fr-FR"/>
              </w:rPr>
            </w:pPr>
            <w:r w:rsidRPr="00BB5519">
              <w:rPr>
                <w:rFonts w:eastAsia="Calibri" w:cs="Tahoma"/>
                <w:color w:val="000000"/>
                <w:szCs w:val="18"/>
                <w:lang w:val="fr-FR"/>
              </w:rPr>
              <w:t>Core CAL Suite</w:t>
            </w:r>
            <w:r w:rsidRPr="00BB5519">
              <w:rPr>
                <w:rFonts w:eastAsia="Calibri" w:cs="Tahoma"/>
                <w:color w:val="000000"/>
                <w:szCs w:val="18"/>
                <w:vertAlign w:val="superscript"/>
                <w:lang w:val="fr-FR"/>
              </w:rPr>
              <w:t>1</w:t>
            </w:r>
            <w:r w:rsidRPr="00BB5519">
              <w:rPr>
                <w:rFonts w:eastAsia="Calibri" w:cs="Tahoma"/>
                <w:color w:val="000000"/>
                <w:szCs w:val="18"/>
                <w:lang w:val="fr-FR"/>
              </w:rPr>
              <w:t xml:space="preserve"> oder ECAL Suite</w:t>
            </w:r>
            <w:r w:rsidRPr="00BB5519">
              <w:rPr>
                <w:rFonts w:eastAsia="Calibri" w:cs="Tahoma"/>
                <w:color w:val="000000"/>
                <w:szCs w:val="18"/>
                <w:vertAlign w:val="superscript"/>
                <w:lang w:val="fr-FR"/>
              </w:rPr>
              <w:t>1</w:t>
            </w:r>
            <w:r w:rsidRPr="00BB5519">
              <w:rPr>
                <w:rFonts w:eastAsia="Calibri" w:cs="Tahoma"/>
                <w:color w:val="000000"/>
                <w:szCs w:val="18"/>
                <w:lang w:val="fr-FR"/>
              </w:rPr>
              <w:t xml:space="preserve"> + Office Pro Plus</w:t>
            </w:r>
            <w:r w:rsidRPr="00BB5519">
              <w:rPr>
                <w:rFonts w:eastAsia="Calibri" w:cs="Tahoma"/>
                <w:color w:val="000000"/>
                <w:szCs w:val="18"/>
                <w:vertAlign w:val="superscript"/>
                <w:lang w:val="fr-FR"/>
              </w:rPr>
              <w:t>1</w:t>
            </w:r>
          </w:p>
        </w:tc>
        <w:tc>
          <w:tcPr>
            <w:tcW w:w="4140" w:type="dxa"/>
            <w:shd w:val="clear" w:color="auto" w:fill="auto"/>
          </w:tcPr>
          <w:p w:rsidR="00B26237" w:rsidRPr="00BB5519" w:rsidRDefault="00B26237" w:rsidP="009B3FA2">
            <w:pPr>
              <w:rPr>
                <w:rFonts w:eastAsia="Calibri" w:cs="Tahoma"/>
                <w:color w:val="000000"/>
                <w:szCs w:val="18"/>
              </w:rPr>
            </w:pPr>
            <w:r w:rsidRPr="00BB5519">
              <w:rPr>
                <w:rFonts w:eastAsia="Calibri" w:cs="Tahoma"/>
                <w:color w:val="000000"/>
                <w:szCs w:val="18"/>
              </w:rPr>
              <w:t>Nutzer-AL für Office 365 Education A3 Add-On für Core CAL oder ECAL + Office Pro Plus</w:t>
            </w:r>
          </w:p>
        </w:tc>
      </w:tr>
      <w:tr w:rsidR="00B26237" w:rsidRPr="00BB5519" w:rsidTr="001721E7">
        <w:tc>
          <w:tcPr>
            <w:tcW w:w="4500" w:type="dxa"/>
            <w:shd w:val="clear" w:color="auto" w:fill="auto"/>
          </w:tcPr>
          <w:p w:rsidR="00B26237" w:rsidRPr="00BB5519" w:rsidRDefault="00B26237" w:rsidP="00B42A20">
            <w:pPr>
              <w:rPr>
                <w:rFonts w:eastAsia="Calibri" w:cs="Tahoma"/>
                <w:color w:val="000000"/>
                <w:szCs w:val="18"/>
                <w:lang w:val="fr-FR"/>
              </w:rPr>
            </w:pPr>
            <w:r w:rsidRPr="00BB5519">
              <w:rPr>
                <w:rFonts w:eastAsia="Calibri" w:cs="Tahoma"/>
                <w:color w:val="000000"/>
                <w:szCs w:val="18"/>
                <w:lang w:val="fr-FR"/>
              </w:rPr>
              <w:t>Core CAL Suite</w:t>
            </w:r>
            <w:r w:rsidRPr="00BB5519">
              <w:rPr>
                <w:rFonts w:eastAsia="Calibri" w:cs="Tahoma"/>
                <w:color w:val="000000"/>
                <w:szCs w:val="18"/>
                <w:vertAlign w:val="superscript"/>
                <w:lang w:val="fr-FR"/>
              </w:rPr>
              <w:t>1</w:t>
            </w:r>
            <w:r w:rsidRPr="00BB5519">
              <w:rPr>
                <w:rFonts w:eastAsia="Calibri" w:cs="Tahoma"/>
                <w:color w:val="000000"/>
                <w:szCs w:val="18"/>
                <w:lang w:val="fr-FR"/>
              </w:rPr>
              <w:t xml:space="preserve"> oder ECAL Suite</w:t>
            </w:r>
            <w:r w:rsidRPr="00BB5519">
              <w:rPr>
                <w:rFonts w:eastAsia="Calibri" w:cs="Tahoma"/>
                <w:color w:val="000000"/>
                <w:szCs w:val="18"/>
                <w:vertAlign w:val="superscript"/>
                <w:lang w:val="fr-FR"/>
              </w:rPr>
              <w:t>1</w:t>
            </w:r>
          </w:p>
        </w:tc>
        <w:tc>
          <w:tcPr>
            <w:tcW w:w="4140" w:type="dxa"/>
            <w:shd w:val="clear" w:color="auto" w:fill="auto"/>
          </w:tcPr>
          <w:p w:rsidR="00B26237" w:rsidRPr="00BB5519" w:rsidRDefault="00B26237" w:rsidP="009B3FA2">
            <w:pPr>
              <w:rPr>
                <w:rFonts w:eastAsia="Calibri" w:cs="Tahoma"/>
                <w:color w:val="000000"/>
                <w:szCs w:val="18"/>
              </w:rPr>
            </w:pPr>
            <w:r w:rsidRPr="00BB5519">
              <w:rPr>
                <w:rFonts w:eastAsia="Calibri" w:cs="Tahoma"/>
                <w:color w:val="000000"/>
                <w:szCs w:val="18"/>
              </w:rPr>
              <w:t>Nutzer-AL für Office 365 Education A4 Add-On für Core CAL oder ECAL</w:t>
            </w:r>
          </w:p>
        </w:tc>
      </w:tr>
      <w:tr w:rsidR="00B26237" w:rsidRPr="00BB5519" w:rsidTr="001721E7">
        <w:tc>
          <w:tcPr>
            <w:tcW w:w="4500" w:type="dxa"/>
            <w:shd w:val="clear" w:color="auto" w:fill="auto"/>
          </w:tcPr>
          <w:p w:rsidR="00B26237" w:rsidRPr="00BB5519" w:rsidRDefault="00B26237" w:rsidP="00B42A20">
            <w:pPr>
              <w:rPr>
                <w:rFonts w:eastAsia="Calibri" w:cs="Tahoma"/>
                <w:color w:val="000000"/>
                <w:szCs w:val="18"/>
              </w:rPr>
            </w:pPr>
            <w:r w:rsidRPr="00BB5519">
              <w:rPr>
                <w:rFonts w:eastAsia="Calibri" w:cs="Tahoma"/>
                <w:color w:val="000000"/>
                <w:szCs w:val="18"/>
              </w:rPr>
              <w:t>Office Pro Plus</w:t>
            </w:r>
            <w:r w:rsidRPr="00BB5519">
              <w:rPr>
                <w:rFonts w:eastAsia="Calibri" w:cs="Tahoma"/>
                <w:color w:val="000000"/>
                <w:szCs w:val="18"/>
                <w:vertAlign w:val="superscript"/>
              </w:rPr>
              <w:t>1</w:t>
            </w:r>
          </w:p>
        </w:tc>
        <w:tc>
          <w:tcPr>
            <w:tcW w:w="4140" w:type="dxa"/>
            <w:shd w:val="clear" w:color="auto" w:fill="auto"/>
          </w:tcPr>
          <w:p w:rsidR="00B26237" w:rsidRPr="00BB5519" w:rsidRDefault="00B26237" w:rsidP="009B3FA2">
            <w:pPr>
              <w:rPr>
                <w:rFonts w:eastAsia="Calibri" w:cs="Tahoma"/>
                <w:color w:val="000000"/>
                <w:szCs w:val="18"/>
              </w:rPr>
            </w:pPr>
            <w:r w:rsidRPr="00BB5519">
              <w:rPr>
                <w:rFonts w:eastAsia="Calibri" w:cs="Tahoma"/>
                <w:color w:val="000000"/>
                <w:szCs w:val="18"/>
              </w:rPr>
              <w:t>Nutzer-AL für Office 365 Education A4 Add-On für Office Pro Plus</w:t>
            </w:r>
          </w:p>
        </w:tc>
      </w:tr>
      <w:tr w:rsidR="00B26237" w:rsidRPr="00BB5519" w:rsidTr="001721E7">
        <w:tc>
          <w:tcPr>
            <w:tcW w:w="4500" w:type="dxa"/>
            <w:shd w:val="clear" w:color="auto" w:fill="auto"/>
          </w:tcPr>
          <w:p w:rsidR="00B26237" w:rsidRPr="00BB5519" w:rsidRDefault="00B26237" w:rsidP="00B42A20">
            <w:pPr>
              <w:rPr>
                <w:rFonts w:eastAsia="Calibri" w:cs="Tahoma"/>
                <w:color w:val="000000"/>
                <w:szCs w:val="18"/>
                <w:lang w:val="fr-FR"/>
              </w:rPr>
            </w:pPr>
            <w:r w:rsidRPr="00BB5519">
              <w:rPr>
                <w:rFonts w:eastAsia="Calibri" w:cs="Tahoma"/>
                <w:color w:val="000000"/>
                <w:szCs w:val="18"/>
                <w:lang w:val="fr-FR"/>
              </w:rPr>
              <w:t>Core CAL Suite oder ECAL Suite</w:t>
            </w:r>
            <w:r w:rsidRPr="00BB5519">
              <w:rPr>
                <w:rFonts w:eastAsia="Calibri" w:cs="Tahoma"/>
                <w:color w:val="000000"/>
                <w:szCs w:val="18"/>
                <w:vertAlign w:val="superscript"/>
                <w:lang w:val="fr-FR"/>
              </w:rPr>
              <w:t>1</w:t>
            </w:r>
            <w:r w:rsidRPr="00BB5519">
              <w:rPr>
                <w:rFonts w:eastAsia="Calibri" w:cs="Tahoma"/>
                <w:color w:val="000000"/>
                <w:szCs w:val="18"/>
                <w:lang w:val="fr-FR"/>
              </w:rPr>
              <w:t xml:space="preserve"> + Office Pro Plus</w:t>
            </w:r>
            <w:r w:rsidRPr="00BB5519">
              <w:rPr>
                <w:rFonts w:eastAsia="Calibri" w:cs="Tahoma"/>
                <w:color w:val="000000"/>
                <w:szCs w:val="18"/>
                <w:vertAlign w:val="superscript"/>
                <w:lang w:val="fr-FR"/>
              </w:rPr>
              <w:t>1</w:t>
            </w:r>
          </w:p>
        </w:tc>
        <w:tc>
          <w:tcPr>
            <w:tcW w:w="4140" w:type="dxa"/>
            <w:shd w:val="clear" w:color="auto" w:fill="auto"/>
          </w:tcPr>
          <w:p w:rsidR="00B26237" w:rsidRPr="00BB5519" w:rsidRDefault="00B26237" w:rsidP="009B3FA2">
            <w:pPr>
              <w:rPr>
                <w:rFonts w:eastAsia="Calibri" w:cs="Tahoma"/>
                <w:color w:val="000000"/>
                <w:szCs w:val="18"/>
              </w:rPr>
            </w:pPr>
            <w:r w:rsidRPr="00BB5519">
              <w:rPr>
                <w:rFonts w:eastAsia="Calibri" w:cs="Tahoma"/>
                <w:color w:val="000000"/>
                <w:szCs w:val="18"/>
              </w:rPr>
              <w:t>Nutzer-AL für Office 365 Education A4 Add-On für Core CAL oder ECAL + Office Pro Plus</w:t>
            </w:r>
          </w:p>
        </w:tc>
      </w:tr>
    </w:tbl>
    <w:p w:rsidR="00B26237" w:rsidRPr="00BB5519" w:rsidRDefault="00B26237" w:rsidP="001721E7">
      <w:pPr>
        <w:spacing w:before="20"/>
        <w:ind w:left="907"/>
        <w:rPr>
          <w:lang w:val="de-DE"/>
        </w:rPr>
      </w:pPr>
      <w:r w:rsidRPr="00BB5519">
        <w:rPr>
          <w:rFonts w:eastAsia="Calibri" w:cs="Tahoma"/>
          <w:i/>
          <w:color w:val="000000"/>
          <w:sz w:val="16"/>
          <w:szCs w:val="18"/>
          <w:vertAlign w:val="superscript"/>
          <w:lang w:val="de-DE"/>
        </w:rPr>
        <w:t>1</w:t>
      </w:r>
      <w:r w:rsidRPr="00BB5519">
        <w:rPr>
          <w:rFonts w:eastAsia="Calibri" w:cs="Tahoma"/>
          <w:i/>
          <w:color w:val="000000"/>
          <w:sz w:val="16"/>
          <w:szCs w:val="18"/>
          <w:lang w:val="de-DE"/>
        </w:rPr>
        <w:t>Mit aktiver Software Assurance</w:t>
      </w:r>
    </w:p>
    <w:p w:rsidR="00B26237" w:rsidRPr="00BB5519" w:rsidRDefault="00B26237" w:rsidP="00B26237">
      <w:pPr>
        <w:ind w:left="720"/>
        <w:rPr>
          <w:lang w:val="de-DE"/>
        </w:rPr>
      </w:pPr>
    </w:p>
    <w:p w:rsidR="00B26237" w:rsidRPr="00BB5519" w:rsidRDefault="00B26237" w:rsidP="001721E7">
      <w:pPr>
        <w:ind w:left="720"/>
        <w:rPr>
          <w:lang w:val="de-DE"/>
        </w:rPr>
      </w:pPr>
      <w:r w:rsidRPr="00BB5519">
        <w:rPr>
          <w:rFonts w:eastAsia="Calibri" w:cs="Tahoma"/>
          <w:iCs/>
          <w:color w:val="000000"/>
          <w:szCs w:val="18"/>
          <w:lang w:val="de-DE"/>
        </w:rPr>
        <w:t>Einrichtungen, bei denen allen wissenschaftlichen und sonstigen Mitarbeitern Nutzer-ALs für Office 365 Education A3 oder Office 365 Education A4 zugewiesen wurden, sind berechtigt, Office Professional Plus 2010-Software in frei zugänglichen Räumlichkeiten oder Bibliotheken innerhalb der Organisation der Einrichtung zu installieren.</w:t>
      </w:r>
      <w:r w:rsidR="009E4976" w:rsidRPr="00BB5519">
        <w:rPr>
          <w:rFonts w:eastAsia="Calibri" w:cs="Tahoma"/>
          <w:iCs/>
          <w:color w:val="000000"/>
          <w:szCs w:val="18"/>
          <w:lang w:val="de-DE"/>
        </w:rPr>
        <w:t xml:space="preserve"> </w:t>
      </w:r>
      <w:r w:rsidRPr="00BB5519">
        <w:rPr>
          <w:rFonts w:eastAsia="Calibri" w:cs="Tahoma"/>
          <w:iCs/>
          <w:color w:val="000000"/>
          <w:szCs w:val="18"/>
          <w:lang w:val="de-DE"/>
        </w:rPr>
        <w:t>Nutzer der Software unterliegen ansonsten den Lizenzbestimmungen für Office</w:t>
      </w:r>
      <w:r w:rsidR="001721E7">
        <w:rPr>
          <w:rFonts w:eastAsia="Calibri" w:cs="Tahoma"/>
          <w:iCs/>
          <w:color w:val="000000"/>
          <w:szCs w:val="18"/>
          <w:lang w:val="de-DE"/>
        </w:rPr>
        <w:t> </w:t>
      </w:r>
      <w:r w:rsidRPr="00BB5519">
        <w:rPr>
          <w:rFonts w:eastAsia="Calibri" w:cs="Tahoma"/>
          <w:iCs/>
          <w:color w:val="000000"/>
          <w:szCs w:val="18"/>
          <w:lang w:val="de-DE"/>
        </w:rPr>
        <w:t>Pro Plus 2010.</w:t>
      </w:r>
      <w:r w:rsidR="009E4976" w:rsidRPr="00BB5519">
        <w:rPr>
          <w:rFonts w:eastAsia="Calibri" w:cs="Tahoma"/>
          <w:iCs/>
          <w:color w:val="000000"/>
          <w:szCs w:val="18"/>
          <w:lang w:val="de-DE"/>
        </w:rPr>
        <w:t xml:space="preserve"> </w:t>
      </w:r>
    </w:p>
    <w:p w:rsidR="00B26237" w:rsidRPr="00BB5519" w:rsidRDefault="00B26237" w:rsidP="00B26237">
      <w:pPr>
        <w:ind w:left="720"/>
        <w:rPr>
          <w:lang w:val="de-DE"/>
        </w:rPr>
      </w:pPr>
    </w:p>
    <w:p w:rsidR="00B26237" w:rsidRPr="00BB5519" w:rsidRDefault="00B26237" w:rsidP="001721E7">
      <w:pPr>
        <w:pStyle w:val="FootnoteBulletLevel2"/>
        <w:tabs>
          <w:tab w:val="clear" w:pos="1260"/>
        </w:tabs>
        <w:spacing w:before="0"/>
        <w:ind w:left="720" w:firstLine="0"/>
        <w:rPr>
          <w:lang w:val="de-DE"/>
        </w:rPr>
      </w:pPr>
      <w:r w:rsidRPr="00BB5519">
        <w:rPr>
          <w:rFonts w:ascii="Tahoma" w:eastAsia="Calibri" w:hAnsi="Tahoma" w:cs="Tahoma"/>
          <w:color w:val="000000"/>
          <w:sz w:val="18"/>
          <w:szCs w:val="18"/>
          <w:lang w:val="de-DE"/>
        </w:rPr>
        <w:lastRenderedPageBreak/>
        <w:t>Für Lync Online Plan 1A und Plan 2A muss Microsoft Lync 2013 (oder Lync für Mac 2011) separat erworben und installiert werden, damit alle Features von Lync Online Plan 1A und Plan 2A zur Verfügung stehen. Als</w:t>
      </w:r>
      <w:r w:rsidR="001721E7">
        <w:rPr>
          <w:rFonts w:ascii="Tahoma" w:eastAsia="Calibri" w:hAnsi="Tahoma" w:cs="Tahoma"/>
          <w:color w:val="000000"/>
          <w:sz w:val="18"/>
          <w:szCs w:val="18"/>
          <w:lang w:val="de-DE"/>
        </w:rPr>
        <w:t> </w:t>
      </w:r>
      <w:r w:rsidRPr="00BB5519">
        <w:rPr>
          <w:rFonts w:ascii="Tahoma" w:eastAsia="Calibri" w:hAnsi="Tahoma" w:cs="Tahoma"/>
          <w:color w:val="000000"/>
          <w:sz w:val="18"/>
          <w:szCs w:val="18"/>
          <w:lang w:val="de-DE"/>
        </w:rPr>
        <w:t>zeitlich beschränktes Angebot erhalten Kunden, die für Lync Online lizenziert sind, mit jeder Abonnementlizenz für Lync Online eine lizenzierte Kopie von Lync für Mac 2011 kostenlos. Die Software darf</w:t>
      </w:r>
      <w:r w:rsidR="001721E7">
        <w:rPr>
          <w:rFonts w:ascii="Tahoma" w:eastAsia="Calibri" w:hAnsi="Tahoma" w:cs="Tahoma"/>
          <w:color w:val="000000"/>
          <w:sz w:val="18"/>
          <w:szCs w:val="18"/>
          <w:lang w:val="de-DE"/>
        </w:rPr>
        <w:t> </w:t>
      </w:r>
      <w:r w:rsidRPr="00BB5519">
        <w:rPr>
          <w:rFonts w:ascii="Tahoma" w:eastAsia="Calibri" w:hAnsi="Tahoma" w:cs="Tahoma"/>
          <w:color w:val="000000"/>
          <w:sz w:val="18"/>
          <w:szCs w:val="18"/>
          <w:lang w:val="de-DE"/>
        </w:rPr>
        <w:t>nur mit Lync Online genutzt werden, und alle Rechte zur Nutzung der Software enden bei Ablauf der zugrunde liegende Abonnementlizenz oder bei Migration auf die nächste Hauptversion von Lync Online, je nachdem, welches Ereignis zuerst eintritt.</w:t>
      </w:r>
      <w:r w:rsidR="009E4976" w:rsidRPr="00BB5519">
        <w:rPr>
          <w:rFonts w:ascii="Tahoma" w:eastAsia="Calibri" w:hAnsi="Tahoma" w:cs="Tahoma"/>
          <w:color w:val="000000"/>
          <w:sz w:val="18"/>
          <w:szCs w:val="18"/>
          <w:lang w:val="de-DE"/>
        </w:rPr>
        <w:t xml:space="preserve"> </w:t>
      </w:r>
      <w:r w:rsidRPr="00BB5519">
        <w:rPr>
          <w:rFonts w:ascii="Tahoma" w:eastAsia="Calibri" w:hAnsi="Tahoma" w:cs="Tahoma"/>
          <w:color w:val="000000"/>
          <w:sz w:val="18"/>
          <w:szCs w:val="18"/>
          <w:lang w:val="de-DE"/>
        </w:rPr>
        <w:t>Kunden sind berechtigt, den kostenlosen Lync Basic 2013-Client für ihre Windows-basierten Endbenutzer zu nutzen.</w:t>
      </w:r>
    </w:p>
    <w:p w:rsidR="00B26237" w:rsidRPr="00BB5519" w:rsidRDefault="00B26237" w:rsidP="00E03856">
      <w:pPr>
        <w:pStyle w:val="FootnoteBulletLevel2"/>
        <w:tabs>
          <w:tab w:val="clear" w:pos="1260"/>
        </w:tabs>
        <w:spacing w:before="0"/>
        <w:ind w:left="0" w:firstLine="0"/>
        <w:rPr>
          <w:lang w:val="de-DE"/>
        </w:rPr>
      </w:pPr>
    </w:p>
    <w:p w:rsidR="00B26237" w:rsidRPr="00BB5519" w:rsidRDefault="00B26237" w:rsidP="00D16EA8">
      <w:pPr>
        <w:pStyle w:val="FootnoteBulletLevel2"/>
        <w:tabs>
          <w:tab w:val="clear" w:pos="1260"/>
        </w:tabs>
        <w:spacing w:before="0"/>
        <w:ind w:left="0" w:firstLine="0"/>
        <w:rPr>
          <w:lang w:val="de-DE"/>
        </w:rPr>
      </w:pPr>
    </w:p>
    <w:p w:rsidR="00996781" w:rsidRPr="00BB5519" w:rsidRDefault="00B54C21" w:rsidP="00B26237">
      <w:pPr>
        <w:pStyle w:val="Heading2"/>
        <w:ind w:left="0"/>
        <w:rPr>
          <w:lang w:val="de-DE"/>
        </w:rPr>
      </w:pPr>
      <w:bookmarkStart w:id="1039" w:name="_7_Office_365"/>
      <w:bookmarkStart w:id="1040" w:name="_65_Office_365"/>
      <w:bookmarkStart w:id="1041" w:name="_5_Office_365"/>
      <w:bookmarkStart w:id="1042" w:name="_Toc354054958"/>
      <w:bookmarkStart w:id="1043" w:name="_Toc336338263"/>
      <w:bookmarkEnd w:id="1039"/>
      <w:bookmarkEnd w:id="1040"/>
      <w:bookmarkEnd w:id="1041"/>
      <w:r w:rsidRPr="00BB5519">
        <w:rPr>
          <w:rFonts w:ascii="Tahoma" w:hAnsi="Tahoma" w:cs="Tahoma"/>
          <w:caps/>
          <w:color w:val="FF6600"/>
          <w:sz w:val="22"/>
          <w:szCs w:val="22"/>
          <w:vertAlign w:val="superscript"/>
          <w:lang w:val="de-DE"/>
        </w:rPr>
        <w:t>5</w:t>
      </w:r>
      <w:r w:rsidRPr="00BB5519">
        <w:rPr>
          <w:rFonts w:ascii="Tahoma" w:hAnsi="Tahoma" w:cs="Tahoma"/>
          <w:color w:val="FF6600"/>
          <w:lang w:val="de-DE"/>
        </w:rPr>
        <w:t xml:space="preserve"> </w:t>
      </w:r>
      <w:r w:rsidRPr="00BB5519">
        <w:rPr>
          <w:rFonts w:ascii="Tahoma" w:hAnsi="Tahoma" w:cs="Tahoma"/>
          <w:color w:val="FF6600"/>
          <w:sz w:val="22"/>
          <w:szCs w:val="22"/>
          <w:lang w:val="de-DE"/>
        </w:rPr>
        <w:t>Office 365 Midsize Business</w:t>
      </w:r>
      <w:bookmarkEnd w:id="1042"/>
    </w:p>
    <w:p w:rsidR="00996781" w:rsidRPr="00BB5519" w:rsidRDefault="00996781" w:rsidP="00996781">
      <w:pPr>
        <w:ind w:left="720"/>
        <w:rPr>
          <w:lang w:val="de-DE"/>
        </w:rPr>
      </w:pPr>
    </w:p>
    <w:p w:rsidR="00996781" w:rsidRPr="00BB5519" w:rsidRDefault="00996781" w:rsidP="001721E7">
      <w:pPr>
        <w:ind w:left="720"/>
        <w:rPr>
          <w:lang w:val="de-DE"/>
        </w:rPr>
      </w:pPr>
      <w:r w:rsidRPr="00BB5519">
        <w:rPr>
          <w:color w:val="000000"/>
          <w:lang w:val="de-DE"/>
        </w:rPr>
        <w:t>Office 365 Midsized Business richtet sich an Kunden mit einer Organisationsgröße von 10 bis 250 Arbeitsplätzen.</w:t>
      </w:r>
      <w:r w:rsidR="009E4976" w:rsidRPr="00BB5519">
        <w:rPr>
          <w:color w:val="000000"/>
          <w:lang w:val="de-DE"/>
        </w:rPr>
        <w:t xml:space="preserve"> </w:t>
      </w:r>
      <w:r w:rsidRPr="00BB5519">
        <w:rPr>
          <w:color w:val="000000"/>
          <w:lang w:val="de-DE"/>
        </w:rPr>
        <w:t>Die Lösung wird nur als Open-Lizenz-, Open Value- und Open Value Subscription-Programm</w:t>
      </w:r>
      <w:r w:rsidR="001721E7">
        <w:rPr>
          <w:color w:val="000000"/>
          <w:lang w:val="de-DE"/>
        </w:rPr>
        <w:t> </w:t>
      </w:r>
      <w:r w:rsidRPr="00BB5519">
        <w:rPr>
          <w:color w:val="000000"/>
          <w:lang w:val="de-DE"/>
        </w:rPr>
        <w:t>verkauft.</w:t>
      </w:r>
      <w:r w:rsidR="009E4976" w:rsidRPr="00BB5519">
        <w:rPr>
          <w:color w:val="000000"/>
          <w:lang w:val="de-DE"/>
        </w:rPr>
        <w:t xml:space="preserve"> </w:t>
      </w:r>
      <w:r w:rsidRPr="00BB5519">
        <w:rPr>
          <w:color w:val="000000"/>
          <w:lang w:val="de-DE"/>
        </w:rPr>
        <w:t>Nach dem Erwerb von Office 365 Midsized Business erhalten Sie einen Produktschlüssel</w:t>
      </w:r>
      <w:r w:rsidR="001721E7">
        <w:rPr>
          <w:color w:val="000000"/>
          <w:lang w:val="de-DE"/>
        </w:rPr>
        <w:t> </w:t>
      </w:r>
      <w:r w:rsidRPr="00BB5519">
        <w:rPr>
          <w:color w:val="000000"/>
          <w:lang w:val="de-DE"/>
        </w:rPr>
        <w:t xml:space="preserve">zur Aktivierung des Dienstes. </w:t>
      </w:r>
    </w:p>
    <w:p w:rsidR="00996781" w:rsidRPr="00BB5519" w:rsidRDefault="00996781" w:rsidP="00996781">
      <w:pPr>
        <w:ind w:left="720"/>
        <w:rPr>
          <w:lang w:val="de-DE"/>
        </w:rPr>
      </w:pPr>
    </w:p>
    <w:p w:rsidR="00996781" w:rsidRPr="00BB5519" w:rsidRDefault="00996781" w:rsidP="00996781">
      <w:pPr>
        <w:ind w:left="720"/>
        <w:rPr>
          <w:lang w:val="de-DE"/>
        </w:rPr>
      </w:pPr>
      <w:r w:rsidRPr="00BB5519">
        <w:rPr>
          <w:color w:val="000000"/>
          <w:lang w:val="de-DE"/>
        </w:rPr>
        <w:t>Office 365 Midsized Business wird nach Zahlung sofort und für ein Jahr verkauft.</w:t>
      </w:r>
      <w:r w:rsidR="009E4976" w:rsidRPr="00BB5519">
        <w:rPr>
          <w:color w:val="000000"/>
          <w:lang w:val="de-DE"/>
        </w:rPr>
        <w:t xml:space="preserve"> </w:t>
      </w:r>
      <w:r w:rsidRPr="00BB5519">
        <w:rPr>
          <w:color w:val="000000"/>
          <w:lang w:val="de-DE"/>
        </w:rPr>
        <w:t>Das Anfangs- und das Enddatum des Diensteabonnements ist von der Laufzeit des Volumenlizenzvertrages unabhängig.</w:t>
      </w:r>
      <w:r w:rsidR="009E4976" w:rsidRPr="00BB5519">
        <w:rPr>
          <w:color w:val="000000"/>
          <w:lang w:val="de-DE"/>
        </w:rPr>
        <w:t xml:space="preserve"> </w:t>
      </w:r>
      <w:r w:rsidRPr="00BB5519">
        <w:rPr>
          <w:color w:val="000000"/>
          <w:lang w:val="de-DE"/>
        </w:rPr>
        <w:t>Der Abonnementzeitraum beginnt mit der Aktivierung des Produktschlüssels und nicht zum Zeitpunkt der Bestellung.</w:t>
      </w:r>
      <w:r w:rsidR="009E4976" w:rsidRPr="00BB5519">
        <w:rPr>
          <w:color w:val="000000"/>
          <w:lang w:val="de-DE"/>
        </w:rPr>
        <w:t xml:space="preserve"> </w:t>
      </w:r>
      <w:r w:rsidRPr="00BB5519">
        <w:rPr>
          <w:color w:val="000000"/>
          <w:lang w:val="de-DE"/>
        </w:rPr>
        <w:t xml:space="preserve">Nach der Aktivierung des Office 365-Produktschlüssels wird Microsoft von seinen Partnern eingereichte Rückgabeanträge abweisen. </w:t>
      </w:r>
    </w:p>
    <w:p w:rsidR="00996781" w:rsidRPr="00BB5519" w:rsidRDefault="00996781" w:rsidP="00996781">
      <w:pPr>
        <w:ind w:left="720"/>
        <w:rPr>
          <w:lang w:val="de-DE"/>
        </w:rPr>
      </w:pPr>
    </w:p>
    <w:p w:rsidR="00996781" w:rsidRPr="00BB5519" w:rsidRDefault="00996781" w:rsidP="00996781">
      <w:pPr>
        <w:ind w:left="720"/>
        <w:rPr>
          <w:lang w:val="de-DE"/>
        </w:rPr>
      </w:pPr>
      <w:r w:rsidRPr="00BB5519">
        <w:rPr>
          <w:color w:val="000000"/>
          <w:lang w:val="de-DE"/>
        </w:rPr>
        <w:t>Endkunden mit einem aktiven Open Value-/Open Value Subscription-Vertrag mit einer organisationsweiten Verpflichtung für Office Pro Plus und/oder einer Client-Zugriffslizenz-Suite können Office 365 Midsized Business zu einem reduzierten Preis erwerben.</w:t>
      </w:r>
      <w:r w:rsidR="009E4976" w:rsidRPr="00BB5519">
        <w:rPr>
          <w:color w:val="000000"/>
          <w:lang w:val="de-DE"/>
        </w:rPr>
        <w:t xml:space="preserve"> </w:t>
      </w:r>
      <w:r w:rsidRPr="00BB5519">
        <w:rPr>
          <w:color w:val="000000"/>
          <w:lang w:val="de-DE"/>
        </w:rPr>
        <w:t xml:space="preserve">Dieses Angebot wird als „Office 365 Open Value-Angebot“ bezeichnet. Weitere Einzelheiten erhalten Kunden von ihrem Handelspartner. </w:t>
      </w:r>
    </w:p>
    <w:p w:rsidR="00996781" w:rsidRPr="00BB5519" w:rsidRDefault="00996781" w:rsidP="00996781">
      <w:pPr>
        <w:ind w:left="720"/>
        <w:rPr>
          <w:lang w:val="de-DE"/>
        </w:rPr>
      </w:pPr>
    </w:p>
    <w:p w:rsidR="00996781" w:rsidRPr="00BB5519" w:rsidRDefault="00996781" w:rsidP="00996781">
      <w:pPr>
        <w:ind w:left="720"/>
        <w:rPr>
          <w:lang w:val="de-DE"/>
        </w:rPr>
      </w:pPr>
      <w:r w:rsidRPr="00BB5519">
        <w:rPr>
          <w:color w:val="000000"/>
          <w:lang w:val="de-DE"/>
        </w:rPr>
        <w:t>Die aktuellen Produktbenutzungsrechte sind bei einem Widerspruch zwischen den Lizenzbestimmungen für Office 365 Midsized Business und diesem Hinweis maßgeblich.</w:t>
      </w:r>
    </w:p>
    <w:p w:rsidR="00996781" w:rsidRPr="00BB5519" w:rsidRDefault="00996781" w:rsidP="00B26237">
      <w:pPr>
        <w:pStyle w:val="Heading2"/>
        <w:ind w:left="0"/>
        <w:rPr>
          <w:lang w:val="de-DE"/>
        </w:rPr>
      </w:pPr>
    </w:p>
    <w:p w:rsidR="00996781" w:rsidRPr="00BB5519" w:rsidRDefault="00996781" w:rsidP="00B26237">
      <w:pPr>
        <w:pStyle w:val="Heading2"/>
        <w:ind w:left="0"/>
        <w:rPr>
          <w:lang w:val="de-DE"/>
        </w:rPr>
      </w:pPr>
    </w:p>
    <w:p w:rsidR="00B26237" w:rsidRPr="00BB5519" w:rsidRDefault="004668D9" w:rsidP="00B26237">
      <w:pPr>
        <w:pStyle w:val="Heading2"/>
        <w:ind w:left="0"/>
        <w:rPr>
          <w:lang w:val="de-DE"/>
        </w:rPr>
      </w:pPr>
      <w:bookmarkStart w:id="1044" w:name="_6_Office_365_1"/>
      <w:bookmarkStart w:id="1045" w:name="_Toc354054959"/>
      <w:bookmarkEnd w:id="1044"/>
      <w:r w:rsidRPr="00BB5519">
        <w:rPr>
          <w:rFonts w:ascii="Tahoma" w:hAnsi="Tahoma" w:cs="Tahoma"/>
          <w:caps/>
          <w:color w:val="FF6600"/>
          <w:sz w:val="22"/>
          <w:szCs w:val="22"/>
          <w:vertAlign w:val="superscript"/>
          <w:lang w:val="de-DE"/>
        </w:rPr>
        <w:t xml:space="preserve">6 </w:t>
      </w:r>
      <w:r w:rsidRPr="00BB5519">
        <w:rPr>
          <w:rFonts w:ascii="Tahoma" w:hAnsi="Tahoma" w:cs="Tahoma"/>
          <w:color w:val="FF6600"/>
          <w:sz w:val="22"/>
          <w:szCs w:val="22"/>
          <w:lang w:val="de-DE"/>
        </w:rPr>
        <w:t>Office 365 Enterprise E2-E4</w:t>
      </w:r>
      <w:bookmarkEnd w:id="1043"/>
      <w:bookmarkEnd w:id="1045"/>
    </w:p>
    <w:p w:rsidR="00B26237" w:rsidRPr="00BB5519" w:rsidRDefault="00B26237" w:rsidP="00AE5A9F">
      <w:pPr>
        <w:rPr>
          <w:lang w:val="de-DE"/>
        </w:rPr>
      </w:pPr>
    </w:p>
    <w:p w:rsidR="00B26237" w:rsidRPr="00BB5519" w:rsidRDefault="00B26237" w:rsidP="00B26237">
      <w:pPr>
        <w:ind w:left="720"/>
        <w:rPr>
          <w:lang w:val="de-DE"/>
        </w:rPr>
      </w:pPr>
      <w:r w:rsidRPr="00BB5519">
        <w:rPr>
          <w:color w:val="000000"/>
          <w:lang w:val="de-DE"/>
        </w:rPr>
        <w:t>Office 365 Plan E2 - E4 bietet Zugriff auf die folgenden Onlinedienste:</w:t>
      </w:r>
    </w:p>
    <w:p w:rsidR="00B26237" w:rsidRPr="00BB5519" w:rsidRDefault="00B26237" w:rsidP="00B26237">
      <w:pPr>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BB5519" w:rsidTr="007E466C">
        <w:tc>
          <w:tcPr>
            <w:tcW w:w="2760" w:type="dxa"/>
            <w:shd w:val="clear" w:color="auto" w:fill="FABF8F"/>
          </w:tcPr>
          <w:p w:rsidR="00B26237" w:rsidRPr="00BB5519" w:rsidRDefault="00B26237" w:rsidP="009B3FA2">
            <w:pPr>
              <w:jc w:val="center"/>
              <w:rPr>
                <w:rFonts w:eastAsia="Calibri"/>
                <w:b/>
                <w:color w:val="000000"/>
                <w:sz w:val="20"/>
              </w:rPr>
            </w:pPr>
            <w:r w:rsidRPr="00BB5519">
              <w:rPr>
                <w:rFonts w:eastAsia="Calibri"/>
                <w:b/>
                <w:color w:val="000000"/>
                <w:sz w:val="20"/>
              </w:rPr>
              <w:t>Office 365 Enterprise E2</w:t>
            </w:r>
          </w:p>
        </w:tc>
        <w:tc>
          <w:tcPr>
            <w:tcW w:w="2765" w:type="dxa"/>
            <w:shd w:val="clear" w:color="auto" w:fill="FABF8F"/>
          </w:tcPr>
          <w:p w:rsidR="00B26237" w:rsidRPr="00BB5519" w:rsidRDefault="00B26237" w:rsidP="009B3FA2">
            <w:pPr>
              <w:jc w:val="center"/>
              <w:rPr>
                <w:rFonts w:eastAsia="Calibri"/>
                <w:b/>
                <w:color w:val="000000"/>
                <w:sz w:val="20"/>
              </w:rPr>
            </w:pPr>
            <w:r w:rsidRPr="00BB5519">
              <w:rPr>
                <w:rFonts w:eastAsia="Calibri"/>
                <w:b/>
                <w:color w:val="000000"/>
                <w:sz w:val="20"/>
              </w:rPr>
              <w:t>Office 365 Enterprise E3</w:t>
            </w:r>
          </w:p>
        </w:tc>
        <w:tc>
          <w:tcPr>
            <w:tcW w:w="2765" w:type="dxa"/>
            <w:shd w:val="clear" w:color="auto" w:fill="FABF8F"/>
          </w:tcPr>
          <w:p w:rsidR="00B26237" w:rsidRPr="00BB5519" w:rsidRDefault="00B26237" w:rsidP="009B3FA2">
            <w:pPr>
              <w:jc w:val="center"/>
              <w:rPr>
                <w:rFonts w:eastAsia="Calibri"/>
                <w:b/>
                <w:color w:val="000000"/>
                <w:sz w:val="20"/>
              </w:rPr>
            </w:pPr>
            <w:r w:rsidRPr="00BB5519">
              <w:rPr>
                <w:rFonts w:eastAsia="Calibri"/>
                <w:b/>
                <w:color w:val="000000"/>
                <w:sz w:val="20"/>
              </w:rPr>
              <w:t>Office 365 Enterprise E4</w:t>
            </w:r>
          </w:p>
        </w:tc>
      </w:tr>
      <w:tr w:rsidR="00B26237" w:rsidRPr="00BB5519" w:rsidTr="007E466C">
        <w:tc>
          <w:tcPr>
            <w:tcW w:w="2760" w:type="dxa"/>
            <w:shd w:val="clear" w:color="auto" w:fill="auto"/>
          </w:tcPr>
          <w:p w:rsidR="00B26237" w:rsidRPr="00BB5519" w:rsidRDefault="00B26237" w:rsidP="00B42A20">
            <w:pPr>
              <w:ind w:left="180" w:right="186"/>
              <w:rPr>
                <w:rFonts w:eastAsia="Calibri"/>
                <w:color w:val="000000"/>
              </w:rPr>
            </w:pPr>
            <w:r w:rsidRPr="00BB5519">
              <w:rPr>
                <w:rFonts w:eastAsia="Calibri"/>
                <w:color w:val="000000"/>
              </w:rPr>
              <w:t>Exchange Online Plan 1</w:t>
            </w:r>
          </w:p>
        </w:tc>
        <w:tc>
          <w:tcPr>
            <w:tcW w:w="2765" w:type="dxa"/>
            <w:shd w:val="clear" w:color="auto" w:fill="auto"/>
          </w:tcPr>
          <w:p w:rsidR="00B26237" w:rsidRPr="00BB5519" w:rsidRDefault="00B26237" w:rsidP="00B42A20">
            <w:pPr>
              <w:ind w:left="138" w:right="138"/>
              <w:rPr>
                <w:rFonts w:eastAsia="Calibri"/>
                <w:color w:val="000000"/>
              </w:rPr>
            </w:pPr>
            <w:r w:rsidRPr="00BB5519">
              <w:rPr>
                <w:rFonts w:eastAsia="Calibri"/>
                <w:color w:val="000000"/>
              </w:rPr>
              <w:t>Exchange Online Plan 2</w:t>
            </w:r>
          </w:p>
        </w:tc>
        <w:tc>
          <w:tcPr>
            <w:tcW w:w="2765" w:type="dxa"/>
            <w:shd w:val="clear" w:color="auto" w:fill="auto"/>
          </w:tcPr>
          <w:p w:rsidR="00B26237" w:rsidRPr="00BB5519" w:rsidRDefault="00B26237" w:rsidP="00B42A20">
            <w:pPr>
              <w:ind w:left="186" w:right="180"/>
              <w:rPr>
                <w:rFonts w:eastAsia="Calibri"/>
                <w:color w:val="000000"/>
              </w:rPr>
            </w:pPr>
            <w:r w:rsidRPr="00BB5519">
              <w:rPr>
                <w:rFonts w:eastAsia="Calibri"/>
                <w:color w:val="000000"/>
              </w:rPr>
              <w:t>Exchange Online Plan 2</w:t>
            </w:r>
          </w:p>
        </w:tc>
      </w:tr>
      <w:tr w:rsidR="00B26237" w:rsidRPr="00BB5519" w:rsidTr="007E466C">
        <w:tc>
          <w:tcPr>
            <w:tcW w:w="2760" w:type="dxa"/>
            <w:shd w:val="clear" w:color="auto" w:fill="auto"/>
          </w:tcPr>
          <w:p w:rsidR="00B26237" w:rsidRPr="00BB5519" w:rsidRDefault="00B26237" w:rsidP="00B42A20">
            <w:pPr>
              <w:ind w:left="180" w:right="186"/>
              <w:rPr>
                <w:rFonts w:eastAsia="Calibri"/>
                <w:color w:val="000000"/>
              </w:rPr>
            </w:pPr>
            <w:r w:rsidRPr="00BB5519">
              <w:rPr>
                <w:rFonts w:eastAsia="Calibri"/>
                <w:color w:val="000000"/>
              </w:rPr>
              <w:t>SharePoint Online Plan 1</w:t>
            </w:r>
          </w:p>
        </w:tc>
        <w:tc>
          <w:tcPr>
            <w:tcW w:w="2765" w:type="dxa"/>
            <w:shd w:val="clear" w:color="auto" w:fill="auto"/>
          </w:tcPr>
          <w:p w:rsidR="00B26237" w:rsidRPr="00BB5519" w:rsidRDefault="00B26237" w:rsidP="00B42A20">
            <w:pPr>
              <w:ind w:left="138" w:right="138"/>
              <w:rPr>
                <w:rFonts w:eastAsia="Calibri"/>
                <w:color w:val="000000"/>
              </w:rPr>
            </w:pPr>
            <w:r w:rsidRPr="00BB5519">
              <w:rPr>
                <w:rFonts w:eastAsia="Calibri"/>
                <w:color w:val="000000"/>
              </w:rPr>
              <w:t>SharePoint Online Plan 2</w:t>
            </w:r>
          </w:p>
        </w:tc>
        <w:tc>
          <w:tcPr>
            <w:tcW w:w="2765" w:type="dxa"/>
            <w:shd w:val="clear" w:color="auto" w:fill="auto"/>
          </w:tcPr>
          <w:p w:rsidR="00B26237" w:rsidRPr="00BB5519" w:rsidRDefault="00B26237" w:rsidP="00B42A20">
            <w:pPr>
              <w:ind w:left="186" w:right="180"/>
              <w:rPr>
                <w:rFonts w:eastAsia="Calibri"/>
                <w:color w:val="000000"/>
              </w:rPr>
            </w:pPr>
            <w:r w:rsidRPr="00BB5519">
              <w:rPr>
                <w:rFonts w:eastAsia="Calibri"/>
                <w:color w:val="000000"/>
              </w:rPr>
              <w:t>SharePoint Online Plan 2</w:t>
            </w:r>
          </w:p>
        </w:tc>
      </w:tr>
      <w:tr w:rsidR="00B26237" w:rsidRPr="00BB5519" w:rsidTr="007E466C">
        <w:tc>
          <w:tcPr>
            <w:tcW w:w="2760" w:type="dxa"/>
            <w:shd w:val="clear" w:color="auto" w:fill="auto"/>
          </w:tcPr>
          <w:p w:rsidR="00B26237" w:rsidRPr="00BB5519" w:rsidRDefault="00B26237" w:rsidP="00B42A20">
            <w:pPr>
              <w:ind w:left="180" w:right="186"/>
              <w:rPr>
                <w:rFonts w:eastAsia="Calibri"/>
                <w:color w:val="000000"/>
              </w:rPr>
            </w:pPr>
            <w:r w:rsidRPr="00BB5519">
              <w:rPr>
                <w:rFonts w:eastAsia="Calibri"/>
                <w:color w:val="000000"/>
              </w:rPr>
              <w:t>Lync Online Plan 2</w:t>
            </w:r>
          </w:p>
        </w:tc>
        <w:tc>
          <w:tcPr>
            <w:tcW w:w="2765" w:type="dxa"/>
            <w:shd w:val="clear" w:color="auto" w:fill="auto"/>
          </w:tcPr>
          <w:p w:rsidR="00B26237" w:rsidRPr="00BB5519" w:rsidRDefault="00B26237" w:rsidP="00B42A20">
            <w:pPr>
              <w:ind w:left="138" w:right="138"/>
              <w:rPr>
                <w:rFonts w:eastAsia="Calibri"/>
                <w:color w:val="000000"/>
              </w:rPr>
            </w:pPr>
            <w:r w:rsidRPr="00BB5519">
              <w:rPr>
                <w:rFonts w:eastAsia="Calibri"/>
                <w:color w:val="000000"/>
              </w:rPr>
              <w:t>Lync Online Plan 2</w:t>
            </w:r>
          </w:p>
        </w:tc>
        <w:tc>
          <w:tcPr>
            <w:tcW w:w="2765" w:type="dxa"/>
            <w:shd w:val="clear" w:color="auto" w:fill="auto"/>
          </w:tcPr>
          <w:p w:rsidR="00B26237" w:rsidRPr="00BB5519" w:rsidRDefault="00B26237" w:rsidP="00B42A20">
            <w:pPr>
              <w:ind w:left="186" w:right="180"/>
              <w:rPr>
                <w:rFonts w:eastAsia="Calibri"/>
                <w:color w:val="000000"/>
              </w:rPr>
            </w:pPr>
            <w:r w:rsidRPr="00BB5519">
              <w:rPr>
                <w:rFonts w:eastAsia="Calibri"/>
                <w:color w:val="000000"/>
              </w:rPr>
              <w:t>Lync Online Plan 2</w:t>
            </w:r>
          </w:p>
        </w:tc>
      </w:tr>
      <w:tr w:rsidR="00B26237" w:rsidRPr="00D244F0" w:rsidTr="007E466C">
        <w:tc>
          <w:tcPr>
            <w:tcW w:w="2760" w:type="dxa"/>
            <w:shd w:val="clear" w:color="auto" w:fill="auto"/>
          </w:tcPr>
          <w:p w:rsidR="00B26237" w:rsidRPr="00BB5519" w:rsidRDefault="00B26237" w:rsidP="00B42A20">
            <w:pPr>
              <w:ind w:left="180" w:right="186"/>
              <w:rPr>
                <w:rFonts w:eastAsia="Calibri"/>
                <w:color w:val="000000"/>
                <w:lang w:val="de-DE"/>
              </w:rPr>
            </w:pPr>
            <w:r w:rsidRPr="00BB5519">
              <w:rPr>
                <w:rFonts w:eastAsia="Calibri"/>
                <w:color w:val="000000"/>
                <w:lang w:val="de-DE"/>
              </w:rPr>
              <w:t>Office-Webanwendungen (von Microsoft gehostet)</w:t>
            </w:r>
          </w:p>
        </w:tc>
        <w:tc>
          <w:tcPr>
            <w:tcW w:w="2765" w:type="dxa"/>
            <w:shd w:val="clear" w:color="auto" w:fill="auto"/>
          </w:tcPr>
          <w:p w:rsidR="00B26237" w:rsidRPr="00BB5519" w:rsidRDefault="00B26237" w:rsidP="00B42A20">
            <w:pPr>
              <w:ind w:left="138" w:right="138"/>
              <w:rPr>
                <w:rFonts w:eastAsia="Calibri"/>
                <w:color w:val="000000"/>
                <w:lang w:val="de-DE"/>
              </w:rPr>
            </w:pPr>
            <w:r w:rsidRPr="00BB5519">
              <w:rPr>
                <w:rFonts w:eastAsia="Calibri"/>
                <w:color w:val="000000"/>
                <w:lang w:val="de-DE"/>
              </w:rPr>
              <w:t>Office-Webanwendungen (von Microsoft gehostet)</w:t>
            </w:r>
          </w:p>
        </w:tc>
        <w:tc>
          <w:tcPr>
            <w:tcW w:w="2765" w:type="dxa"/>
            <w:shd w:val="clear" w:color="auto" w:fill="auto"/>
          </w:tcPr>
          <w:p w:rsidR="00B26237" w:rsidRPr="00BB5519" w:rsidRDefault="00B26237" w:rsidP="00B42A20">
            <w:pPr>
              <w:ind w:left="186" w:right="180"/>
              <w:rPr>
                <w:rFonts w:eastAsia="Calibri"/>
                <w:color w:val="000000"/>
                <w:lang w:val="de-DE"/>
              </w:rPr>
            </w:pPr>
            <w:r w:rsidRPr="00BB5519">
              <w:rPr>
                <w:rFonts w:eastAsia="Calibri"/>
                <w:color w:val="000000"/>
                <w:lang w:val="de-DE"/>
              </w:rPr>
              <w:t>Office-Webanwendungen (von Microsoft gehostet)</w:t>
            </w:r>
          </w:p>
        </w:tc>
      </w:tr>
      <w:tr w:rsidR="00B26237" w:rsidRPr="00BB5519" w:rsidTr="007E466C">
        <w:tc>
          <w:tcPr>
            <w:tcW w:w="2760" w:type="dxa"/>
            <w:shd w:val="clear" w:color="auto" w:fill="auto"/>
          </w:tcPr>
          <w:p w:rsidR="00B26237" w:rsidRPr="00BB5519" w:rsidRDefault="00B26237" w:rsidP="00B42A20">
            <w:pPr>
              <w:ind w:left="180" w:right="186"/>
              <w:rPr>
                <w:rFonts w:eastAsia="Calibri"/>
                <w:color w:val="000000"/>
                <w:lang w:val="de-DE"/>
              </w:rPr>
            </w:pPr>
          </w:p>
        </w:tc>
        <w:tc>
          <w:tcPr>
            <w:tcW w:w="2765" w:type="dxa"/>
            <w:shd w:val="clear" w:color="auto" w:fill="auto"/>
          </w:tcPr>
          <w:p w:rsidR="00B26237" w:rsidRPr="00BB5519" w:rsidRDefault="008368B4" w:rsidP="00B42A20">
            <w:pPr>
              <w:ind w:left="138" w:right="138"/>
              <w:rPr>
                <w:rFonts w:eastAsia="Calibri"/>
                <w:color w:val="000000"/>
              </w:rPr>
            </w:pPr>
            <w:r w:rsidRPr="00BB5519">
              <w:rPr>
                <w:rFonts w:eastAsia="Calibri"/>
                <w:color w:val="000000"/>
              </w:rPr>
              <w:t>Office 365 ProPlus</w:t>
            </w:r>
          </w:p>
        </w:tc>
        <w:tc>
          <w:tcPr>
            <w:tcW w:w="2765" w:type="dxa"/>
            <w:shd w:val="clear" w:color="auto" w:fill="auto"/>
          </w:tcPr>
          <w:p w:rsidR="00B26237" w:rsidRPr="00BB5519" w:rsidRDefault="008368B4" w:rsidP="008368B4">
            <w:pPr>
              <w:ind w:left="186" w:right="180"/>
              <w:rPr>
                <w:rFonts w:eastAsia="Calibri"/>
                <w:color w:val="000000"/>
              </w:rPr>
            </w:pPr>
            <w:r w:rsidRPr="00BB5519">
              <w:rPr>
                <w:rFonts w:eastAsia="Calibri"/>
                <w:color w:val="000000"/>
              </w:rPr>
              <w:t>Office 365 ProPlus</w:t>
            </w:r>
          </w:p>
        </w:tc>
      </w:tr>
    </w:tbl>
    <w:p w:rsidR="00B26237" w:rsidRPr="00BB5519" w:rsidRDefault="00B26237" w:rsidP="00D16EA8">
      <w:pPr>
        <w:ind w:left="720"/>
        <w:rPr>
          <w:lang w:val="de-DE"/>
        </w:rPr>
      </w:pPr>
      <w:r w:rsidRPr="00BB5519">
        <w:rPr>
          <w:color w:val="000000"/>
          <w:lang w:val="de-DE"/>
        </w:rPr>
        <w:br/>
      </w:r>
      <w:r w:rsidRPr="00BB5519">
        <w:rPr>
          <w:rFonts w:cs="Tahoma"/>
          <w:color w:val="000000"/>
          <w:szCs w:val="18"/>
          <w:lang w:val="de-DE"/>
        </w:rPr>
        <w:t>Änderungen an dieser Liste sind vorbehalten.</w:t>
      </w:r>
      <w:r w:rsidR="009E4976" w:rsidRPr="00BB5519">
        <w:rPr>
          <w:rFonts w:cs="Tahoma"/>
          <w:color w:val="000000"/>
          <w:szCs w:val="18"/>
          <w:lang w:val="de-DE"/>
        </w:rPr>
        <w:t xml:space="preserve"> </w:t>
      </w:r>
      <w:r w:rsidRPr="00BB5519">
        <w:rPr>
          <w:rFonts w:cs="Tahoma"/>
          <w:color w:val="000000"/>
          <w:szCs w:val="18"/>
          <w:lang w:val="de-DE"/>
        </w:rPr>
        <w:t>Die aktuellen Produktbenutzungsrechte finden bei Widersprüchen zwischen den Lizenzbestimmungen für Office 365 Enterprise E2 – E4 und diesem Hinweis Anwendung.</w:t>
      </w:r>
      <w:r w:rsidR="009E4976" w:rsidRPr="00BB5519">
        <w:rPr>
          <w:rFonts w:cs="Tahoma"/>
          <w:color w:val="000000"/>
          <w:szCs w:val="18"/>
          <w:lang w:val="de-DE"/>
        </w:rPr>
        <w:t xml:space="preserve"> </w:t>
      </w:r>
      <w:r w:rsidRPr="00BB5519">
        <w:rPr>
          <w:rFonts w:cs="Tahoma"/>
          <w:color w:val="000000"/>
          <w:szCs w:val="18"/>
          <w:lang w:val="de-DE"/>
        </w:rPr>
        <w:t>Zusätzliche Zugriffsrechte auf separat lizenzierte Vor-Ort-Software sind gegebenenfalls in den Produktbenutzungsrechten angegeben.</w:t>
      </w:r>
      <w:r w:rsidR="009E4976" w:rsidRPr="00BB5519">
        <w:rPr>
          <w:rFonts w:cs="Tahoma"/>
          <w:color w:val="000000"/>
          <w:szCs w:val="18"/>
          <w:lang w:val="de-DE"/>
        </w:rPr>
        <w:t xml:space="preserve"> </w:t>
      </w:r>
    </w:p>
    <w:p w:rsidR="00B26237" w:rsidRPr="00BB5519" w:rsidRDefault="00B26237" w:rsidP="00D16EA8">
      <w:pPr>
        <w:ind w:left="720"/>
        <w:rPr>
          <w:lang w:val="de-DE"/>
        </w:rPr>
      </w:pPr>
    </w:p>
    <w:p w:rsidR="00DC2291" w:rsidRPr="00BB5519" w:rsidRDefault="00B26237" w:rsidP="00D16EA8">
      <w:pPr>
        <w:pStyle w:val="FootnoteBulletLevel1"/>
        <w:tabs>
          <w:tab w:val="clear" w:pos="900"/>
        </w:tabs>
        <w:spacing w:before="0" w:after="0"/>
        <w:ind w:left="720" w:firstLine="0"/>
        <w:rPr>
          <w:lang w:val="de-DE"/>
        </w:rPr>
      </w:pPr>
      <w:r w:rsidRPr="00BB5519">
        <w:rPr>
          <w:rFonts w:ascii="Tahoma" w:hAnsi="Tahoma" w:cs="Tahoma"/>
          <w:color w:val="000000"/>
          <w:sz w:val="18"/>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2010 (oder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für ihre Windows-basierten Endbenutzer zu nutzen.</w:t>
      </w:r>
    </w:p>
    <w:p w:rsidR="00704723" w:rsidRPr="00BB5519" w:rsidRDefault="004668D9" w:rsidP="00FC1DE7">
      <w:pPr>
        <w:pStyle w:val="Heading3"/>
        <w:keepNext/>
        <w:keepLines/>
      </w:pPr>
      <w:bookmarkStart w:id="1046" w:name="_76_Office_for"/>
      <w:bookmarkStart w:id="1047" w:name="_7_Office_für"/>
      <w:bookmarkStart w:id="1048" w:name="_Toc336338264"/>
      <w:bookmarkStart w:id="1049" w:name="_Toc354054960"/>
      <w:bookmarkStart w:id="1050" w:name="Srv_4OfficeMacStandard2011"/>
      <w:bookmarkEnd w:id="1023"/>
      <w:bookmarkEnd w:id="1046"/>
      <w:bookmarkEnd w:id="1047"/>
      <w:r w:rsidRPr="00BB5519">
        <w:rPr>
          <w:rFonts w:ascii="Tahoma" w:hAnsi="Tahoma"/>
          <w:caps/>
          <w:color w:val="F66400"/>
          <w:sz w:val="22"/>
          <w:vertAlign w:val="superscript"/>
        </w:rPr>
        <w:lastRenderedPageBreak/>
        <w:t xml:space="preserve">7 </w:t>
      </w:r>
      <w:r w:rsidRPr="00BB5519">
        <w:rPr>
          <w:rFonts w:ascii="Tahoma" w:hAnsi="Tahoma"/>
          <w:color w:val="F66400"/>
          <w:sz w:val="22"/>
        </w:rPr>
        <w:t>Office für Mac Standard 2011</w:t>
      </w:r>
      <w:bookmarkEnd w:id="1048"/>
      <w:bookmarkEnd w:id="1049"/>
      <w:r w:rsidRPr="00BB5519">
        <w:rPr>
          <w:rFonts w:ascii="Tahoma" w:hAnsi="Tahoma"/>
          <w:color w:val="F66400"/>
          <w:sz w:val="22"/>
        </w:rPr>
        <w:t xml:space="preserve"> </w:t>
      </w:r>
      <w:bookmarkEnd w:id="1050"/>
    </w:p>
    <w:p w:rsidR="00FD5FBA" w:rsidRPr="00BB5519" w:rsidRDefault="00FD5FBA" w:rsidP="00AE5A9F"/>
    <w:p w:rsidR="00FD5FBA" w:rsidRPr="00BB5519" w:rsidRDefault="00FD5FBA" w:rsidP="002C1048">
      <w:pPr>
        <w:pStyle w:val="EndnoteText"/>
        <w:numPr>
          <w:ilvl w:val="0"/>
          <w:numId w:val="140"/>
        </w:numPr>
        <w:ind w:left="990"/>
        <w:rPr>
          <w:lang w:val="de-DE"/>
        </w:rPr>
      </w:pPr>
      <w:r w:rsidRPr="00BB5519">
        <w:rPr>
          <w:rFonts w:ascii="Tahoma" w:hAnsi="Tahoma" w:cs="Tahoma"/>
          <w:sz w:val="18"/>
          <w:szCs w:val="20"/>
          <w:lang w:val="de-DE"/>
        </w:rPr>
        <w:t>Work at Home</w:t>
      </w:r>
      <w:r w:rsidR="0020404F">
        <w:rPr>
          <w:rFonts w:ascii="Tahoma" w:hAnsi="Tahoma" w:cs="Tahoma"/>
          <w:sz w:val="18"/>
          <w:szCs w:val="20"/>
          <w:lang w:val="de-DE"/>
        </w:rPr>
        <w:t xml:space="preserve"> </w:t>
      </w:r>
      <w:r w:rsidRPr="00BB5519">
        <w:rPr>
          <w:rFonts w:ascii="Tahoma" w:hAnsi="Tahoma" w:cs="Tahoma"/>
          <w:sz w:val="18"/>
          <w:szCs w:val="20"/>
          <w:lang w:val="de-DE"/>
        </w:rPr>
        <w:t xml:space="preserve">(WAH)-Lizenz für Kunden von Select </w:t>
      </w:r>
      <w:r w:rsidRPr="00BB5519">
        <w:rPr>
          <w:rFonts w:ascii="Tahoma" w:hAnsi="Tahoma" w:cs="Tahoma"/>
          <w:sz w:val="18"/>
          <w:szCs w:val="18"/>
          <w:lang w:val="de-DE"/>
        </w:rPr>
        <w:t>und Select Plus</w:t>
      </w:r>
      <w:r w:rsidRPr="00BB5519">
        <w:rPr>
          <w:rFonts w:ascii="Tahoma" w:hAnsi="Tahoma" w:cs="Tahoma"/>
          <w:sz w:val="18"/>
          <w:szCs w:val="20"/>
          <w:lang w:val="de-DE"/>
        </w:rPr>
        <w:t xml:space="preserve"> verfügbar </w:t>
      </w:r>
    </w:p>
    <w:p w:rsidR="00CA6122" w:rsidRPr="00BB5519" w:rsidRDefault="00CA6122" w:rsidP="00CA6122">
      <w:pPr>
        <w:adjustRightInd w:val="0"/>
        <w:ind w:left="720"/>
        <w:textAlignment w:val="baseline"/>
        <w:rPr>
          <w:lang w:val="de-DE"/>
        </w:rPr>
      </w:pPr>
    </w:p>
    <w:p w:rsidR="00864B8A" w:rsidRPr="00BB5519" w:rsidRDefault="00704723" w:rsidP="00864B8A">
      <w:pPr>
        <w:spacing w:after="60"/>
        <w:ind w:left="720"/>
        <w:rPr>
          <w:lang w:val="de-DE"/>
        </w:rPr>
      </w:pPr>
      <w:r w:rsidRPr="00BB5519">
        <w:rPr>
          <w:rFonts w:cs="Tahoma"/>
          <w:b/>
          <w:szCs w:val="20"/>
          <w:lang w:val="de-DE"/>
        </w:rPr>
        <w:t>Office für Mac Standard 2011</w:t>
      </w:r>
    </w:p>
    <w:p w:rsidR="00704723" w:rsidRPr="00BB5519" w:rsidRDefault="00704723" w:rsidP="001721E7">
      <w:pPr>
        <w:spacing w:after="60"/>
        <w:ind w:left="720"/>
        <w:rPr>
          <w:lang w:val="de-DE"/>
        </w:rPr>
      </w:pPr>
      <w:r w:rsidRPr="00BB5519">
        <w:rPr>
          <w:rFonts w:cs="Tahoma"/>
          <w:szCs w:val="20"/>
          <w:lang w:val="de-DE"/>
        </w:rPr>
        <w:t>Eine Lizenz für Office für Mac Standard 2011 besteht aus Folgendem: Lync für Mac 2011, Excel für</w:t>
      </w:r>
      <w:r w:rsidR="001721E7">
        <w:rPr>
          <w:rFonts w:cs="Tahoma"/>
          <w:szCs w:val="20"/>
          <w:lang w:val="de-DE"/>
        </w:rPr>
        <w:t> </w:t>
      </w:r>
      <w:r w:rsidRPr="00BB5519">
        <w:rPr>
          <w:rFonts w:cs="Tahoma"/>
          <w:szCs w:val="20"/>
          <w:lang w:val="de-DE"/>
        </w:rPr>
        <w:t>Mac</w:t>
      </w:r>
      <w:r w:rsidR="001721E7">
        <w:rPr>
          <w:rFonts w:cs="Tahoma"/>
          <w:szCs w:val="20"/>
          <w:lang w:val="de-DE"/>
        </w:rPr>
        <w:t> </w:t>
      </w:r>
      <w:r w:rsidRPr="00BB5519">
        <w:rPr>
          <w:rFonts w:cs="Tahoma"/>
          <w:szCs w:val="20"/>
          <w:lang w:val="de-DE"/>
        </w:rPr>
        <w:t xml:space="preserve">2011, Outlook für Mac 2011, </w:t>
      </w:r>
      <w:r w:rsidRPr="00BB5519">
        <w:rPr>
          <w:rFonts w:cs="Tahoma"/>
          <w:lang w:val="de-DE"/>
        </w:rPr>
        <w:t>Office Home and Student RT 2013 Commercial Use,</w:t>
      </w:r>
      <w:r w:rsidRPr="00BB5519">
        <w:rPr>
          <w:rFonts w:cs="Tahoma"/>
          <w:szCs w:val="20"/>
          <w:lang w:val="de-DE"/>
        </w:rPr>
        <w:t xml:space="preserve"> </w:t>
      </w:r>
      <w:r w:rsidR="001721E7">
        <w:rPr>
          <w:rFonts w:cs="Tahoma"/>
          <w:szCs w:val="20"/>
          <w:lang w:val="de-DE"/>
        </w:rPr>
        <w:br/>
      </w:r>
      <w:r w:rsidRPr="00BB5519">
        <w:rPr>
          <w:rFonts w:cs="Tahoma"/>
          <w:szCs w:val="20"/>
          <w:lang w:val="de-DE"/>
        </w:rPr>
        <w:t>Office Web Apps 2010, PowerPoint für Mac 2011 und Word für Mac 2011.</w:t>
      </w:r>
    </w:p>
    <w:p w:rsidR="00CA6122" w:rsidRPr="00BB5519" w:rsidRDefault="00CA6122" w:rsidP="00CA6122">
      <w:pPr>
        <w:adjustRightInd w:val="0"/>
        <w:ind w:left="720"/>
        <w:textAlignment w:val="baseline"/>
        <w:rPr>
          <w:lang w:val="de-DE"/>
        </w:rPr>
      </w:pPr>
    </w:p>
    <w:p w:rsidR="00864B8A" w:rsidRPr="00BB5519" w:rsidRDefault="00704723" w:rsidP="00864B8A">
      <w:pPr>
        <w:spacing w:after="60"/>
        <w:ind w:left="720"/>
        <w:rPr>
          <w:lang w:val="de-DE"/>
        </w:rPr>
      </w:pPr>
      <w:r w:rsidRPr="00BB5519">
        <w:rPr>
          <w:rFonts w:cs="Tahoma"/>
          <w:b/>
          <w:szCs w:val="20"/>
          <w:lang w:val="de-DE"/>
        </w:rPr>
        <w:t>Untrennbarkeit von Microsoft Office für Mac Standard 2011</w:t>
      </w:r>
    </w:p>
    <w:p w:rsidR="00704723" w:rsidRPr="00BB5519" w:rsidRDefault="00704723" w:rsidP="001721E7">
      <w:pPr>
        <w:spacing w:after="60"/>
        <w:ind w:left="720"/>
        <w:rPr>
          <w:lang w:val="de-DE"/>
        </w:rPr>
      </w:pPr>
      <w:r w:rsidRPr="00BB5519">
        <w:rPr>
          <w:rFonts w:cs="Tahoma"/>
          <w:szCs w:val="20"/>
          <w:lang w:val="de-DE"/>
        </w:rPr>
        <w:t>Office für Mac Standard 2011 besteht aus mehreren Produkten, die in einer Lizenz angeboten werden. Die</w:t>
      </w:r>
      <w:r w:rsidR="001721E7">
        <w:rPr>
          <w:rFonts w:cs="Tahoma"/>
          <w:szCs w:val="20"/>
          <w:lang w:val="de-DE"/>
        </w:rPr>
        <w:t> </w:t>
      </w:r>
      <w:r w:rsidRPr="00BB5519">
        <w:rPr>
          <w:rFonts w:cs="Tahoma"/>
          <w:szCs w:val="20"/>
          <w:lang w:val="de-DE"/>
        </w:rPr>
        <w:t>Software darf nicht zur Verwendung auf mehr als einem Computer getrennt werden.</w:t>
      </w:r>
    </w:p>
    <w:p w:rsidR="00CA6122" w:rsidRPr="00BB5519" w:rsidRDefault="00CA6122" w:rsidP="00CA6122">
      <w:pPr>
        <w:adjustRightInd w:val="0"/>
        <w:ind w:left="720"/>
        <w:textAlignment w:val="baseline"/>
        <w:rPr>
          <w:lang w:val="de-DE"/>
        </w:rPr>
      </w:pPr>
    </w:p>
    <w:p w:rsidR="00704723" w:rsidRPr="00BB5519" w:rsidRDefault="0035314F" w:rsidP="00864B8A">
      <w:pPr>
        <w:spacing w:after="60"/>
        <w:ind w:left="720"/>
        <w:rPr>
          <w:lang w:val="de-DE"/>
        </w:rPr>
      </w:pPr>
      <w:r w:rsidRPr="00BB5519">
        <w:rPr>
          <w:rFonts w:cs="Tahoma"/>
          <w:b/>
          <w:szCs w:val="20"/>
          <w:lang w:val="de-DE"/>
        </w:rPr>
        <w:t>Rechte zur Verwendung von Lync für Mac 2011</w:t>
      </w:r>
    </w:p>
    <w:p w:rsidR="00CA6122" w:rsidRPr="00BB5519" w:rsidRDefault="00F14B59" w:rsidP="00737831">
      <w:pPr>
        <w:adjustRightInd w:val="0"/>
        <w:ind w:left="720"/>
        <w:textAlignment w:val="baseline"/>
        <w:rPr>
          <w:lang w:val="de-DE"/>
        </w:rPr>
      </w:pPr>
      <w:r w:rsidRPr="00BB5519">
        <w:rPr>
          <w:rFonts w:cs="Tahoma"/>
          <w:szCs w:val="20"/>
          <w:lang w:val="de-DE"/>
        </w:rPr>
        <w:t xml:space="preserve">Kunden, die Office für Mac Standard 2011 am oder nach dem 1. Oktober 2011 erwerben, verfügen über eine Office-Suite, die Lync für Mac 2011 anstelle von Communicator für Mac 2011 enthält. Kunden mit aktiver Software Assurance für Office für Mac Standard 2011 am oder nach dem 1. Oktober 2011 können entweder Communicator für Mac 2011 verwenden oder auf Lync für Mac 2011 upgraden. </w:t>
      </w:r>
    </w:p>
    <w:p w:rsidR="007631EF" w:rsidRPr="00BB5519" w:rsidRDefault="007631EF">
      <w:pPr>
        <w:rPr>
          <w:lang w:val="de-DE"/>
        </w:rPr>
      </w:pPr>
    </w:p>
    <w:p w:rsidR="00697E59" w:rsidRPr="00BB5519" w:rsidRDefault="00697E59">
      <w:pPr>
        <w:rPr>
          <w:lang w:val="de-DE"/>
        </w:rPr>
      </w:pPr>
      <w:bookmarkStart w:id="1051" w:name="_Toc336338265"/>
    </w:p>
    <w:p w:rsidR="00023FE7" w:rsidRPr="00BB5519" w:rsidRDefault="004668D9">
      <w:pPr>
        <w:pStyle w:val="Heading3"/>
        <w:rPr>
          <w:lang w:val="de-DE"/>
        </w:rPr>
      </w:pPr>
      <w:bookmarkStart w:id="1052" w:name="_5_Office_Multi-Language"/>
      <w:bookmarkStart w:id="1053" w:name="_7_Office_Multi-Language"/>
      <w:bookmarkStart w:id="1054" w:name="_87_Office_Multi-Language"/>
      <w:bookmarkStart w:id="1055" w:name="_8_Office_Multi-Language"/>
      <w:bookmarkStart w:id="1056" w:name="Aps_8OffMultiLangPack07"/>
      <w:bookmarkStart w:id="1057" w:name="Aps_6OfficeMultiLangPack2010"/>
      <w:bookmarkStart w:id="1058" w:name="Aps_5OfficeMultiLangPack2010"/>
      <w:bookmarkStart w:id="1059" w:name="_Toc354054961"/>
      <w:bookmarkEnd w:id="1052"/>
      <w:bookmarkEnd w:id="1053"/>
      <w:bookmarkEnd w:id="1054"/>
      <w:bookmarkEnd w:id="1055"/>
      <w:r w:rsidRPr="00BB5519">
        <w:rPr>
          <w:rFonts w:ascii="Tahoma" w:hAnsi="Tahoma"/>
          <w:caps/>
          <w:color w:val="F66400"/>
          <w:sz w:val="22"/>
          <w:vertAlign w:val="superscript"/>
          <w:lang w:val="de-DE"/>
        </w:rPr>
        <w:t>8</w:t>
      </w:r>
      <w:r w:rsidRPr="00BB5519">
        <w:rPr>
          <w:rFonts w:ascii="Tahoma" w:hAnsi="Tahoma"/>
          <w:color w:val="F66400"/>
          <w:sz w:val="22"/>
          <w:lang w:val="de-DE"/>
        </w:rPr>
        <w:t xml:space="preserve"> Office Multi-Language Pack </w:t>
      </w:r>
      <w:bookmarkEnd w:id="1051"/>
      <w:bookmarkEnd w:id="1056"/>
      <w:bookmarkEnd w:id="1057"/>
      <w:bookmarkEnd w:id="1058"/>
      <w:r w:rsidRPr="00BB5519">
        <w:rPr>
          <w:rFonts w:ascii="Tahoma" w:hAnsi="Tahoma"/>
          <w:color w:val="F66400"/>
          <w:sz w:val="22"/>
          <w:lang w:val="de-DE"/>
        </w:rPr>
        <w:t>2013</w:t>
      </w:r>
      <w:bookmarkEnd w:id="1059"/>
    </w:p>
    <w:p w:rsidR="00023FE7" w:rsidRPr="00BB5519" w:rsidRDefault="00023FE7" w:rsidP="00AE5A9F">
      <w:pPr>
        <w:rPr>
          <w:lang w:val="de-DE"/>
        </w:rPr>
      </w:pPr>
    </w:p>
    <w:p w:rsidR="00223A77" w:rsidRPr="00BB5519" w:rsidRDefault="0035314F" w:rsidP="00864B8A">
      <w:pPr>
        <w:spacing w:after="60"/>
        <w:ind w:left="720"/>
        <w:rPr>
          <w:lang w:val="de-DE"/>
        </w:rPr>
      </w:pPr>
      <w:r w:rsidRPr="00BB5519">
        <w:rPr>
          <w:rFonts w:cs="Tahoma"/>
          <w:b/>
          <w:szCs w:val="20"/>
          <w:lang w:val="de-DE"/>
        </w:rPr>
        <w:t>Downgraderecht für Office Multi-Language Pack 2013</w:t>
      </w:r>
    </w:p>
    <w:p w:rsidR="00223A77" w:rsidRPr="00BB5519" w:rsidRDefault="00223A77" w:rsidP="00CA6122">
      <w:pPr>
        <w:ind w:left="720"/>
        <w:rPr>
          <w:lang w:val="de-DE"/>
        </w:rPr>
      </w:pPr>
      <w:r w:rsidRPr="00BB5519">
        <w:rPr>
          <w:rFonts w:cs="Tahoma"/>
          <w:szCs w:val="18"/>
          <w:lang w:val="de-DE"/>
        </w:rPr>
        <w:t>Kunden mit Volumenlizenzverträgen, die eine Lizenz für Office Multi-Language Pack 2013 sowie eine Lizenz für eines der folgenden Produkte:</w:t>
      </w:r>
    </w:p>
    <w:p w:rsidR="00C2130B" w:rsidRPr="00BB5519" w:rsidRDefault="00C2130B" w:rsidP="00CA6122">
      <w:pPr>
        <w:ind w:left="900"/>
        <w:rPr>
          <w:lang w:val="de-DE"/>
        </w:rPr>
      </w:pPr>
    </w:p>
    <w:p w:rsidR="00223A77" w:rsidRPr="00BB5519" w:rsidRDefault="00223A77" w:rsidP="00CA6122">
      <w:pPr>
        <w:numPr>
          <w:ilvl w:val="0"/>
          <w:numId w:val="9"/>
        </w:numPr>
        <w:spacing w:after="60"/>
        <w:ind w:left="1440"/>
      </w:pPr>
      <w:r w:rsidRPr="00BB5519">
        <w:rPr>
          <w:rFonts w:cs="Tahoma"/>
          <w:szCs w:val="18"/>
        </w:rPr>
        <w:t>Office Standard 2013</w:t>
      </w:r>
    </w:p>
    <w:p w:rsidR="00223A77" w:rsidRPr="00BB5519" w:rsidRDefault="00223A77" w:rsidP="00CA6122">
      <w:pPr>
        <w:numPr>
          <w:ilvl w:val="0"/>
          <w:numId w:val="9"/>
        </w:numPr>
        <w:spacing w:after="60"/>
        <w:ind w:left="1440"/>
      </w:pPr>
      <w:r w:rsidRPr="00BB5519">
        <w:rPr>
          <w:rFonts w:cs="Tahoma"/>
          <w:szCs w:val="18"/>
        </w:rPr>
        <w:t>Office Professional Plus 2013</w:t>
      </w:r>
    </w:p>
    <w:p w:rsidR="00223A77" w:rsidRPr="00BB5519" w:rsidRDefault="00223A77" w:rsidP="00CA6122">
      <w:pPr>
        <w:numPr>
          <w:ilvl w:val="0"/>
          <w:numId w:val="9"/>
        </w:numPr>
        <w:spacing w:after="60"/>
        <w:ind w:left="1440"/>
      </w:pPr>
      <w:r w:rsidRPr="00BB5519">
        <w:rPr>
          <w:rFonts w:cs="Tahoma"/>
          <w:szCs w:val="18"/>
        </w:rPr>
        <w:t>Project Standard 2013</w:t>
      </w:r>
    </w:p>
    <w:p w:rsidR="00223A77" w:rsidRPr="00BB5519" w:rsidRDefault="00223A77" w:rsidP="00CA6122">
      <w:pPr>
        <w:numPr>
          <w:ilvl w:val="0"/>
          <w:numId w:val="9"/>
        </w:numPr>
        <w:spacing w:after="60"/>
        <w:ind w:left="1440"/>
      </w:pPr>
      <w:r w:rsidRPr="00BB5519">
        <w:rPr>
          <w:rFonts w:cs="Tahoma"/>
          <w:szCs w:val="18"/>
        </w:rPr>
        <w:t>Project Professional 2013</w:t>
      </w:r>
    </w:p>
    <w:p w:rsidR="00223A77" w:rsidRPr="00BB5519" w:rsidRDefault="00223A77" w:rsidP="00CA6122">
      <w:pPr>
        <w:numPr>
          <w:ilvl w:val="0"/>
          <w:numId w:val="9"/>
        </w:numPr>
        <w:spacing w:after="60"/>
        <w:ind w:left="1440"/>
      </w:pPr>
      <w:r w:rsidRPr="00BB5519">
        <w:rPr>
          <w:rFonts w:cs="Tahoma"/>
          <w:szCs w:val="18"/>
        </w:rPr>
        <w:t>Visio Standard 2013</w:t>
      </w:r>
    </w:p>
    <w:p w:rsidR="00223A77" w:rsidRPr="00BB5519" w:rsidRDefault="00223A77" w:rsidP="00CA6122">
      <w:pPr>
        <w:numPr>
          <w:ilvl w:val="0"/>
          <w:numId w:val="9"/>
        </w:numPr>
        <w:spacing w:after="60"/>
        <w:ind w:left="1440"/>
      </w:pPr>
      <w:r w:rsidRPr="00BB5519">
        <w:rPr>
          <w:rFonts w:cs="Tahoma"/>
          <w:szCs w:val="18"/>
        </w:rPr>
        <w:t>Visio Professional 2013</w:t>
      </w:r>
    </w:p>
    <w:p w:rsidR="00223A77" w:rsidRPr="00BB5519" w:rsidRDefault="00223A77" w:rsidP="00CA6122">
      <w:pPr>
        <w:ind w:left="1260"/>
      </w:pPr>
    </w:p>
    <w:p w:rsidR="00223A77" w:rsidRPr="00BB5519" w:rsidRDefault="00223A77" w:rsidP="00CA6122">
      <w:pPr>
        <w:ind w:left="720"/>
        <w:rPr>
          <w:lang w:val="de-DE"/>
        </w:rPr>
      </w:pPr>
      <w:r w:rsidRPr="00BB5519">
        <w:rPr>
          <w:rFonts w:cs="Tahoma"/>
          <w:szCs w:val="18"/>
          <w:lang w:val="de-DE"/>
        </w:rPr>
        <w:t>besitzen, sind berechtigt, die englische/mehrsprachige Version einer Downgradeversion des Produktes anstatt der lizenzierten Version zu nutzen</w:t>
      </w:r>
      <w:r w:rsidRPr="00BB5519">
        <w:rPr>
          <w:rFonts w:cs="Tahoma"/>
          <w:i/>
          <w:iCs/>
          <w:szCs w:val="18"/>
          <w:lang w:val="de-DE"/>
        </w:rPr>
        <w:t>.</w:t>
      </w:r>
      <w:r w:rsidRPr="00BB5519">
        <w:rPr>
          <w:rFonts w:cs="Tahoma"/>
          <w:szCs w:val="18"/>
          <w:lang w:val="de-DE"/>
        </w:rPr>
        <w:t xml:space="preserve"> Die Verwendung der Downgradeversion des Produktes unterliegt den Nutzungsrechten der 2013-Version. Diese Rechte gelten bis zum Ablauf der Rechte des Kunden am Office Multi-Language Pack 2013 oder dem oben genannten 2013-Produkt.</w:t>
      </w:r>
    </w:p>
    <w:p w:rsidR="00CA6122" w:rsidRPr="00BB5519" w:rsidRDefault="00CA6122">
      <w:pPr>
        <w:pStyle w:val="Heading3"/>
        <w:rPr>
          <w:lang w:val="de-DE"/>
        </w:rPr>
      </w:pPr>
      <w:bookmarkStart w:id="1060" w:name="_Toc336338266"/>
      <w:bookmarkStart w:id="1061" w:name="Aps_9OffProPlus07forWin"/>
      <w:bookmarkStart w:id="1062" w:name="Aps_7OfficeProPlus2010"/>
      <w:bookmarkStart w:id="1063" w:name="Aps_6OfficeProPlus2010"/>
    </w:p>
    <w:p w:rsidR="00CA6122" w:rsidRPr="00BB5519" w:rsidRDefault="00CA6122">
      <w:pPr>
        <w:pStyle w:val="Heading3"/>
        <w:rPr>
          <w:lang w:val="de-DE"/>
        </w:rPr>
      </w:pPr>
    </w:p>
    <w:p w:rsidR="00023FE7" w:rsidRPr="00BB5519" w:rsidRDefault="004668D9">
      <w:pPr>
        <w:pStyle w:val="Heading3"/>
      </w:pPr>
      <w:bookmarkStart w:id="1064" w:name="_98_Office_Professional"/>
      <w:bookmarkStart w:id="1065" w:name="_9_Office_Professional"/>
      <w:bookmarkStart w:id="1066" w:name="_Toc354054962"/>
      <w:bookmarkEnd w:id="1064"/>
      <w:bookmarkEnd w:id="1065"/>
      <w:r w:rsidRPr="00BB5519">
        <w:rPr>
          <w:rFonts w:ascii="Tahoma" w:hAnsi="Tahoma"/>
          <w:caps/>
          <w:color w:val="F66400"/>
          <w:sz w:val="22"/>
          <w:vertAlign w:val="superscript"/>
        </w:rPr>
        <w:t>9</w:t>
      </w:r>
      <w:r w:rsidRPr="00BB5519">
        <w:rPr>
          <w:rFonts w:ascii="Tahoma" w:hAnsi="Tahoma"/>
          <w:color w:val="F66400"/>
          <w:sz w:val="22"/>
        </w:rPr>
        <w:t xml:space="preserve"> Office Professional Plus </w:t>
      </w:r>
      <w:bookmarkEnd w:id="1060"/>
      <w:r w:rsidRPr="00BB5519">
        <w:rPr>
          <w:rFonts w:ascii="Tahoma" w:hAnsi="Tahoma"/>
          <w:color w:val="F66400"/>
          <w:sz w:val="22"/>
        </w:rPr>
        <w:t>2013</w:t>
      </w:r>
      <w:bookmarkEnd w:id="1066"/>
    </w:p>
    <w:bookmarkEnd w:id="1061"/>
    <w:bookmarkEnd w:id="1062"/>
    <w:bookmarkEnd w:id="1063"/>
    <w:p w:rsidR="00023FE7" w:rsidRPr="00BB5519" w:rsidRDefault="00023FE7" w:rsidP="00AE5A9F"/>
    <w:p w:rsidR="00223A77" w:rsidRPr="00BB5519" w:rsidRDefault="00223A77" w:rsidP="002C1048">
      <w:pPr>
        <w:pStyle w:val="EndnoteText"/>
        <w:numPr>
          <w:ilvl w:val="0"/>
          <w:numId w:val="140"/>
        </w:numPr>
        <w:ind w:left="1080"/>
        <w:rPr>
          <w:lang w:val="de-DE"/>
        </w:rPr>
      </w:pPr>
      <w:r w:rsidRPr="00BB5519">
        <w:rPr>
          <w:rFonts w:ascii="Tahoma" w:hAnsi="Tahoma" w:cs="Tahoma"/>
          <w:sz w:val="18"/>
          <w:szCs w:val="20"/>
          <w:lang w:val="de-DE"/>
        </w:rPr>
        <w:t>Work at Home</w:t>
      </w:r>
      <w:r w:rsidR="00834E01">
        <w:rPr>
          <w:rFonts w:ascii="Tahoma" w:hAnsi="Tahoma" w:cs="Tahoma"/>
          <w:sz w:val="18"/>
          <w:szCs w:val="20"/>
          <w:lang w:val="de-DE"/>
        </w:rPr>
        <w:t>-</w:t>
      </w:r>
      <w:r w:rsidRPr="00BB5519">
        <w:rPr>
          <w:rFonts w:ascii="Tahoma" w:hAnsi="Tahoma" w:cs="Tahoma"/>
          <w:sz w:val="18"/>
          <w:szCs w:val="20"/>
          <w:lang w:val="de-DE"/>
        </w:rPr>
        <w:t xml:space="preserve">(WAH)-Lizenz für Kunden von Select </w:t>
      </w:r>
      <w:r w:rsidRPr="00BB5519">
        <w:rPr>
          <w:rFonts w:ascii="Tahoma" w:hAnsi="Tahoma" w:cs="Tahoma"/>
          <w:sz w:val="18"/>
          <w:szCs w:val="18"/>
          <w:lang w:val="de-DE"/>
        </w:rPr>
        <w:t>und Select Plus</w:t>
      </w:r>
      <w:r w:rsidRPr="00BB5519">
        <w:rPr>
          <w:rFonts w:ascii="Tahoma" w:hAnsi="Tahoma" w:cs="Tahoma"/>
          <w:sz w:val="18"/>
          <w:szCs w:val="20"/>
          <w:lang w:val="de-DE"/>
        </w:rPr>
        <w:t xml:space="preserve"> verfügbar </w:t>
      </w:r>
    </w:p>
    <w:p w:rsidR="00223A77" w:rsidRPr="00BB5519" w:rsidRDefault="00223A77" w:rsidP="002C1048">
      <w:pPr>
        <w:pStyle w:val="EndnoteText"/>
        <w:numPr>
          <w:ilvl w:val="0"/>
          <w:numId w:val="140"/>
        </w:numPr>
        <w:ind w:left="1080"/>
        <w:rPr>
          <w:lang w:val="de-DE"/>
        </w:rPr>
      </w:pPr>
      <w:r w:rsidRPr="00BB5519">
        <w:rPr>
          <w:rFonts w:ascii="Tahoma" w:hAnsi="Tahoma" w:cs="Tahoma"/>
          <w:sz w:val="18"/>
          <w:szCs w:val="20"/>
          <w:lang w:val="de-DE"/>
        </w:rPr>
        <w:t>Work-at-Home-(WAH)-Lizenz für Kunden mit Konzernvertrag verfügbar</w:t>
      </w:r>
    </w:p>
    <w:p w:rsidR="00223A77" w:rsidRPr="00BB5519" w:rsidRDefault="00223A77" w:rsidP="00D16C5F">
      <w:pPr>
        <w:pStyle w:val="FootnoteBulletLevel1"/>
        <w:tabs>
          <w:tab w:val="clear" w:pos="900"/>
        </w:tabs>
        <w:spacing w:before="0" w:after="0"/>
        <w:ind w:left="720" w:firstLine="0"/>
        <w:rPr>
          <w:lang w:val="de-DE"/>
        </w:rPr>
      </w:pPr>
    </w:p>
    <w:p w:rsidR="00864B8A" w:rsidRPr="00BB5519" w:rsidRDefault="00223A77" w:rsidP="00864B8A">
      <w:pPr>
        <w:spacing w:after="60"/>
        <w:ind w:left="720"/>
        <w:rPr>
          <w:lang w:val="de-DE"/>
        </w:rPr>
      </w:pPr>
      <w:r w:rsidRPr="00BB5519">
        <w:rPr>
          <w:rFonts w:cs="Tahoma"/>
          <w:b/>
          <w:lang w:val="de-DE"/>
        </w:rPr>
        <w:t>Office Professional Plus 2013</w:t>
      </w:r>
    </w:p>
    <w:p w:rsidR="00223A77" w:rsidRPr="00BB5519" w:rsidRDefault="00223A77" w:rsidP="00864B8A">
      <w:pPr>
        <w:spacing w:after="60"/>
        <w:ind w:left="720"/>
        <w:rPr>
          <w:lang w:val="de-DE"/>
        </w:rPr>
      </w:pPr>
      <w:r w:rsidRPr="00BB5519">
        <w:rPr>
          <w:rFonts w:cs="Tahoma"/>
          <w:lang w:val="de-DE"/>
        </w:rPr>
        <w:t>Eine Lizenz für Office Professional Plus 2013 besteht aus Folgendem: Access 2013, Lync 2013, Excel 2013,</w:t>
      </w:r>
      <w:r w:rsidRPr="00BB5519">
        <w:rPr>
          <w:rFonts w:cs="Tahoma"/>
          <w:highlight w:val="yellow"/>
          <w:lang w:val="de-DE"/>
        </w:rPr>
        <w:t xml:space="preserve"> </w:t>
      </w:r>
      <w:r w:rsidRPr="00BB5519">
        <w:rPr>
          <w:rFonts w:cs="Tahoma"/>
          <w:lang w:val="de-DE"/>
        </w:rPr>
        <w:t>InfoPath 2013, OneNote 2013, Outlook 2013, Office Home and Student RT 2013 Commercial Use, Office Web Apps, PowerPoint 2013, Publisher 2013 und Word 2013.</w:t>
      </w:r>
    </w:p>
    <w:p w:rsidR="00973A93" w:rsidRPr="00BB5519" w:rsidRDefault="00973A93">
      <w:pPr>
        <w:rPr>
          <w:lang w:val="de-DE"/>
        </w:rPr>
      </w:pPr>
    </w:p>
    <w:p w:rsidR="00223A77" w:rsidRPr="00BB5519" w:rsidRDefault="00223A77" w:rsidP="00864B8A">
      <w:pPr>
        <w:spacing w:after="60"/>
        <w:ind w:left="720"/>
        <w:rPr>
          <w:lang w:val="de-DE"/>
        </w:rPr>
      </w:pPr>
      <w:r w:rsidRPr="00BB5519">
        <w:rPr>
          <w:rFonts w:cs="Tahoma"/>
          <w:b/>
          <w:lang w:val="de-DE"/>
        </w:rPr>
        <w:t>Untrennbarkeit von Office Professional Plus 2013</w:t>
      </w:r>
    </w:p>
    <w:p w:rsidR="00223A77" w:rsidRPr="00BB5519" w:rsidRDefault="00223A77" w:rsidP="00D16C5F">
      <w:pPr>
        <w:pStyle w:val="FootnoteBulletLevel1"/>
        <w:tabs>
          <w:tab w:val="clear" w:pos="900"/>
        </w:tabs>
        <w:spacing w:before="0" w:after="0"/>
        <w:ind w:left="720" w:firstLine="0"/>
        <w:rPr>
          <w:lang w:val="de-DE"/>
        </w:rPr>
      </w:pPr>
      <w:r w:rsidRPr="00BB5519">
        <w:rPr>
          <w:rFonts w:ascii="Tahoma" w:hAnsi="Tahoma" w:cs="Tahoma"/>
          <w:sz w:val="18"/>
          <w:lang w:val="de-DE"/>
        </w:rPr>
        <w:t>Microsoft Office Professional Plus 2013 besteht aus mehreren Produkten, die in einer Lizenz angeboten werden. Die Software darf nicht zur Verwendung auf mehr als einem Computer getrennt werden.</w:t>
      </w:r>
    </w:p>
    <w:p w:rsidR="00952A87" w:rsidRPr="00BB5519" w:rsidRDefault="00952A87" w:rsidP="00D16C5F">
      <w:pPr>
        <w:ind w:left="720"/>
        <w:rPr>
          <w:lang w:val="de-DE"/>
        </w:rPr>
      </w:pPr>
    </w:p>
    <w:p w:rsidR="00952A87" w:rsidRPr="00BB5519" w:rsidRDefault="00952A87" w:rsidP="00021BF7">
      <w:pPr>
        <w:keepNext/>
        <w:keepLines/>
        <w:spacing w:after="60"/>
        <w:ind w:left="720"/>
        <w:rPr>
          <w:lang w:val="de-DE"/>
        </w:rPr>
      </w:pPr>
      <w:r w:rsidRPr="00BB5519">
        <w:rPr>
          <w:rFonts w:cs="Tahoma"/>
          <w:b/>
          <w:lang w:val="de-DE"/>
        </w:rPr>
        <w:lastRenderedPageBreak/>
        <w:t>Campus- und School-Vertrag</w:t>
      </w:r>
    </w:p>
    <w:p w:rsidR="00001A9A" w:rsidRPr="00BB5519" w:rsidRDefault="00952A87" w:rsidP="00D16C5F">
      <w:pPr>
        <w:ind w:left="720"/>
        <w:rPr>
          <w:lang w:val="de-DE"/>
        </w:rPr>
      </w:pPr>
      <w:r w:rsidRPr="00BB5519">
        <w:rPr>
          <w:rFonts w:eastAsia="Calibri" w:cs="Tahoma"/>
          <w:iCs/>
          <w:color w:val="000000"/>
          <w:szCs w:val="18"/>
          <w:lang w:val="de-DE"/>
        </w:rPr>
        <w:t>Einrichtungen, bei denen allen wissenschaftlichen und sonstigen Mitarbeitern Nutzer-ALs für Office Professional Plus-Abonnement zugewiesen wurden, sind berechtigt, Office Professional Plus 2013-Software in frei zugänglichen Räumlichkeiten oder Bibliotheken innerhalb der Organisation der Einrichtung zu installieren.</w:t>
      </w:r>
      <w:r w:rsidR="009E4976" w:rsidRPr="00BB5519">
        <w:rPr>
          <w:rFonts w:eastAsia="Calibri" w:cs="Tahoma"/>
          <w:iCs/>
          <w:color w:val="000000"/>
          <w:szCs w:val="18"/>
          <w:lang w:val="de-DE"/>
        </w:rPr>
        <w:t xml:space="preserve"> </w:t>
      </w:r>
      <w:r w:rsidRPr="00BB5519">
        <w:rPr>
          <w:rFonts w:eastAsia="Calibri" w:cs="Tahoma"/>
          <w:iCs/>
          <w:color w:val="000000"/>
          <w:szCs w:val="18"/>
          <w:lang w:val="de-DE"/>
        </w:rPr>
        <w:t>Nutzer der Software unterliegen ansonsten den Lizenzbestimmungen für Office Pro Plus 2013.</w:t>
      </w:r>
    </w:p>
    <w:p w:rsidR="00952A87" w:rsidRPr="00BB5519" w:rsidRDefault="00952A87" w:rsidP="00D16C5F">
      <w:pPr>
        <w:rPr>
          <w:lang w:val="de-DE"/>
        </w:rPr>
      </w:pPr>
    </w:p>
    <w:p w:rsidR="00133069" w:rsidRPr="00BB5519" w:rsidRDefault="00133069" w:rsidP="00133069">
      <w:pPr>
        <w:rPr>
          <w:lang w:val="de-DE"/>
        </w:rPr>
      </w:pPr>
    </w:p>
    <w:p w:rsidR="00223A77" w:rsidRPr="00BB5519" w:rsidRDefault="004668D9" w:rsidP="00223A77">
      <w:pPr>
        <w:pStyle w:val="Heading3"/>
      </w:pPr>
      <w:bookmarkStart w:id="1067" w:name="_109_Office_Standard"/>
      <w:bookmarkStart w:id="1068" w:name="_10_Office_Standard"/>
      <w:bookmarkStart w:id="1069" w:name="Aps_OfficeStandard2010"/>
      <w:bookmarkStart w:id="1070" w:name="_Toc254806115"/>
      <w:bookmarkStart w:id="1071" w:name="_Toc328146032"/>
      <w:bookmarkStart w:id="1072" w:name="_Toc354054963"/>
      <w:bookmarkStart w:id="1073" w:name="Aps_7OfficeStandard2010"/>
      <w:bookmarkStart w:id="1074" w:name="_Toc336338268"/>
      <w:bookmarkEnd w:id="1067"/>
      <w:bookmarkEnd w:id="1068"/>
      <w:r w:rsidRPr="00BB5519">
        <w:rPr>
          <w:rFonts w:ascii="Tahoma" w:hAnsi="Tahoma"/>
          <w:caps/>
          <w:color w:val="F66400"/>
          <w:sz w:val="22"/>
          <w:vertAlign w:val="superscript"/>
        </w:rPr>
        <w:t>10</w:t>
      </w:r>
      <w:r w:rsidRPr="00BB5519">
        <w:rPr>
          <w:rFonts w:ascii="Tahoma" w:hAnsi="Tahoma"/>
          <w:color w:val="F66400"/>
          <w:sz w:val="22"/>
        </w:rPr>
        <w:t xml:space="preserve"> Office Standard </w:t>
      </w:r>
      <w:bookmarkEnd w:id="1069"/>
      <w:bookmarkEnd w:id="1070"/>
      <w:bookmarkEnd w:id="1071"/>
      <w:r w:rsidRPr="00BB5519">
        <w:rPr>
          <w:rFonts w:ascii="Tahoma" w:hAnsi="Tahoma"/>
          <w:color w:val="F66400"/>
          <w:sz w:val="22"/>
        </w:rPr>
        <w:t>2013</w:t>
      </w:r>
      <w:bookmarkEnd w:id="1072"/>
    </w:p>
    <w:bookmarkEnd w:id="1073"/>
    <w:p w:rsidR="00223A77" w:rsidRPr="00BB5519" w:rsidRDefault="00223A77" w:rsidP="00AE5A9F"/>
    <w:p w:rsidR="00223A77" w:rsidRPr="00BB5519" w:rsidRDefault="00223A77" w:rsidP="002C1048">
      <w:pPr>
        <w:pStyle w:val="EndnoteText"/>
        <w:numPr>
          <w:ilvl w:val="3"/>
          <w:numId w:val="99"/>
        </w:numPr>
        <w:ind w:left="990"/>
        <w:rPr>
          <w:lang w:val="de-DE"/>
        </w:rPr>
      </w:pPr>
      <w:r w:rsidRPr="00BB5519">
        <w:rPr>
          <w:rFonts w:ascii="Tahoma" w:hAnsi="Tahoma" w:cs="Tahoma"/>
          <w:sz w:val="18"/>
          <w:szCs w:val="20"/>
          <w:lang w:val="de-DE"/>
        </w:rPr>
        <w:t>Work at Home(WAH)-Lize</w:t>
      </w:r>
      <w:r w:rsidRPr="00BB5519">
        <w:rPr>
          <w:rFonts w:ascii="Tahoma" w:hAnsi="Tahoma" w:cs="Tahoma"/>
          <w:sz w:val="18"/>
          <w:lang w:val="de-DE"/>
        </w:rPr>
        <w:t xml:space="preserve">nz für Kunden von Select </w:t>
      </w:r>
      <w:r w:rsidRPr="00BB5519">
        <w:rPr>
          <w:rFonts w:ascii="Tahoma" w:hAnsi="Tahoma" w:cs="Tahoma"/>
          <w:lang w:val="de-DE"/>
        </w:rPr>
        <w:t>und Select Plus</w:t>
      </w:r>
      <w:r w:rsidRPr="00BB5519">
        <w:rPr>
          <w:rFonts w:ascii="Tahoma" w:hAnsi="Tahoma" w:cs="Tahoma"/>
          <w:sz w:val="18"/>
          <w:lang w:val="de-DE"/>
        </w:rPr>
        <w:t xml:space="preserve"> verfügbar </w:t>
      </w:r>
    </w:p>
    <w:p w:rsidR="00223A77" w:rsidRPr="00BB5519" w:rsidRDefault="00223A77" w:rsidP="002C1048">
      <w:pPr>
        <w:pStyle w:val="EndnoteText"/>
        <w:numPr>
          <w:ilvl w:val="3"/>
          <w:numId w:val="99"/>
        </w:numPr>
        <w:ind w:left="990"/>
        <w:rPr>
          <w:lang w:val="de-DE"/>
        </w:rPr>
      </w:pPr>
      <w:r w:rsidRPr="00BB5519">
        <w:rPr>
          <w:rFonts w:ascii="Tahoma" w:hAnsi="Tahoma" w:cs="Tahoma"/>
          <w:sz w:val="18"/>
          <w:lang w:val="de-DE"/>
        </w:rPr>
        <w:t>Work-at-Home-(WAH)-Lizenz für Kunden mit Konzernvertrag verfügbar</w:t>
      </w:r>
    </w:p>
    <w:p w:rsidR="00223A77" w:rsidRPr="00BB5519" w:rsidRDefault="00223A77" w:rsidP="00DF0E39">
      <w:pPr>
        <w:pStyle w:val="FootnoteBulletLevel1"/>
        <w:tabs>
          <w:tab w:val="clear" w:pos="900"/>
        </w:tabs>
        <w:spacing w:before="0" w:after="0"/>
        <w:ind w:left="720" w:firstLine="0"/>
        <w:rPr>
          <w:lang w:val="de-DE"/>
        </w:rPr>
      </w:pPr>
    </w:p>
    <w:p w:rsidR="00864B8A" w:rsidRPr="00BB5519" w:rsidRDefault="00223A77" w:rsidP="00864B8A">
      <w:pPr>
        <w:spacing w:after="60"/>
        <w:ind w:left="720"/>
      </w:pPr>
      <w:r w:rsidRPr="00BB5519">
        <w:rPr>
          <w:rFonts w:cs="Tahoma"/>
          <w:b/>
        </w:rPr>
        <w:t>Office Standard 2013</w:t>
      </w:r>
    </w:p>
    <w:p w:rsidR="00223A77" w:rsidRPr="00BB5519" w:rsidRDefault="00223A77" w:rsidP="001721E7">
      <w:pPr>
        <w:pStyle w:val="FootnoteBulletLevel1"/>
        <w:tabs>
          <w:tab w:val="clear" w:pos="900"/>
        </w:tabs>
        <w:spacing w:before="0" w:after="0"/>
        <w:ind w:left="720" w:firstLine="0"/>
      </w:pPr>
      <w:r w:rsidRPr="00BB5519">
        <w:rPr>
          <w:rFonts w:ascii="Tahoma" w:hAnsi="Tahoma" w:cs="Tahoma"/>
          <w:sz w:val="18"/>
        </w:rPr>
        <w:t>Eine Lizenz für Office Standard 2013 besteht aus Folgendem: Excel 2013, OneNote 2013, Outlook 2013,</w:t>
      </w:r>
      <w:r w:rsidRPr="00BB5519">
        <w:rPr>
          <w:rFonts w:cs="Tahoma"/>
        </w:rPr>
        <w:t xml:space="preserve"> Office Home and Student RT 2013 Commercial Use,</w:t>
      </w:r>
      <w:r w:rsidRPr="00BB5519">
        <w:rPr>
          <w:rFonts w:ascii="Tahoma" w:hAnsi="Tahoma" w:cs="Tahoma"/>
          <w:sz w:val="18"/>
        </w:rPr>
        <w:t xml:space="preserve"> Office Web Apps, PowerPoint 2013, Publisher</w:t>
      </w:r>
      <w:r w:rsidR="001721E7">
        <w:rPr>
          <w:rFonts w:ascii="Tahoma" w:hAnsi="Tahoma" w:cs="Tahoma"/>
          <w:sz w:val="18"/>
        </w:rPr>
        <w:t> </w:t>
      </w:r>
      <w:r w:rsidRPr="00BB5519">
        <w:rPr>
          <w:rFonts w:ascii="Tahoma" w:hAnsi="Tahoma" w:cs="Tahoma"/>
          <w:sz w:val="18"/>
        </w:rPr>
        <w:t>2013 und Word 2013.</w:t>
      </w:r>
    </w:p>
    <w:p w:rsidR="00DF0E39" w:rsidRPr="00BB5519" w:rsidRDefault="00DF0E39" w:rsidP="00DF0E39">
      <w:pPr>
        <w:pStyle w:val="FootnoteBulletLevel1"/>
        <w:tabs>
          <w:tab w:val="clear" w:pos="900"/>
        </w:tabs>
        <w:spacing w:before="0" w:after="0"/>
        <w:ind w:left="720" w:firstLine="0"/>
      </w:pPr>
    </w:p>
    <w:p w:rsidR="00864B8A" w:rsidRPr="00BB5519" w:rsidRDefault="00223A77" w:rsidP="00864B8A">
      <w:pPr>
        <w:spacing w:after="60"/>
        <w:ind w:left="720"/>
        <w:rPr>
          <w:lang w:val="de-DE"/>
        </w:rPr>
      </w:pPr>
      <w:r w:rsidRPr="00BB5519">
        <w:rPr>
          <w:rFonts w:cs="Tahoma"/>
          <w:b/>
          <w:lang w:val="de-DE"/>
        </w:rPr>
        <w:t>Untrennbarkeit von Microsoft Office Standard 2013</w:t>
      </w:r>
    </w:p>
    <w:p w:rsidR="00223A77" w:rsidRPr="00BB5519" w:rsidRDefault="00223A77" w:rsidP="002F39A5">
      <w:pPr>
        <w:spacing w:after="60"/>
        <w:ind w:left="720"/>
        <w:rPr>
          <w:lang w:val="de-DE"/>
        </w:rPr>
      </w:pPr>
      <w:r w:rsidRPr="00BB5519">
        <w:rPr>
          <w:rFonts w:cs="Tahoma"/>
          <w:lang w:val="de-DE"/>
        </w:rPr>
        <w:t>Office Standard 2013 besteht aus mehreren Produkten, die in einer Lizenz angeboten werden. Die Software darf nicht zur Verwendung auf mehr als einem Computer getrennt werden.</w:t>
      </w:r>
    </w:p>
    <w:p w:rsidR="002F39A5" w:rsidRPr="00BB5519" w:rsidRDefault="002F39A5" w:rsidP="002F39A5">
      <w:pPr>
        <w:rPr>
          <w:lang w:val="de-DE"/>
        </w:rPr>
      </w:pPr>
    </w:p>
    <w:p w:rsidR="002F39A5" w:rsidRPr="00BB5519" w:rsidRDefault="002F39A5" w:rsidP="002F39A5">
      <w:pPr>
        <w:rPr>
          <w:lang w:val="de-DE"/>
        </w:rPr>
      </w:pPr>
    </w:p>
    <w:p w:rsidR="00B2182D" w:rsidRPr="00BB5519" w:rsidRDefault="004668D9" w:rsidP="00461CA9">
      <w:pPr>
        <w:pStyle w:val="Heading3"/>
        <w:rPr>
          <w:lang w:val="de-DE"/>
        </w:rPr>
      </w:pPr>
      <w:bookmarkStart w:id="1075" w:name="_110_Office_365"/>
      <w:bookmarkStart w:id="1076" w:name="_11_Office_365"/>
      <w:bookmarkStart w:id="1077" w:name="_Toc354054964"/>
      <w:bookmarkStart w:id="1078" w:name="Aps_9OfficeProPlusSubUserSL"/>
      <w:bookmarkEnd w:id="1075"/>
      <w:bookmarkEnd w:id="1076"/>
      <w:r w:rsidRPr="00BB5519">
        <w:rPr>
          <w:rFonts w:ascii="Tahoma" w:hAnsi="Tahoma" w:cs="Tahoma"/>
          <w:caps/>
          <w:color w:val="F26200"/>
          <w:sz w:val="22"/>
          <w:vertAlign w:val="superscript"/>
          <w:lang w:val="de-DE"/>
        </w:rPr>
        <w:t>11</w:t>
      </w:r>
      <w:r w:rsidRPr="00BB5519">
        <w:rPr>
          <w:rFonts w:ascii="Tahoma" w:hAnsi="Tahoma" w:cs="Tahoma"/>
          <w:color w:val="F26200"/>
          <w:sz w:val="22"/>
          <w:lang w:val="de-DE"/>
        </w:rPr>
        <w:t xml:space="preserve"> Office 365 ProPlus (Nutzer-AL)</w:t>
      </w:r>
      <w:bookmarkEnd w:id="1074"/>
      <w:bookmarkEnd w:id="1077"/>
    </w:p>
    <w:bookmarkEnd w:id="1078"/>
    <w:p w:rsidR="00B2182D" w:rsidRPr="00BB5519" w:rsidRDefault="00B2182D" w:rsidP="00AE5A9F">
      <w:pPr>
        <w:rPr>
          <w:lang w:val="de-DE"/>
        </w:rPr>
      </w:pPr>
    </w:p>
    <w:p w:rsidR="003418C5" w:rsidRPr="00BB5519" w:rsidRDefault="003418C5" w:rsidP="003418C5">
      <w:pPr>
        <w:spacing w:after="60"/>
        <w:ind w:left="720"/>
        <w:rPr>
          <w:lang w:val="de-DE"/>
        </w:rPr>
      </w:pPr>
      <w:r w:rsidRPr="00BB5519">
        <w:rPr>
          <w:b/>
          <w:bCs/>
          <w:lang w:val="de-DE"/>
        </w:rPr>
        <w:t>Kaufberechtigung</w:t>
      </w:r>
    </w:p>
    <w:p w:rsidR="003418C5" w:rsidRPr="00BB5519" w:rsidRDefault="003418C5" w:rsidP="003418C5">
      <w:pPr>
        <w:ind w:left="720"/>
        <w:rPr>
          <w:lang w:val="de-DE"/>
        </w:rPr>
      </w:pPr>
      <w:r w:rsidRPr="00BB5519">
        <w:rPr>
          <w:lang w:val="de-DE"/>
        </w:rPr>
        <w:t xml:space="preserve">Sie können nur eine Lizenz für den Office 365 ProPlus SA-Übergang erwerben, wenn Sie über eine zugrunde liegende Lizenz für Office Professional Plus Software Assurance auf einem aktiven Konzernvertrag verfügen. </w:t>
      </w:r>
    </w:p>
    <w:p w:rsidR="003418C5" w:rsidRPr="00BB5519" w:rsidRDefault="003418C5" w:rsidP="00864B8A">
      <w:pPr>
        <w:spacing w:after="60"/>
        <w:ind w:left="720"/>
        <w:rPr>
          <w:lang w:val="de-DE"/>
        </w:rPr>
      </w:pPr>
    </w:p>
    <w:p w:rsidR="005C647E" w:rsidRPr="00BB5519" w:rsidRDefault="005C647E" w:rsidP="00864B8A">
      <w:pPr>
        <w:spacing w:after="60"/>
        <w:ind w:left="720"/>
        <w:rPr>
          <w:lang w:val="de-DE"/>
        </w:rPr>
      </w:pPr>
      <w:r w:rsidRPr="00BB5519">
        <w:rPr>
          <w:rFonts w:cs="Tahoma"/>
          <w:b/>
          <w:lang w:val="de-DE"/>
        </w:rPr>
        <w:t>Campus und School</w:t>
      </w:r>
    </w:p>
    <w:p w:rsidR="005C647E" w:rsidRPr="00BB5519" w:rsidRDefault="005C647E" w:rsidP="00810479">
      <w:pPr>
        <w:ind w:left="720"/>
        <w:rPr>
          <w:lang w:val="de-DE"/>
        </w:rPr>
      </w:pPr>
      <w:r w:rsidRPr="00BB5519">
        <w:rPr>
          <w:color w:val="000000"/>
          <w:lang w:val="de-DE"/>
        </w:rPr>
        <w:t>Wenn die Einrichtung ein Office Professional-Plus-Abonnement abschließt, muss sie eine Lizenz für jeden Qualifizierten Nutzer in der Organisation der Einrichtung erwerben. Wenn sich die Einrichtung für die Studentenoption des Office Professional-Plus-Abonnements anmeldet, muss sie eine Lizenz für jeden Studenten in der Organisation erwerben.</w:t>
      </w:r>
    </w:p>
    <w:p w:rsidR="005C647E" w:rsidRPr="00BB5519" w:rsidRDefault="005C647E" w:rsidP="00810479">
      <w:pPr>
        <w:ind w:left="720"/>
        <w:rPr>
          <w:lang w:val="de-DE"/>
        </w:rPr>
      </w:pPr>
    </w:p>
    <w:p w:rsidR="008368B4" w:rsidRPr="00BB5519" w:rsidRDefault="008368B4" w:rsidP="008368B4">
      <w:pPr>
        <w:ind w:left="720"/>
        <w:rPr>
          <w:lang w:val="de-DE"/>
        </w:rPr>
      </w:pPr>
      <w:r w:rsidRPr="00BB5519">
        <w:rPr>
          <w:rFonts w:cs="Tahoma"/>
          <w:b/>
          <w:bCs/>
          <w:szCs w:val="18"/>
          <w:lang w:val="de-DE"/>
        </w:rPr>
        <w:t>Nutzung von Office Professional Plus 2010 oder Office für Mac Standard 2011</w:t>
      </w:r>
    </w:p>
    <w:p w:rsidR="008368B4" w:rsidRPr="00BB5519" w:rsidRDefault="008368B4" w:rsidP="008368B4">
      <w:pPr>
        <w:ind w:left="720"/>
        <w:rPr>
          <w:lang w:val="de-DE"/>
        </w:rPr>
      </w:pPr>
      <w:r w:rsidRPr="00BB5519">
        <w:rPr>
          <w:rFonts w:cs="Tahoma"/>
          <w:bCs/>
          <w:szCs w:val="18"/>
          <w:lang w:val="de-DE"/>
        </w:rPr>
        <w:t>Mit der Freigabe des aktualisierten Services für Office 365 ProPlus erlischt Ihr Medienberechtigungs-Nutzungsrecht für Office Professional Plus 2010 oder Office für Mac Standard 2011 anstatt für Office 365 ProPlus-Software im Rahmen von aktiven Abonnements. Für das Upgrade Ihrer Geräte auf die Office 365 ProPlus-Medien haben Sie ein Jahr, d. h. bis zum 28. Februar 2014, Zeit.</w:t>
      </w:r>
    </w:p>
    <w:p w:rsidR="008368B4" w:rsidRPr="00BB5519" w:rsidRDefault="008368B4" w:rsidP="008368B4">
      <w:pPr>
        <w:ind w:left="720"/>
        <w:rPr>
          <w:lang w:val="de-DE"/>
        </w:rPr>
      </w:pPr>
    </w:p>
    <w:p w:rsidR="008368B4" w:rsidRPr="00BB5519" w:rsidRDefault="008368B4" w:rsidP="008368B4">
      <w:pPr>
        <w:spacing w:after="60"/>
        <w:ind w:left="720"/>
        <w:rPr>
          <w:lang w:val="de-DE"/>
        </w:rPr>
      </w:pPr>
      <w:r w:rsidRPr="00BB5519">
        <w:rPr>
          <w:rFonts w:cs="Tahoma"/>
          <w:b/>
          <w:lang w:val="de-DE"/>
        </w:rPr>
        <w:t>Medienberechtigung mit Remotedesktopdiensten (RDS)</w:t>
      </w:r>
    </w:p>
    <w:p w:rsidR="008368B4" w:rsidRPr="00BB5519" w:rsidRDefault="008368B4" w:rsidP="008368B4">
      <w:pPr>
        <w:ind w:left="720"/>
        <w:rPr>
          <w:lang w:val="de-DE"/>
        </w:rPr>
      </w:pPr>
      <w:r w:rsidRPr="00BB5519">
        <w:rPr>
          <w:rFonts w:cs="Tahoma"/>
          <w:szCs w:val="18"/>
          <w:lang w:val="de-DE"/>
        </w:rPr>
        <w:t>Wenn der Nutzer, dem Sie eine Office 365 ProPlus-Lizenz zugewiesen haben, die Software bei aktivierter RDS-Rolle auf einem Netzwerkserver nutzt, ist dieser Nutzer berechtigt, 1) eine Kopie der Office Professional Plus 2013-Software auf einem Netzwerkserver zu installieren und 2) auf die Office Professional Plus 2013-Software von jedem beliebigen Gerät aus zuzugreifen, anstatt eine Kopie der Software, die mit Office 365 ProPlus bereitgestellt wurde, auf einem der fünf gemäß den Produktbenutzungsrechten für Office 365 ProPlus zulässigen Geräte zu installieren.</w:t>
      </w:r>
      <w:r w:rsidR="009E4976" w:rsidRPr="00BB5519">
        <w:rPr>
          <w:rFonts w:cs="Tahoma"/>
          <w:szCs w:val="18"/>
          <w:lang w:val="de-DE"/>
        </w:rPr>
        <w:t xml:space="preserve"> </w:t>
      </w:r>
      <w:r w:rsidRPr="00BB5519">
        <w:rPr>
          <w:rFonts w:cs="Tahoma"/>
          <w:szCs w:val="18"/>
          <w:lang w:val="de-DE"/>
        </w:rPr>
        <w:t xml:space="preserve">Nach Kündigung Ihres Office 365 ProPlus-Abonnements müssen Sie die Software für Office Professional Plus 2013 vom Netzwerkserver deinstallieren. </w:t>
      </w:r>
    </w:p>
    <w:p w:rsidR="00B2182D" w:rsidRPr="00BB5519" w:rsidRDefault="00B2182D" w:rsidP="00810479">
      <w:pPr>
        <w:ind w:left="720"/>
        <w:rPr>
          <w:lang w:val="de-DE"/>
        </w:rPr>
      </w:pPr>
    </w:p>
    <w:p w:rsidR="00ED6F81" w:rsidRPr="00BB5519" w:rsidRDefault="00ED6F81" w:rsidP="001721E7">
      <w:pPr>
        <w:keepNext/>
        <w:keepLines/>
        <w:spacing w:after="60"/>
        <w:ind w:left="720"/>
        <w:rPr>
          <w:lang w:val="de-DE"/>
        </w:rPr>
      </w:pPr>
      <w:r w:rsidRPr="00BB5519">
        <w:rPr>
          <w:rFonts w:cs="Tahoma"/>
          <w:b/>
          <w:lang w:val="de-DE"/>
        </w:rPr>
        <w:lastRenderedPageBreak/>
        <w:t>Medienberechtigung mit Windows To Go-Rechten</w:t>
      </w:r>
    </w:p>
    <w:p w:rsidR="008368B4" w:rsidRPr="00BB5519" w:rsidRDefault="008368B4" w:rsidP="001721E7">
      <w:pPr>
        <w:keepNext/>
        <w:keepLines/>
        <w:ind w:left="720"/>
        <w:rPr>
          <w:lang w:val="de-DE"/>
        </w:rPr>
      </w:pPr>
      <w:r w:rsidRPr="00BB5519">
        <w:rPr>
          <w:rFonts w:cs="Tahoma"/>
          <w:szCs w:val="18"/>
          <w:lang w:val="de-DE"/>
        </w:rPr>
        <w:t xml:space="preserve">Im Rahmen der Einführung von Windows To Go-Rechten gilt Folgendes: Wenn der Nutzer, dem Sie eine Office 365 ProPlus-Lizenz zugewiesen haben, das Recht zur Nutzung von Software unter Windows To Go-Rechten in Anspruch nimmt, ist dieser Nutzer berechtigt, 1) eine Kopie der Office Professional </w:t>
      </w:r>
      <w:r w:rsidRPr="00BB5519">
        <w:rPr>
          <w:rFonts w:cs="Tahoma"/>
          <w:color w:val="000000" w:themeColor="text1"/>
          <w:szCs w:val="18"/>
          <w:lang w:val="de-DE"/>
        </w:rPr>
        <w:t>Plus 2013-Software auf dem USB-Laufwerk, das für Windows To Go-Rechte verwendet wurde, zu installieren und 2) die Office Professional Plus 2013-</w:t>
      </w:r>
      <w:r w:rsidRPr="00BB5519">
        <w:rPr>
          <w:rFonts w:cs="Tahoma"/>
          <w:szCs w:val="18"/>
          <w:lang w:val="de-DE"/>
        </w:rPr>
        <w:t xml:space="preserve">Software auf diesem USB-Laufwerk auf einem beliebigen Gerät zu verwenden, anstatt eine Kopie der Software, die mit Office 365 ProPlus bereitgestellt wurde, auf einem der fünf gemäß den Produktbenutzungsrechten für Office 365 ProPlus zulässigen Geräte zu installieren. Nach Kündigung Ihres Office 365 ProPlus-Abonnements müssen Sie die Software für Office Professional Plus 2013 vom USB-Laufwerk deinstallieren. </w:t>
      </w:r>
    </w:p>
    <w:p w:rsidR="00ED6F81" w:rsidRPr="00BB5519" w:rsidRDefault="00ED6F81" w:rsidP="00810479">
      <w:pPr>
        <w:ind w:left="720"/>
        <w:rPr>
          <w:lang w:val="de-DE"/>
        </w:rPr>
      </w:pPr>
    </w:p>
    <w:p w:rsidR="00B2182D" w:rsidRPr="00BB5519" w:rsidRDefault="00B2182D" w:rsidP="00864B8A">
      <w:pPr>
        <w:spacing w:after="60"/>
        <w:ind w:left="720"/>
        <w:rPr>
          <w:lang w:val="de-DE"/>
        </w:rPr>
      </w:pPr>
      <w:r w:rsidRPr="00BB5519">
        <w:rPr>
          <w:rFonts w:cs="Tahoma"/>
          <w:b/>
          <w:lang w:val="de-DE"/>
        </w:rPr>
        <w:t>Downgraderechte</w:t>
      </w:r>
    </w:p>
    <w:p w:rsidR="008368B4" w:rsidRPr="00BB5519" w:rsidRDefault="008368B4" w:rsidP="008368B4">
      <w:pPr>
        <w:ind w:left="720"/>
        <w:rPr>
          <w:lang w:val="de-DE"/>
        </w:rPr>
      </w:pPr>
      <w:r w:rsidRPr="00BB5519">
        <w:rPr>
          <w:rFonts w:cs="Tahoma"/>
          <w:bCs/>
          <w:szCs w:val="18"/>
          <w:lang w:val="de-DE"/>
        </w:rPr>
        <w:t xml:space="preserve">Der Office 365 ProPlus-Service umfasst keine Downgraderechte. Weitere Informationen zu Onlinedienste-Upgradeanforderungen finden Sie in den Produktbenutzungsrechten (PUR) von Microsoft unter </w:t>
      </w:r>
      <w:hyperlink r:id="rId40" w:history="1">
        <w:r w:rsidRPr="00BB5519">
          <w:rPr>
            <w:rStyle w:val="Hyperlink"/>
            <w:rFonts w:cs="Tahoma"/>
            <w:bCs/>
            <w:szCs w:val="18"/>
            <w:lang w:val="de-DE"/>
          </w:rPr>
          <w:t>www.microsoftvolumelicensing.com/userights/PUR.aspx</w:t>
        </w:r>
      </w:hyperlink>
    </w:p>
    <w:p w:rsidR="00AE5A9F" w:rsidRPr="00BB5519" w:rsidRDefault="00AE5A9F" w:rsidP="00AE5A9F">
      <w:pPr>
        <w:rPr>
          <w:lang w:val="de-DE"/>
        </w:rPr>
      </w:pPr>
      <w:bookmarkStart w:id="1079" w:name="Srv_9OutlookMac2011"/>
    </w:p>
    <w:p w:rsidR="00AE5A9F" w:rsidRPr="00BB5519" w:rsidRDefault="00AE5A9F" w:rsidP="00AE5A9F">
      <w:pPr>
        <w:rPr>
          <w:lang w:val="de-DE"/>
        </w:rPr>
      </w:pPr>
    </w:p>
    <w:p w:rsidR="00704723" w:rsidRPr="00BB5519" w:rsidRDefault="004668D9" w:rsidP="00704723">
      <w:pPr>
        <w:pStyle w:val="Heading3"/>
        <w:rPr>
          <w:lang w:val="de-DE"/>
        </w:rPr>
      </w:pPr>
      <w:bookmarkStart w:id="1080" w:name="_121_Outlook_for"/>
      <w:bookmarkStart w:id="1081" w:name="_12_Outlook_für"/>
      <w:bookmarkStart w:id="1082" w:name="_Toc336338270"/>
      <w:bookmarkStart w:id="1083" w:name="_Toc354054965"/>
      <w:bookmarkEnd w:id="1080"/>
      <w:bookmarkEnd w:id="1081"/>
      <w:r w:rsidRPr="00BB5519">
        <w:rPr>
          <w:rFonts w:ascii="Tahoma" w:hAnsi="Tahoma"/>
          <w:caps/>
          <w:color w:val="F66400"/>
          <w:sz w:val="22"/>
          <w:vertAlign w:val="superscript"/>
          <w:lang w:val="de-DE"/>
        </w:rPr>
        <w:t>12</w:t>
      </w:r>
      <w:r w:rsidRPr="00BB5519">
        <w:rPr>
          <w:rFonts w:ascii="Tahoma" w:hAnsi="Tahoma"/>
          <w:color w:val="F66400"/>
          <w:sz w:val="22"/>
          <w:lang w:val="de-DE"/>
        </w:rPr>
        <w:t xml:space="preserve"> Outlook für Mac 2011</w:t>
      </w:r>
      <w:bookmarkEnd w:id="1082"/>
      <w:bookmarkEnd w:id="1083"/>
      <w:r w:rsidRPr="00BB5519">
        <w:rPr>
          <w:rFonts w:ascii="Tahoma" w:hAnsi="Tahoma"/>
          <w:color w:val="F66400"/>
          <w:sz w:val="22"/>
          <w:lang w:val="de-DE"/>
        </w:rPr>
        <w:t xml:space="preserve"> </w:t>
      </w:r>
    </w:p>
    <w:bookmarkEnd w:id="1079"/>
    <w:p w:rsidR="00704723" w:rsidRPr="00BB5519" w:rsidRDefault="00704723" w:rsidP="00AE5A9F">
      <w:pPr>
        <w:rPr>
          <w:lang w:val="de-DE"/>
        </w:rPr>
      </w:pPr>
    </w:p>
    <w:p w:rsidR="00704723" w:rsidRPr="00BB5519" w:rsidRDefault="00704723" w:rsidP="00864B8A">
      <w:pPr>
        <w:spacing w:after="60"/>
        <w:ind w:left="720"/>
        <w:rPr>
          <w:lang w:val="de-DE"/>
        </w:rPr>
      </w:pPr>
      <w:r w:rsidRPr="00BB5519">
        <w:rPr>
          <w:rFonts w:cs="Tahoma"/>
          <w:b/>
          <w:lang w:val="de-DE"/>
        </w:rPr>
        <w:t>Software Assurance-Migrationspfad für Entourage für Mac 2008</w:t>
      </w:r>
    </w:p>
    <w:p w:rsidR="00223A77" w:rsidRDefault="00704723" w:rsidP="00AE5A9F">
      <w:pPr>
        <w:adjustRightInd w:val="0"/>
        <w:ind w:left="720"/>
        <w:textAlignment w:val="baseline"/>
        <w:rPr>
          <w:rFonts w:cs="Tahoma"/>
          <w:szCs w:val="20"/>
          <w:lang w:val="de-DE"/>
        </w:rPr>
      </w:pPr>
      <w:r w:rsidRPr="00BB5519">
        <w:rPr>
          <w:rFonts w:cs="Tahoma"/>
          <w:szCs w:val="20"/>
          <w:lang w:val="de-DE"/>
        </w:rPr>
        <w:t>Die Folgeversion von Entourage für Mac</w:t>
      </w:r>
      <w:bookmarkStart w:id="1084" w:name="Srv_8Project2010Pro"/>
      <w:r w:rsidRPr="00BB5519">
        <w:rPr>
          <w:rFonts w:cs="Tahoma"/>
          <w:szCs w:val="20"/>
          <w:lang w:val="de-DE"/>
        </w:rPr>
        <w:t xml:space="preserve"> 2008 ist Outlook für Mac 2011.</w:t>
      </w:r>
    </w:p>
    <w:p w:rsidR="0020404F" w:rsidRDefault="0020404F" w:rsidP="00AE5A9F">
      <w:pPr>
        <w:adjustRightInd w:val="0"/>
        <w:ind w:left="720"/>
        <w:textAlignment w:val="baseline"/>
        <w:rPr>
          <w:lang w:val="de-DE"/>
        </w:rPr>
      </w:pPr>
    </w:p>
    <w:p w:rsidR="0020404F" w:rsidRPr="00BB5519" w:rsidRDefault="0020404F" w:rsidP="00AE5A9F">
      <w:pPr>
        <w:adjustRightInd w:val="0"/>
        <w:ind w:left="720"/>
        <w:textAlignment w:val="baseline"/>
        <w:rPr>
          <w:lang w:val="de-DE"/>
        </w:rPr>
      </w:pPr>
    </w:p>
    <w:p w:rsidR="00223A77" w:rsidRPr="00BB5519" w:rsidRDefault="004668D9" w:rsidP="00223A77">
      <w:pPr>
        <w:pStyle w:val="Heading3"/>
        <w:rPr>
          <w:lang w:val="de-DE"/>
        </w:rPr>
      </w:pPr>
      <w:bookmarkStart w:id="1085" w:name="_132_Project_2013"/>
      <w:bookmarkStart w:id="1086" w:name="_13_Project_2013"/>
      <w:bookmarkStart w:id="1087" w:name="_Toc336338271"/>
      <w:bookmarkStart w:id="1088" w:name="_Toc354054966"/>
      <w:bookmarkStart w:id="1089" w:name="_Toc254806116"/>
      <w:bookmarkStart w:id="1090" w:name="Srv_Project2010Pro"/>
      <w:bookmarkStart w:id="1091" w:name="Aps_8Project2010Pro"/>
      <w:bookmarkEnd w:id="1085"/>
      <w:bookmarkEnd w:id="1086"/>
      <w:r w:rsidRPr="00BB5519">
        <w:rPr>
          <w:rFonts w:ascii="Tahoma" w:hAnsi="Tahoma"/>
          <w:caps/>
          <w:color w:val="F66400"/>
          <w:sz w:val="22"/>
          <w:vertAlign w:val="superscript"/>
          <w:lang w:val="de-DE"/>
        </w:rPr>
        <w:t>13</w:t>
      </w:r>
      <w:r w:rsidRPr="00BB5519">
        <w:rPr>
          <w:rFonts w:ascii="Tahoma" w:hAnsi="Tahoma"/>
          <w:color w:val="F66400"/>
          <w:sz w:val="22"/>
          <w:lang w:val="de-DE"/>
        </w:rPr>
        <w:t xml:space="preserve"> Project 2013 Professional</w:t>
      </w:r>
      <w:bookmarkEnd w:id="1087"/>
      <w:bookmarkEnd w:id="1088"/>
      <w:r w:rsidRPr="00BB5519">
        <w:rPr>
          <w:rFonts w:ascii="Tahoma" w:hAnsi="Tahoma"/>
          <w:color w:val="F66400"/>
          <w:sz w:val="22"/>
          <w:lang w:val="de-DE"/>
        </w:rPr>
        <w:t xml:space="preserve"> </w:t>
      </w:r>
      <w:bookmarkEnd w:id="1089"/>
    </w:p>
    <w:bookmarkEnd w:id="1084"/>
    <w:bookmarkEnd w:id="1090"/>
    <w:bookmarkEnd w:id="1091"/>
    <w:p w:rsidR="00223A77" w:rsidRPr="00BB5519" w:rsidRDefault="00223A77" w:rsidP="00AE5A9F">
      <w:pPr>
        <w:ind w:left="720"/>
        <w:rPr>
          <w:lang w:val="de-DE"/>
        </w:rPr>
      </w:pPr>
    </w:p>
    <w:p w:rsidR="00223A77" w:rsidRPr="00BB5519" w:rsidRDefault="00223A77" w:rsidP="00864B8A">
      <w:pPr>
        <w:spacing w:after="60"/>
        <w:ind w:left="720"/>
        <w:rPr>
          <w:lang w:val="de-DE"/>
        </w:rPr>
      </w:pPr>
      <w:r w:rsidRPr="00BB5519">
        <w:rPr>
          <w:rFonts w:cs="Tahoma"/>
          <w:b/>
          <w:lang w:val="de-DE"/>
        </w:rPr>
        <w:t>Zusätzliche Project Server-CAL</w:t>
      </w:r>
    </w:p>
    <w:p w:rsidR="00223A77" w:rsidRPr="00BB5519" w:rsidRDefault="00223A77" w:rsidP="00AE5A9F">
      <w:pPr>
        <w:pStyle w:val="EndnoteText"/>
        <w:ind w:left="720"/>
        <w:rPr>
          <w:lang w:val="de-DE"/>
        </w:rPr>
      </w:pPr>
      <w:r w:rsidRPr="00BB5519">
        <w:rPr>
          <w:rStyle w:val="EndnoteTextChar"/>
          <w:rFonts w:ascii="Tahoma" w:hAnsi="Tahoma" w:cs="Tahoma"/>
          <w:sz w:val="18"/>
          <w:lang w:val="de-DE"/>
        </w:rPr>
        <w:t>Kunden, die Project Professional 2013 lizenzieren, erhalten eine Geräte-CAL für Project Server 2013. Das Recht, unter dieser CAL auf Project Server 2013 zuzugreifen, gilt bis zum Ablauf der zugehörigen Project Professional-Lizenz.</w:t>
      </w:r>
    </w:p>
    <w:p w:rsidR="00223A77" w:rsidRPr="00BB5519" w:rsidRDefault="00223A77" w:rsidP="00AE5A9F">
      <w:pPr>
        <w:pStyle w:val="EndnoteText"/>
        <w:ind w:left="720"/>
        <w:rPr>
          <w:lang w:val="de-DE"/>
        </w:rPr>
      </w:pPr>
    </w:p>
    <w:p w:rsidR="00223A77" w:rsidRPr="00BB5519" w:rsidRDefault="00223A77" w:rsidP="00AE5A9F">
      <w:pPr>
        <w:pStyle w:val="EndnoteText"/>
        <w:ind w:left="720"/>
        <w:rPr>
          <w:lang w:val="de-DE"/>
        </w:rPr>
      </w:pPr>
      <w:r w:rsidRPr="00BB5519">
        <w:rPr>
          <w:rStyle w:val="EndnoteTextChar"/>
          <w:rFonts w:ascii="Tahoma" w:hAnsi="Tahoma" w:cs="Tahoma"/>
          <w:sz w:val="18"/>
          <w:lang w:val="de-DE"/>
        </w:rPr>
        <w:t>Kunden mit aktiver Software Assurance für ihre Project Professional-Lizenz haben damit Software Assurance für die zusätzliche Project Server-CAL. Diese gilt bis zum Ablauf von Software Assurance für Project Professional.</w:t>
      </w:r>
    </w:p>
    <w:p w:rsidR="00223A77" w:rsidRPr="00BB5519" w:rsidRDefault="00223A77" w:rsidP="00AE5A9F">
      <w:pPr>
        <w:pStyle w:val="EndnoteText"/>
        <w:ind w:left="720"/>
        <w:rPr>
          <w:lang w:val="de-DE"/>
        </w:rPr>
      </w:pPr>
    </w:p>
    <w:p w:rsidR="00223A77" w:rsidRPr="00BB5519" w:rsidRDefault="00223A77" w:rsidP="001721E7">
      <w:pPr>
        <w:pStyle w:val="EndnoteText"/>
        <w:ind w:left="720"/>
        <w:rPr>
          <w:lang w:val="de-DE"/>
        </w:rPr>
      </w:pPr>
      <w:r w:rsidRPr="00BB5519">
        <w:rPr>
          <w:rStyle w:val="EndnoteTextChar"/>
          <w:rFonts w:ascii="Tahoma" w:hAnsi="Tahoma" w:cs="Tahoma"/>
          <w:sz w:val="18"/>
          <w:lang w:val="de-DE"/>
        </w:rPr>
        <w:t>Zusätzliche Rechte, die für diese CALS gelten, finden Sie im Hinweis auf die Produktbedingungen zu</w:t>
      </w:r>
      <w:r w:rsidR="001721E7">
        <w:rPr>
          <w:rStyle w:val="EndnoteTextChar"/>
          <w:rFonts w:ascii="Tahoma" w:hAnsi="Tahoma" w:cs="Tahoma"/>
          <w:sz w:val="18"/>
          <w:lang w:val="de-DE"/>
        </w:rPr>
        <w:t> </w:t>
      </w:r>
      <w:r w:rsidRPr="00BB5519">
        <w:rPr>
          <w:rStyle w:val="EndnoteTextChar"/>
          <w:rFonts w:ascii="Tahoma" w:hAnsi="Tahoma" w:cs="Tahoma"/>
          <w:sz w:val="18"/>
          <w:lang w:val="de-DE"/>
        </w:rPr>
        <w:t>Project</w:t>
      </w:r>
      <w:r w:rsidR="001721E7">
        <w:rPr>
          <w:rStyle w:val="EndnoteTextChar"/>
          <w:rFonts w:ascii="Tahoma" w:hAnsi="Tahoma" w:cs="Tahoma"/>
          <w:sz w:val="18"/>
          <w:lang w:val="de-DE"/>
        </w:rPr>
        <w:t> </w:t>
      </w:r>
      <w:r w:rsidRPr="00BB5519">
        <w:rPr>
          <w:rStyle w:val="EndnoteTextChar"/>
          <w:rFonts w:ascii="Tahoma" w:hAnsi="Tahoma" w:cs="Tahoma"/>
          <w:sz w:val="18"/>
          <w:lang w:val="de-DE"/>
        </w:rPr>
        <w:t>Server.</w:t>
      </w:r>
    </w:p>
    <w:p w:rsidR="00AE5A9F" w:rsidRPr="00BB5519" w:rsidRDefault="00AE5A9F" w:rsidP="00AE5A9F">
      <w:pPr>
        <w:rPr>
          <w:lang w:val="de-DE"/>
        </w:rPr>
      </w:pPr>
    </w:p>
    <w:p w:rsidR="00AE5A9F" w:rsidRPr="00BB5519" w:rsidRDefault="00AE5A9F" w:rsidP="00AE5A9F">
      <w:pPr>
        <w:rPr>
          <w:lang w:val="de-DE"/>
        </w:rPr>
      </w:pPr>
    </w:p>
    <w:p w:rsidR="002202DB" w:rsidRPr="00BB5519" w:rsidRDefault="004668D9" w:rsidP="0020404F">
      <w:pPr>
        <w:pStyle w:val="Heading3"/>
        <w:rPr>
          <w:lang w:val="de-DE"/>
        </w:rPr>
      </w:pPr>
      <w:bookmarkStart w:id="1092" w:name="_143_Project_Pro"/>
      <w:bookmarkStart w:id="1093" w:name="_14_Project_Pro"/>
      <w:bookmarkStart w:id="1094" w:name="_Toc354054967"/>
      <w:bookmarkEnd w:id="1092"/>
      <w:bookmarkEnd w:id="1093"/>
      <w:r w:rsidRPr="00BB5519">
        <w:rPr>
          <w:rFonts w:ascii="Tahoma" w:hAnsi="Tahoma"/>
          <w:caps/>
          <w:color w:val="F66400"/>
          <w:sz w:val="22"/>
          <w:vertAlign w:val="superscript"/>
          <w:lang w:val="de-DE"/>
        </w:rPr>
        <w:t>14</w:t>
      </w:r>
      <w:r w:rsidR="0020404F" w:rsidRPr="00BB5519">
        <w:rPr>
          <w:rFonts w:ascii="Tahoma" w:hAnsi="Tahoma"/>
          <w:color w:val="F66400"/>
          <w:sz w:val="22"/>
          <w:lang w:val="de-DE"/>
        </w:rPr>
        <w:t xml:space="preserve"> </w:t>
      </w:r>
      <w:r w:rsidRPr="00BB5519">
        <w:rPr>
          <w:rFonts w:ascii="Tahoma" w:hAnsi="Tahoma"/>
          <w:color w:val="F66400"/>
          <w:sz w:val="22"/>
          <w:lang w:val="de-DE"/>
        </w:rPr>
        <w:t>Project Pro für Office 365</w:t>
      </w:r>
      <w:bookmarkEnd w:id="1094"/>
      <w:r w:rsidRPr="00BB5519">
        <w:rPr>
          <w:rFonts w:ascii="Tahoma" w:hAnsi="Tahoma"/>
          <w:color w:val="F66400"/>
          <w:sz w:val="22"/>
          <w:lang w:val="de-DE"/>
        </w:rPr>
        <w:t xml:space="preserve"> </w:t>
      </w:r>
    </w:p>
    <w:p w:rsidR="00A32FE7" w:rsidRPr="00BB5519" w:rsidRDefault="00A32FE7" w:rsidP="00A32FE7">
      <w:pPr>
        <w:rPr>
          <w:lang w:val="de-DE"/>
        </w:rPr>
      </w:pPr>
    </w:p>
    <w:p w:rsidR="002202DB" w:rsidRPr="00BB5519" w:rsidRDefault="002202DB" w:rsidP="002202DB">
      <w:pPr>
        <w:spacing w:after="60"/>
        <w:ind w:left="720"/>
        <w:rPr>
          <w:lang w:val="de-DE"/>
        </w:rPr>
      </w:pPr>
      <w:r w:rsidRPr="00BB5519">
        <w:rPr>
          <w:rFonts w:cs="Tahoma"/>
          <w:b/>
          <w:lang w:val="de-DE"/>
        </w:rPr>
        <w:t>Medienberechtigung mit Remotedesktopdiensten (RDS)</w:t>
      </w:r>
    </w:p>
    <w:p w:rsidR="002202DB" w:rsidRPr="00BB5519" w:rsidRDefault="002202DB" w:rsidP="00AB1F06">
      <w:pPr>
        <w:ind w:left="720"/>
        <w:rPr>
          <w:lang w:val="de-DE"/>
        </w:rPr>
      </w:pPr>
      <w:r w:rsidRPr="00BB5519">
        <w:rPr>
          <w:rFonts w:cs="Tahoma"/>
          <w:szCs w:val="18"/>
          <w:lang w:val="de-DE"/>
        </w:rPr>
        <w:t>Wenn der Nutzer, dem Sie eine Project Pro für Office 365-Lizenz zugewiesen haben, die Software bei aktivierter RDS-Rolle auf einem Netzwerkserver nutzt, ist dieser Nutzer berechtigt, 1) eine Kopie der Project</w:t>
      </w:r>
      <w:r w:rsidR="001721E7">
        <w:rPr>
          <w:rFonts w:cs="Tahoma"/>
          <w:szCs w:val="18"/>
          <w:lang w:val="de-DE"/>
        </w:rPr>
        <w:t> </w:t>
      </w:r>
      <w:r w:rsidRPr="00BB5519">
        <w:rPr>
          <w:rFonts w:cs="Tahoma"/>
          <w:szCs w:val="18"/>
          <w:lang w:val="de-DE"/>
        </w:rPr>
        <w:t>2013 Professional-Software auf einem Netzwerkserver zu installieren und 2) auf die Project 2013 Professional-Software von jedem beliebigen Gerät aus zuzugreifen, anstatt eine Kopie der Software, die mit Project Pro für Office 365 bereitgestellt wurde, auf einem der fünf gemäß den Produktbenutzungsrechten für Project Pro für Office 365 zulässigen Geräte zu installieren.</w:t>
      </w:r>
      <w:r w:rsidR="009E4976" w:rsidRPr="00BB5519">
        <w:rPr>
          <w:rFonts w:cs="Tahoma"/>
          <w:szCs w:val="18"/>
          <w:lang w:val="de-DE"/>
        </w:rPr>
        <w:t xml:space="preserve"> </w:t>
      </w:r>
      <w:r w:rsidRPr="00BB5519">
        <w:rPr>
          <w:rFonts w:cs="Tahoma"/>
          <w:szCs w:val="18"/>
          <w:lang w:val="de-DE"/>
        </w:rPr>
        <w:t>Nach Kündigung Ihres Project Pro für Office</w:t>
      </w:r>
      <w:r w:rsidR="00AB1F06">
        <w:rPr>
          <w:rFonts w:cs="Tahoma"/>
          <w:szCs w:val="18"/>
          <w:lang w:val="de-DE"/>
        </w:rPr>
        <w:t> </w:t>
      </w:r>
      <w:r w:rsidRPr="00BB5519">
        <w:rPr>
          <w:rFonts w:cs="Tahoma"/>
          <w:szCs w:val="18"/>
          <w:lang w:val="de-DE"/>
        </w:rPr>
        <w:t xml:space="preserve">365-Abonnements müssen Sie die Project 2013 Professional-Software vom Netzwerkserver deinstallieren. </w:t>
      </w:r>
    </w:p>
    <w:p w:rsidR="002202DB" w:rsidRPr="00BB5519" w:rsidRDefault="002202DB" w:rsidP="002202DB">
      <w:pPr>
        <w:ind w:left="720"/>
        <w:rPr>
          <w:lang w:val="de-DE"/>
        </w:rPr>
      </w:pPr>
    </w:p>
    <w:p w:rsidR="002202DB" w:rsidRPr="00BB5519" w:rsidRDefault="002202DB" w:rsidP="002202DB">
      <w:pPr>
        <w:spacing w:after="60"/>
        <w:ind w:left="720"/>
        <w:rPr>
          <w:lang w:val="de-DE"/>
        </w:rPr>
      </w:pPr>
      <w:r w:rsidRPr="00BB5519">
        <w:rPr>
          <w:rFonts w:cs="Tahoma"/>
          <w:b/>
          <w:lang w:val="de-DE"/>
        </w:rPr>
        <w:t>Downgraderechte</w:t>
      </w:r>
    </w:p>
    <w:p w:rsidR="002202DB" w:rsidRPr="00BB5519" w:rsidRDefault="002202DB" w:rsidP="00AB1F06">
      <w:pPr>
        <w:ind w:left="720"/>
        <w:rPr>
          <w:lang w:val="de-DE"/>
        </w:rPr>
      </w:pPr>
      <w:r w:rsidRPr="00BB5519">
        <w:rPr>
          <w:rFonts w:cs="Tahoma"/>
          <w:bCs/>
          <w:szCs w:val="18"/>
          <w:lang w:val="de-DE"/>
        </w:rPr>
        <w:t>Der Project Pro für Office 365-Service umfasst keine Downgraderechte. Weitere Informationen zu Onlinedienste-Upgradeanforderungen finden Sie in den Produktbenutzungsrechten (PUR) von Microsoft</w:t>
      </w:r>
      <w:r w:rsidR="00AB1F06">
        <w:rPr>
          <w:rFonts w:cs="Tahoma"/>
          <w:bCs/>
          <w:szCs w:val="18"/>
          <w:lang w:val="de-DE"/>
        </w:rPr>
        <w:t> </w:t>
      </w:r>
      <w:r w:rsidRPr="00BB5519">
        <w:rPr>
          <w:rFonts w:cs="Tahoma"/>
          <w:bCs/>
          <w:szCs w:val="18"/>
          <w:lang w:val="de-DE"/>
        </w:rPr>
        <w:t xml:space="preserve">unter </w:t>
      </w:r>
      <w:hyperlink r:id="rId41" w:history="1">
        <w:r w:rsidRPr="00BB5519">
          <w:rPr>
            <w:rStyle w:val="Hyperlink"/>
            <w:rFonts w:cs="Tahoma"/>
            <w:bCs/>
            <w:szCs w:val="18"/>
            <w:lang w:val="de-DE"/>
          </w:rPr>
          <w:t>http://www.microsoftvolumelicensing.com/userights/PUR.aspx</w:t>
        </w:r>
      </w:hyperlink>
    </w:p>
    <w:p w:rsidR="002202DB" w:rsidRPr="00BB5519" w:rsidRDefault="002202DB" w:rsidP="00AE5A9F">
      <w:pPr>
        <w:rPr>
          <w:lang w:val="de-DE"/>
        </w:rPr>
      </w:pPr>
    </w:p>
    <w:p w:rsidR="002202DB" w:rsidRPr="00BB5519" w:rsidRDefault="002202DB" w:rsidP="00AE5A9F">
      <w:pPr>
        <w:rPr>
          <w:lang w:val="de-DE"/>
        </w:rPr>
      </w:pPr>
    </w:p>
    <w:p w:rsidR="00223A77" w:rsidRPr="00BB5519" w:rsidRDefault="004668D9" w:rsidP="00354FEE">
      <w:pPr>
        <w:pStyle w:val="Heading3"/>
        <w:keepNext/>
        <w:keepLines/>
        <w:rPr>
          <w:lang w:val="de-DE"/>
        </w:rPr>
      </w:pPr>
      <w:bookmarkStart w:id="1095" w:name="_145_Rental_Rights"/>
      <w:bookmarkStart w:id="1096" w:name="_15_Vermietungsrechte_für"/>
      <w:bookmarkStart w:id="1097" w:name="_Toc336338272"/>
      <w:bookmarkStart w:id="1098" w:name="_Toc354054968"/>
      <w:bookmarkStart w:id="1099" w:name="Aps_9RentalRightsOffice"/>
      <w:bookmarkStart w:id="1100" w:name="Srv_RentalRightsOffice"/>
      <w:bookmarkStart w:id="1101" w:name="Srv_9RentalRightsOffice"/>
      <w:bookmarkEnd w:id="1095"/>
      <w:bookmarkEnd w:id="1096"/>
      <w:r w:rsidRPr="00BB5519">
        <w:rPr>
          <w:rFonts w:ascii="Tahoma" w:hAnsi="Tahoma" w:cs="Tahoma"/>
          <w:caps/>
          <w:color w:val="E65D08"/>
          <w:sz w:val="22"/>
          <w:szCs w:val="22"/>
          <w:vertAlign w:val="superscript"/>
          <w:lang w:val="de-DE"/>
        </w:rPr>
        <w:lastRenderedPageBreak/>
        <w:t>15</w:t>
      </w:r>
      <w:r w:rsidRPr="00BB5519">
        <w:rPr>
          <w:rFonts w:ascii="Tahoma" w:hAnsi="Tahoma" w:cs="Tahoma"/>
          <w:color w:val="E65D08"/>
          <w:sz w:val="22"/>
          <w:szCs w:val="22"/>
          <w:lang w:val="de-DE"/>
        </w:rPr>
        <w:t xml:space="preserve"> Vermietungsrechte für Office</w:t>
      </w:r>
      <w:bookmarkEnd w:id="1097"/>
      <w:bookmarkEnd w:id="1098"/>
    </w:p>
    <w:bookmarkEnd w:id="1099"/>
    <w:p w:rsidR="002541AE" w:rsidRPr="00BB5519" w:rsidRDefault="002541AE" w:rsidP="00354FEE">
      <w:pPr>
        <w:keepNext/>
        <w:keepLines/>
        <w:rPr>
          <w:lang w:val="de-DE"/>
        </w:rPr>
      </w:pPr>
    </w:p>
    <w:bookmarkEnd w:id="1100"/>
    <w:bookmarkEnd w:id="1101"/>
    <w:p w:rsidR="000B0A08" w:rsidRPr="00BB5519" w:rsidRDefault="000B0A08" w:rsidP="00354FEE">
      <w:pPr>
        <w:pStyle w:val="FootnoteBulletLevel1"/>
        <w:tabs>
          <w:tab w:val="clear" w:pos="900"/>
        </w:tabs>
        <w:spacing w:before="0" w:after="0"/>
        <w:ind w:left="720" w:firstLine="0"/>
        <w:rPr>
          <w:lang w:val="de-DE"/>
        </w:rPr>
      </w:pPr>
      <w:r w:rsidRPr="00BB5519">
        <w:rPr>
          <w:rFonts w:ascii="Tahoma" w:hAnsi="Tahoma" w:cs="Tahoma"/>
          <w:color w:val="000000"/>
          <w:sz w:val="18"/>
          <w:szCs w:val="18"/>
          <w:lang w:val="de-DE"/>
        </w:rPr>
        <w:t>Die unter diesen Programmen gewährten Vermietungsrechtelizenzen sind ausschließlich Add-On-Lizenzen.</w:t>
      </w:r>
      <w:r w:rsidR="00354FEE">
        <w:rPr>
          <w:rFonts w:ascii="Tahoma" w:hAnsi="Tahoma" w:cs="Tahoma"/>
          <w:color w:val="000000"/>
          <w:sz w:val="18"/>
          <w:szCs w:val="18"/>
          <w:lang w:val="de-DE"/>
        </w:rPr>
        <w:t> </w:t>
      </w:r>
      <w:r w:rsidRPr="00BB5519">
        <w:rPr>
          <w:rFonts w:ascii="Tahoma" w:hAnsi="Tahoma" w:cs="Tahoma"/>
          <w:color w:val="000000"/>
          <w:sz w:val="18"/>
          <w:szCs w:val="18"/>
          <w:lang w:val="de-DE"/>
        </w:rPr>
        <w:t>Es handelt sich nicht um volle Produktlizenzen. Daher muss jeder Desktop, dem ein Kunde eine Vermietungsrechtelizenz zuweist, zur Ausführung einer der unten genannten qualifizierenden Anwendungen lizenziert sein.</w:t>
      </w:r>
    </w:p>
    <w:p w:rsidR="00980240" w:rsidRPr="00BB5519" w:rsidRDefault="00980240" w:rsidP="005E3B5E">
      <w:pPr>
        <w:ind w:left="720"/>
        <w:rPr>
          <w:lang w:val="de-DE"/>
        </w:rPr>
      </w:pPr>
    </w:p>
    <w:p w:rsidR="00980240" w:rsidRPr="00BB5519" w:rsidRDefault="000B0A08" w:rsidP="00864B8A">
      <w:pPr>
        <w:spacing w:after="60"/>
        <w:ind w:left="720"/>
        <w:rPr>
          <w:lang w:val="de-DE"/>
        </w:rPr>
      </w:pPr>
      <w:r w:rsidRPr="00BB5519">
        <w:rPr>
          <w:rFonts w:cs="Tahoma"/>
          <w:b/>
          <w:lang w:val="de-DE"/>
        </w:rPr>
        <w:t>Regeln für qualifizierende Anwendungen</w:t>
      </w:r>
    </w:p>
    <w:p w:rsidR="000B0A08" w:rsidRPr="00BB5519" w:rsidRDefault="000B0A08" w:rsidP="005E3B5E">
      <w:pPr>
        <w:ind w:left="720"/>
        <w:rPr>
          <w:lang w:val="de-DE"/>
        </w:rPr>
      </w:pPr>
      <w:r w:rsidRPr="00BB5519">
        <w:rPr>
          <w:rFonts w:cs="Tahoma"/>
          <w:color w:val="000000"/>
          <w:szCs w:val="18"/>
          <w:lang w:val="de-DE"/>
        </w:rPr>
        <w:t>(Alle Bedingungen müssen erfüllt sein, damit die Basislizenz Sie für die Vermietungsrechtelizenz qualifiziert):</w:t>
      </w:r>
    </w:p>
    <w:p w:rsidR="005E3B5E" w:rsidRPr="00BB5519" w:rsidRDefault="005E3B5E" w:rsidP="005E3B5E">
      <w:pPr>
        <w:ind w:left="900"/>
        <w:rPr>
          <w:lang w:val="de-DE"/>
        </w:rPr>
      </w:pPr>
    </w:p>
    <w:p w:rsidR="000B0A08" w:rsidRPr="00BB5519" w:rsidRDefault="000B0A08" w:rsidP="005E3B5E">
      <w:pPr>
        <w:numPr>
          <w:ilvl w:val="0"/>
          <w:numId w:val="20"/>
        </w:numPr>
        <w:spacing w:after="60"/>
        <w:ind w:left="1440"/>
        <w:rPr>
          <w:lang w:val="de-DE"/>
        </w:rPr>
      </w:pPr>
      <w:r w:rsidRPr="00BB5519">
        <w:rPr>
          <w:rFonts w:cs="Tahoma"/>
          <w:color w:val="000000"/>
          <w:szCs w:val="18"/>
          <w:lang w:val="de-DE"/>
        </w:rPr>
        <w:t>Die Lizenz für die qualifizierende Anwendung muss demselben Gerät zugewiesen sein wie die zuzuweisende VL-Vermietungsrechtelizenz.</w:t>
      </w:r>
    </w:p>
    <w:p w:rsidR="000B0A08" w:rsidRPr="00BB5519" w:rsidRDefault="000B0A08" w:rsidP="005E3B5E">
      <w:pPr>
        <w:numPr>
          <w:ilvl w:val="0"/>
          <w:numId w:val="20"/>
        </w:numPr>
        <w:tabs>
          <w:tab w:val="left" w:pos="1440"/>
        </w:tabs>
        <w:spacing w:after="60"/>
        <w:ind w:left="1440"/>
        <w:rPr>
          <w:lang w:val="de-DE"/>
        </w:rPr>
      </w:pPr>
      <w:r w:rsidRPr="00BB5519">
        <w:rPr>
          <w:rFonts w:cs="Tahoma"/>
          <w:color w:val="000000"/>
          <w:szCs w:val="18"/>
          <w:lang w:val="de-DE"/>
        </w:rPr>
        <w:t>Die qualifizierende Anwendung muss auf diesem Gerät installiert sein.</w:t>
      </w:r>
    </w:p>
    <w:p w:rsidR="000B0A08" w:rsidRPr="00BB5519" w:rsidRDefault="000B0A08" w:rsidP="005E3B5E">
      <w:pPr>
        <w:pStyle w:val="EndnoteText"/>
        <w:rPr>
          <w:lang w:val="de-DE"/>
        </w:rPr>
      </w:pPr>
    </w:p>
    <w:p w:rsidR="000B0A08" w:rsidRPr="00BB5519" w:rsidRDefault="000B0A08" w:rsidP="005E3B5E">
      <w:pPr>
        <w:pStyle w:val="EndnoteText"/>
        <w:ind w:left="720"/>
        <w:rPr>
          <w:lang w:val="de-DE"/>
        </w:rPr>
      </w:pPr>
      <w:r w:rsidRPr="00BB5519">
        <w:rPr>
          <w:rFonts w:ascii="Tahoma" w:hAnsi="Tahoma" w:cs="Tahoma"/>
          <w:color w:val="000000"/>
          <w:sz w:val="18"/>
          <w:szCs w:val="18"/>
          <w:lang w:val="de-DE"/>
        </w:rPr>
        <w:t>Die qualifizierenden Anwendungen nach Programmart sind:</w:t>
      </w:r>
    </w:p>
    <w:p w:rsidR="000B0A08" w:rsidRPr="00BB5519" w:rsidRDefault="000B0A08" w:rsidP="000B0A08">
      <w:pPr>
        <w:rPr>
          <w:lang w:val="de-DE"/>
        </w:rPr>
      </w:pPr>
    </w:p>
    <w:tbl>
      <w:tblPr>
        <w:tblW w:w="7870" w:type="dxa"/>
        <w:tblInd w:w="878" w:type="dxa"/>
        <w:tblCellMar>
          <w:left w:w="0" w:type="dxa"/>
          <w:right w:w="0" w:type="dxa"/>
        </w:tblCellMar>
        <w:tblLook w:val="04A0" w:firstRow="1" w:lastRow="0" w:firstColumn="1" w:lastColumn="0" w:noHBand="0" w:noVBand="1"/>
      </w:tblPr>
      <w:tblGrid>
        <w:gridCol w:w="3064"/>
        <w:gridCol w:w="1088"/>
        <w:gridCol w:w="91"/>
        <w:gridCol w:w="1094"/>
        <w:gridCol w:w="1424"/>
        <w:gridCol w:w="1109"/>
      </w:tblGrid>
      <w:tr w:rsidR="000B0A08" w:rsidRPr="00D244F0" w:rsidTr="00354FEE">
        <w:trPr>
          <w:gridAfter w:val="3"/>
          <w:wAfter w:w="3627" w:type="dxa"/>
          <w:cantSplit/>
          <w:trHeight w:val="375"/>
          <w:tblHeader/>
        </w:trPr>
        <w:tc>
          <w:tcPr>
            <w:tcW w:w="3064"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BB5519" w:rsidRDefault="000B0A08" w:rsidP="00354FEE">
            <w:pPr>
              <w:jc w:val="center"/>
              <w:rPr>
                <w:rFonts w:eastAsia="MS PGothic" w:cs="Tahoma"/>
                <w:b/>
                <w:bCs/>
                <w:color w:val="000000"/>
                <w:szCs w:val="18"/>
                <w:lang w:val="de-DE"/>
              </w:rPr>
            </w:pPr>
            <w:r w:rsidRPr="00BB5519">
              <w:rPr>
                <w:rFonts w:cs="Tahoma"/>
                <w:b/>
                <w:bCs/>
                <w:color w:val="000000"/>
                <w:szCs w:val="18"/>
                <w:lang w:val="de-DE"/>
              </w:rPr>
              <w:t>Qualifizierende Anwendungen für den</w:t>
            </w:r>
            <w:r w:rsidR="00354FEE">
              <w:rPr>
                <w:rFonts w:cs="Tahoma"/>
                <w:b/>
                <w:bCs/>
                <w:color w:val="000000"/>
                <w:szCs w:val="18"/>
                <w:lang w:val="de-DE"/>
              </w:rPr>
              <w:t> </w:t>
            </w:r>
            <w:r w:rsidRPr="00BB5519">
              <w:rPr>
                <w:rFonts w:cs="Tahoma"/>
                <w:b/>
                <w:bCs/>
                <w:color w:val="000000"/>
                <w:szCs w:val="18"/>
                <w:lang w:val="de-DE"/>
              </w:rPr>
              <w:t>Erwerb von Vermietungsrechten für</w:t>
            </w:r>
            <w:r w:rsidR="00354FEE">
              <w:rPr>
                <w:rFonts w:cs="Tahoma"/>
                <w:b/>
                <w:bCs/>
                <w:color w:val="000000"/>
                <w:szCs w:val="18"/>
                <w:lang w:val="de-DE"/>
              </w:rPr>
              <w:t> </w:t>
            </w:r>
            <w:r w:rsidRPr="00BB5519">
              <w:rPr>
                <w:rFonts w:cs="Tahoma"/>
                <w:b/>
                <w:bCs/>
                <w:color w:val="000000"/>
                <w:szCs w:val="18"/>
                <w:lang w:val="de-DE"/>
              </w:rPr>
              <w:t>Office Standard</w:t>
            </w:r>
          </w:p>
        </w:tc>
        <w:tc>
          <w:tcPr>
            <w:tcW w:w="1179" w:type="dxa"/>
            <w:gridSpan w:val="2"/>
            <w:tcBorders>
              <w:top w:val="nil"/>
              <w:left w:val="nil"/>
              <w:bottom w:val="single" w:sz="8" w:space="0" w:color="auto"/>
              <w:right w:val="nil"/>
            </w:tcBorders>
          </w:tcPr>
          <w:p w:rsidR="000B0A08" w:rsidRPr="00BB5519" w:rsidRDefault="000B0A08" w:rsidP="00AD69BD">
            <w:pPr>
              <w:jc w:val="both"/>
              <w:rPr>
                <w:rFonts w:ascii="Arial" w:eastAsia="MS PGothic" w:hAnsi="Arial" w:cs="Arial"/>
                <w:color w:val="000000"/>
                <w:sz w:val="21"/>
                <w:szCs w:val="21"/>
                <w:lang w:val="de-DE"/>
              </w:rPr>
            </w:pPr>
          </w:p>
        </w:tc>
      </w:tr>
      <w:tr w:rsidR="000B0A08" w:rsidRPr="00BB5519" w:rsidTr="00354FEE">
        <w:trPr>
          <w:cantSplit/>
          <w:trHeight w:val="730"/>
          <w:tblHeader/>
        </w:trPr>
        <w:tc>
          <w:tcPr>
            <w:tcW w:w="3064" w:type="dxa"/>
            <w:vMerge/>
            <w:tcBorders>
              <w:top w:val="single" w:sz="8" w:space="0" w:color="auto"/>
              <w:left w:val="single" w:sz="8" w:space="0" w:color="auto"/>
              <w:bottom w:val="single" w:sz="4" w:space="0" w:color="auto"/>
              <w:right w:val="single" w:sz="4" w:space="0" w:color="auto"/>
            </w:tcBorders>
            <w:vAlign w:val="center"/>
            <w:hideMark/>
          </w:tcPr>
          <w:p w:rsidR="000B0A08" w:rsidRPr="00BB5519" w:rsidRDefault="000B0A08" w:rsidP="00AD69BD">
            <w:pPr>
              <w:rPr>
                <w:rFonts w:eastAsia="MS PGothic" w:cs="Tahoma"/>
                <w:b/>
                <w:bCs/>
                <w:color w:val="000000"/>
                <w:szCs w:val="18"/>
                <w:lang w:val="de-DE"/>
              </w:rPr>
            </w:pPr>
          </w:p>
        </w:tc>
        <w:tc>
          <w:tcPr>
            <w:tcW w:w="108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B5519" w:rsidRDefault="000B0A08" w:rsidP="00AD69BD">
            <w:pPr>
              <w:jc w:val="center"/>
              <w:rPr>
                <w:rFonts w:cs="Tahoma"/>
                <w:b/>
                <w:bCs/>
                <w:color w:val="000000"/>
                <w:szCs w:val="18"/>
              </w:rPr>
            </w:pPr>
            <w:r w:rsidRPr="00BB5519">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BB5519" w:rsidRDefault="000B0A08" w:rsidP="00AD69BD">
            <w:pPr>
              <w:jc w:val="center"/>
            </w:pPr>
            <w:r w:rsidRPr="00BB5519">
              <w:rPr>
                <w:rFonts w:cs="Tahoma"/>
                <w:b/>
                <w:bCs/>
                <w:color w:val="000000"/>
                <w:szCs w:val="18"/>
              </w:rPr>
              <w:t>PIPC</w:t>
            </w:r>
          </w:p>
          <w:p w:rsidR="000B0A08" w:rsidRPr="00BB5519" w:rsidRDefault="000B0A08" w:rsidP="00AD69BD">
            <w:pPr>
              <w:jc w:val="center"/>
              <w:rPr>
                <w:rFonts w:cs="Tahoma"/>
                <w:b/>
                <w:bCs/>
                <w:color w:val="000000"/>
                <w:szCs w:val="18"/>
              </w:rPr>
            </w:pPr>
            <w:r w:rsidRPr="00BB5519">
              <w:rPr>
                <w:rFonts w:cs="Tahoma"/>
                <w:b/>
                <w:bCs/>
                <w:color w:val="000000"/>
                <w:szCs w:val="18"/>
              </w:rPr>
              <w:t>(nur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B5519" w:rsidRDefault="000B0A08" w:rsidP="00AD69BD">
            <w:pPr>
              <w:jc w:val="center"/>
              <w:rPr>
                <w:rFonts w:cs="Tahoma"/>
                <w:b/>
                <w:bCs/>
                <w:color w:val="000000"/>
                <w:szCs w:val="18"/>
              </w:rPr>
            </w:pPr>
            <w:r w:rsidRPr="00BB5519">
              <w:rPr>
                <w:rFonts w:cs="Tahoma"/>
                <w:b/>
                <w:bCs/>
                <w:color w:val="000000"/>
                <w:szCs w:val="18"/>
              </w:rPr>
              <w:t>Select/Select Plus</w:t>
            </w:r>
          </w:p>
        </w:tc>
        <w:tc>
          <w:tcPr>
            <w:tcW w:w="110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B5519" w:rsidRDefault="000B0A08" w:rsidP="00AD69BD">
            <w:pPr>
              <w:jc w:val="center"/>
              <w:rPr>
                <w:rFonts w:cs="Tahoma"/>
                <w:b/>
                <w:bCs/>
                <w:color w:val="000000"/>
                <w:szCs w:val="18"/>
              </w:rPr>
            </w:pPr>
            <w:r w:rsidRPr="00BB5519">
              <w:rPr>
                <w:rFonts w:cs="Tahoma"/>
                <w:b/>
                <w:bCs/>
                <w:color w:val="000000"/>
                <w:szCs w:val="18"/>
              </w:rPr>
              <w:t>Open-Lizenz</w:t>
            </w:r>
          </w:p>
        </w:tc>
      </w:tr>
      <w:tr w:rsidR="000B0A08" w:rsidRPr="00BB5519" w:rsidTr="00354FEE">
        <w:trPr>
          <w:trHeight w:val="255"/>
        </w:trPr>
        <w:tc>
          <w:tcPr>
            <w:tcW w:w="3064"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B5519" w:rsidRDefault="000B0A08" w:rsidP="00257298">
            <w:pPr>
              <w:rPr>
                <w:rFonts w:cs="Tahoma"/>
                <w:b/>
                <w:bCs/>
                <w:color w:val="000000"/>
                <w:szCs w:val="18"/>
              </w:rPr>
            </w:pPr>
            <w:r w:rsidRPr="00BB5519">
              <w:rPr>
                <w:rFonts w:cs="Tahoma"/>
                <w:b/>
                <w:bCs/>
                <w:color w:val="000000"/>
                <w:szCs w:val="18"/>
              </w:rPr>
              <w:t xml:space="preserve">Office Standard 2013 </w:t>
            </w:r>
          </w:p>
        </w:tc>
        <w:tc>
          <w:tcPr>
            <w:tcW w:w="1088"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BB5519"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BB5519" w:rsidRDefault="000B0A08" w:rsidP="00AD69BD">
            <w:pPr>
              <w:jc w:val="center"/>
              <w:rPr>
                <w:rFonts w:ascii="Arial" w:eastAsia="MS PGothic" w:hAnsi="Arial" w:cs="Arial"/>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color w:val="000000"/>
                <w:sz w:val="21"/>
                <w:szCs w:val="21"/>
              </w:rPr>
            </w:pPr>
            <w:r w:rsidRPr="00BB5519">
              <w:rPr>
                <w:color w:val="000000"/>
              </w:rPr>
              <w:t>x</w:t>
            </w:r>
          </w:p>
        </w:tc>
        <w:tc>
          <w:tcPr>
            <w:tcW w:w="110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color w:val="000000"/>
                <w:sz w:val="21"/>
                <w:szCs w:val="21"/>
              </w:rPr>
            </w:pPr>
            <w:r w:rsidRPr="00BB5519">
              <w:rPr>
                <w:color w:val="000000"/>
              </w:rPr>
              <w:t>x</w:t>
            </w:r>
          </w:p>
        </w:tc>
      </w:tr>
      <w:tr w:rsidR="000B0A08" w:rsidRPr="00BB5519" w:rsidTr="00354FEE">
        <w:trPr>
          <w:trHeight w:val="255"/>
        </w:trPr>
        <w:tc>
          <w:tcPr>
            <w:tcW w:w="3064"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B5519" w:rsidRDefault="000B0A08" w:rsidP="00257298">
            <w:pPr>
              <w:rPr>
                <w:rFonts w:cs="Tahoma"/>
                <w:b/>
                <w:bCs/>
                <w:color w:val="000000"/>
                <w:szCs w:val="18"/>
              </w:rPr>
            </w:pPr>
            <w:r w:rsidRPr="00BB5519">
              <w:rPr>
                <w:rFonts w:cs="Tahoma"/>
                <w:b/>
                <w:bCs/>
                <w:color w:val="000000"/>
                <w:szCs w:val="18"/>
              </w:rPr>
              <w:t>Office Standard 2010</w:t>
            </w:r>
          </w:p>
        </w:tc>
        <w:tc>
          <w:tcPr>
            <w:tcW w:w="1088"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color w:val="000000"/>
                <w:sz w:val="21"/>
                <w:szCs w:val="21"/>
              </w:rPr>
            </w:pPr>
            <w:r w:rsidRPr="00BB5519">
              <w:rPr>
                <w:color w:val="000000"/>
              </w:rPr>
              <w:t>x</w:t>
            </w:r>
          </w:p>
        </w:tc>
        <w:tc>
          <w:tcPr>
            <w:tcW w:w="1185" w:type="dxa"/>
            <w:gridSpan w:val="2"/>
            <w:tcBorders>
              <w:top w:val="nil"/>
              <w:left w:val="nil"/>
              <w:bottom w:val="single" w:sz="8" w:space="0" w:color="auto"/>
              <w:right w:val="single" w:sz="8" w:space="0" w:color="auto"/>
            </w:tcBorders>
          </w:tcPr>
          <w:p w:rsidR="000B0A08" w:rsidRPr="00BB5519" w:rsidRDefault="000B0A08" w:rsidP="00AD69BD">
            <w:pPr>
              <w:jc w:val="center"/>
              <w:rPr>
                <w:rFonts w:ascii="Arial" w:eastAsia="MS PGothic" w:hAnsi="Arial" w:cs="Arial"/>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color w:val="000000"/>
                <w:sz w:val="21"/>
                <w:szCs w:val="21"/>
              </w:rPr>
            </w:pPr>
            <w:r w:rsidRPr="00BB5519">
              <w:rPr>
                <w:color w:val="000000"/>
              </w:rPr>
              <w:t>x</w:t>
            </w:r>
          </w:p>
        </w:tc>
        <w:tc>
          <w:tcPr>
            <w:tcW w:w="11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color w:val="000000"/>
                <w:sz w:val="21"/>
                <w:szCs w:val="21"/>
              </w:rPr>
            </w:pPr>
            <w:r w:rsidRPr="00BB5519">
              <w:rPr>
                <w:color w:val="000000"/>
              </w:rPr>
              <w:t>x</w:t>
            </w:r>
          </w:p>
        </w:tc>
      </w:tr>
    </w:tbl>
    <w:p w:rsidR="00980240" w:rsidRPr="00BB5519" w:rsidRDefault="00980240" w:rsidP="000B0A08"/>
    <w:p w:rsidR="001C1727" w:rsidRPr="00BB5519" w:rsidRDefault="001C1727"/>
    <w:tbl>
      <w:tblPr>
        <w:tblW w:w="7889" w:type="dxa"/>
        <w:tblInd w:w="882" w:type="dxa"/>
        <w:tblCellMar>
          <w:left w:w="0" w:type="dxa"/>
          <w:right w:w="0" w:type="dxa"/>
        </w:tblCellMar>
        <w:tblLook w:val="04A0" w:firstRow="1" w:lastRow="0" w:firstColumn="1" w:lastColumn="0" w:noHBand="0" w:noVBand="1"/>
      </w:tblPr>
      <w:tblGrid>
        <w:gridCol w:w="3036"/>
        <w:gridCol w:w="1113"/>
        <w:gridCol w:w="220"/>
        <w:gridCol w:w="959"/>
        <w:gridCol w:w="1458"/>
        <w:gridCol w:w="1103"/>
      </w:tblGrid>
      <w:tr w:rsidR="000B0A08" w:rsidRPr="00D244F0" w:rsidTr="00354FEE">
        <w:trPr>
          <w:gridAfter w:val="3"/>
          <w:wAfter w:w="3520" w:type="dxa"/>
          <w:cantSplit/>
          <w:trHeight w:val="375"/>
          <w:tblHeader/>
        </w:trPr>
        <w:tc>
          <w:tcPr>
            <w:tcW w:w="3036"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BB5519" w:rsidRDefault="000B0A08" w:rsidP="00354FEE">
            <w:pPr>
              <w:jc w:val="center"/>
              <w:rPr>
                <w:rFonts w:eastAsia="MS PGothic" w:cs="Tahoma"/>
                <w:b/>
                <w:bCs/>
                <w:szCs w:val="18"/>
                <w:lang w:val="de-DE"/>
              </w:rPr>
            </w:pPr>
            <w:r w:rsidRPr="00BB5519">
              <w:rPr>
                <w:rFonts w:cs="Tahoma"/>
                <w:b/>
                <w:bCs/>
                <w:szCs w:val="18"/>
                <w:lang w:val="de-DE"/>
              </w:rPr>
              <w:t>Qualifizierende Anwendungen für den</w:t>
            </w:r>
            <w:r w:rsidR="00354FEE">
              <w:rPr>
                <w:rFonts w:cs="Tahoma"/>
                <w:b/>
                <w:bCs/>
                <w:szCs w:val="18"/>
                <w:lang w:val="de-DE"/>
              </w:rPr>
              <w:t> </w:t>
            </w:r>
            <w:r w:rsidRPr="00BB5519">
              <w:rPr>
                <w:rFonts w:cs="Tahoma"/>
                <w:b/>
                <w:bCs/>
                <w:szCs w:val="18"/>
                <w:lang w:val="de-DE"/>
              </w:rPr>
              <w:t>Erwerb von Vermietungsrechten für Office Professional Plus</w:t>
            </w:r>
          </w:p>
        </w:tc>
        <w:tc>
          <w:tcPr>
            <w:tcW w:w="1333" w:type="dxa"/>
            <w:gridSpan w:val="2"/>
            <w:tcBorders>
              <w:top w:val="nil"/>
              <w:left w:val="nil"/>
              <w:bottom w:val="single" w:sz="8" w:space="0" w:color="auto"/>
              <w:right w:val="nil"/>
            </w:tcBorders>
          </w:tcPr>
          <w:p w:rsidR="000B0A08" w:rsidRPr="00BB5519" w:rsidRDefault="000B0A08" w:rsidP="00AD69BD">
            <w:pPr>
              <w:jc w:val="both"/>
              <w:rPr>
                <w:rFonts w:ascii="Arial" w:eastAsia="MS PGothic" w:hAnsi="Arial" w:cs="Arial"/>
                <w:szCs w:val="21"/>
                <w:lang w:val="de-DE"/>
              </w:rPr>
            </w:pPr>
          </w:p>
        </w:tc>
      </w:tr>
      <w:tr w:rsidR="000B0A08" w:rsidRPr="00BB5519" w:rsidTr="00354FEE">
        <w:trPr>
          <w:cantSplit/>
          <w:trHeight w:val="736"/>
          <w:tblHeader/>
        </w:trPr>
        <w:tc>
          <w:tcPr>
            <w:tcW w:w="3036" w:type="dxa"/>
            <w:vMerge/>
            <w:tcBorders>
              <w:top w:val="single" w:sz="8" w:space="0" w:color="auto"/>
              <w:left w:val="single" w:sz="8" w:space="0" w:color="auto"/>
              <w:bottom w:val="single" w:sz="8" w:space="0" w:color="000000"/>
              <w:right w:val="single" w:sz="8" w:space="0" w:color="auto"/>
            </w:tcBorders>
            <w:vAlign w:val="center"/>
            <w:hideMark/>
          </w:tcPr>
          <w:p w:rsidR="000B0A08" w:rsidRPr="00BB5519" w:rsidRDefault="000B0A08" w:rsidP="00AD69BD">
            <w:pPr>
              <w:rPr>
                <w:rFonts w:eastAsia="MS PGothic" w:cs="Tahoma"/>
                <w:b/>
                <w:bCs/>
                <w:szCs w:val="18"/>
                <w:lang w:val="de-DE"/>
              </w:rPr>
            </w:pPr>
          </w:p>
        </w:tc>
        <w:tc>
          <w:tcPr>
            <w:tcW w:w="1113"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BB5519" w:rsidRDefault="000B0A08" w:rsidP="00AD69BD">
            <w:pPr>
              <w:jc w:val="center"/>
              <w:rPr>
                <w:rFonts w:cs="Tahoma"/>
                <w:b/>
                <w:bCs/>
                <w:szCs w:val="18"/>
              </w:rPr>
            </w:pPr>
            <w:r w:rsidRPr="00BB5519">
              <w:rPr>
                <w:rFonts w:cs="Tahoma"/>
                <w:b/>
                <w:bCs/>
                <w:szCs w:val="18"/>
              </w:rPr>
              <w:t>OEM</w:t>
            </w:r>
          </w:p>
        </w:tc>
        <w:tc>
          <w:tcPr>
            <w:tcW w:w="1179"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BB5519" w:rsidRDefault="000B0A08" w:rsidP="00AD69BD">
            <w:pPr>
              <w:jc w:val="center"/>
            </w:pPr>
            <w:r w:rsidRPr="00BB5519">
              <w:rPr>
                <w:rFonts w:cs="Tahoma"/>
                <w:b/>
                <w:bCs/>
                <w:szCs w:val="18"/>
              </w:rPr>
              <w:t>PIPC</w:t>
            </w:r>
          </w:p>
          <w:p w:rsidR="000B0A08" w:rsidRPr="00BB5519" w:rsidRDefault="000B0A08" w:rsidP="00AD69BD">
            <w:pPr>
              <w:jc w:val="center"/>
              <w:rPr>
                <w:rFonts w:cs="Tahoma"/>
                <w:b/>
                <w:bCs/>
                <w:szCs w:val="16"/>
                <w:lang w:eastAsia="ja-JP"/>
              </w:rPr>
            </w:pPr>
            <w:r w:rsidRPr="00BB5519">
              <w:rPr>
                <w:rFonts w:cs="Tahoma"/>
                <w:b/>
                <w:bCs/>
                <w:szCs w:val="18"/>
              </w:rPr>
              <w:t>(nur Japan)</w:t>
            </w:r>
          </w:p>
        </w:tc>
        <w:tc>
          <w:tcPr>
            <w:tcW w:w="145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B5519" w:rsidRDefault="000B0A08" w:rsidP="00AD69BD">
            <w:pPr>
              <w:jc w:val="center"/>
              <w:rPr>
                <w:rFonts w:cs="Tahoma"/>
                <w:b/>
                <w:bCs/>
                <w:szCs w:val="18"/>
              </w:rPr>
            </w:pPr>
            <w:r w:rsidRPr="00BB5519">
              <w:rPr>
                <w:rFonts w:cs="Tahoma"/>
                <w:b/>
                <w:bCs/>
                <w:szCs w:val="18"/>
              </w:rPr>
              <w:t>Select/Select Plus</w:t>
            </w:r>
          </w:p>
        </w:tc>
        <w:tc>
          <w:tcPr>
            <w:tcW w:w="1103"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BB5519" w:rsidRDefault="000B0A08" w:rsidP="00AD69BD">
            <w:pPr>
              <w:jc w:val="center"/>
              <w:rPr>
                <w:rFonts w:cs="Tahoma"/>
                <w:b/>
                <w:bCs/>
                <w:szCs w:val="18"/>
              </w:rPr>
            </w:pPr>
            <w:r w:rsidRPr="00BB5519">
              <w:rPr>
                <w:rFonts w:cs="Tahoma"/>
                <w:b/>
                <w:bCs/>
                <w:szCs w:val="18"/>
              </w:rPr>
              <w:t>Open-Lizenz</w:t>
            </w:r>
          </w:p>
        </w:tc>
      </w:tr>
      <w:tr w:rsidR="000B0A08" w:rsidRPr="00BB5519" w:rsidTr="00354FEE">
        <w:trPr>
          <w:trHeight w:val="255"/>
        </w:trPr>
        <w:tc>
          <w:tcPr>
            <w:tcW w:w="3036"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BB5519" w:rsidRDefault="000B0A08" w:rsidP="00257298">
            <w:pPr>
              <w:rPr>
                <w:rFonts w:cs="Tahoma"/>
                <w:b/>
                <w:bCs/>
                <w:szCs w:val="18"/>
                <w:lang w:eastAsia="ja-JP"/>
              </w:rPr>
            </w:pPr>
            <w:r w:rsidRPr="00BB5519">
              <w:rPr>
                <w:rFonts w:cs="Tahoma"/>
                <w:b/>
                <w:bCs/>
                <w:szCs w:val="18"/>
              </w:rPr>
              <w:t>Office Professional Plus 2013</w:t>
            </w:r>
          </w:p>
        </w:tc>
        <w:tc>
          <w:tcPr>
            <w:tcW w:w="111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szCs w:val="18"/>
              </w:rPr>
            </w:pPr>
            <w:r w:rsidRPr="00BB5519">
              <w:rPr>
                <w:rFonts w:cs="Tahoma"/>
                <w:szCs w:val="18"/>
              </w:rPr>
              <w:t xml:space="preserve"> </w:t>
            </w:r>
          </w:p>
        </w:tc>
        <w:tc>
          <w:tcPr>
            <w:tcW w:w="1179" w:type="dxa"/>
            <w:gridSpan w:val="2"/>
            <w:tcBorders>
              <w:top w:val="nil"/>
              <w:left w:val="nil"/>
              <w:bottom w:val="single" w:sz="8" w:space="0" w:color="auto"/>
              <w:right w:val="single" w:sz="8" w:space="0" w:color="auto"/>
            </w:tcBorders>
          </w:tcPr>
          <w:p w:rsidR="000B0A08" w:rsidRPr="00BB5519" w:rsidRDefault="000B0A08" w:rsidP="00AD69BD">
            <w:pPr>
              <w:jc w:val="center"/>
              <w:rPr>
                <w:rFonts w:eastAsia="MS PGothic"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szCs w:val="18"/>
              </w:rPr>
            </w:pPr>
            <w:r w:rsidRPr="00BB5519">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szCs w:val="18"/>
              </w:rPr>
            </w:pPr>
            <w:r w:rsidRPr="00BB5519">
              <w:rPr>
                <w:rFonts w:cs="Tahoma"/>
                <w:szCs w:val="18"/>
              </w:rPr>
              <w:t>x</w:t>
            </w:r>
          </w:p>
        </w:tc>
      </w:tr>
      <w:tr w:rsidR="000B0A08" w:rsidRPr="00BB5519" w:rsidTr="00354FEE">
        <w:trPr>
          <w:trHeight w:val="255"/>
        </w:trPr>
        <w:tc>
          <w:tcPr>
            <w:tcW w:w="3036"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B5519" w:rsidRDefault="000B0A08" w:rsidP="00257298">
            <w:pPr>
              <w:rPr>
                <w:rFonts w:cs="Tahoma"/>
                <w:b/>
                <w:bCs/>
                <w:szCs w:val="18"/>
                <w:lang w:eastAsia="ja-JP"/>
              </w:rPr>
            </w:pPr>
            <w:r w:rsidRPr="00BB5519">
              <w:rPr>
                <w:rFonts w:cs="Tahoma"/>
                <w:b/>
                <w:bCs/>
                <w:szCs w:val="18"/>
              </w:rPr>
              <w:t>Office Professional Plus 2010</w:t>
            </w:r>
          </w:p>
        </w:tc>
        <w:tc>
          <w:tcPr>
            <w:tcW w:w="111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szCs w:val="18"/>
              </w:rPr>
            </w:pPr>
            <w:r w:rsidRPr="00BB5519">
              <w:rPr>
                <w:rFonts w:cs="Tahoma"/>
                <w:szCs w:val="18"/>
              </w:rPr>
              <w:t xml:space="preserve"> </w:t>
            </w:r>
          </w:p>
        </w:tc>
        <w:tc>
          <w:tcPr>
            <w:tcW w:w="1179" w:type="dxa"/>
            <w:gridSpan w:val="2"/>
            <w:tcBorders>
              <w:top w:val="nil"/>
              <w:left w:val="nil"/>
              <w:bottom w:val="single" w:sz="8" w:space="0" w:color="auto"/>
              <w:right w:val="single" w:sz="8" w:space="0" w:color="auto"/>
            </w:tcBorders>
          </w:tcPr>
          <w:p w:rsidR="000B0A08" w:rsidRPr="00BB5519" w:rsidRDefault="000B0A08" w:rsidP="00AD69BD">
            <w:pPr>
              <w:jc w:val="center"/>
              <w:rPr>
                <w:rFonts w:eastAsia="MS PGothic" w:cs="Tahoma"/>
                <w:szCs w:val="18"/>
              </w:rPr>
            </w:pP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szCs w:val="18"/>
              </w:rPr>
            </w:pPr>
            <w:r w:rsidRPr="00BB5519">
              <w:rPr>
                <w:rFonts w:cs="Tahoma"/>
                <w:szCs w:val="18"/>
              </w:rPr>
              <w:t>x</w:t>
            </w: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jc w:val="center"/>
              <w:rPr>
                <w:rFonts w:eastAsia="MS PGothic" w:cs="Tahoma"/>
                <w:szCs w:val="18"/>
              </w:rPr>
            </w:pPr>
            <w:r w:rsidRPr="00BB5519">
              <w:rPr>
                <w:rFonts w:cs="Tahoma"/>
                <w:szCs w:val="18"/>
              </w:rPr>
              <w:t>x</w:t>
            </w:r>
          </w:p>
        </w:tc>
      </w:tr>
      <w:tr w:rsidR="000B0A08" w:rsidRPr="00BB5519" w:rsidTr="00354FEE">
        <w:trPr>
          <w:trHeight w:val="255"/>
        </w:trPr>
        <w:tc>
          <w:tcPr>
            <w:tcW w:w="3036"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B5519" w:rsidRDefault="000B0A08" w:rsidP="00257298">
            <w:pPr>
              <w:rPr>
                <w:rFonts w:cs="Tahoma"/>
                <w:b/>
                <w:bCs/>
                <w:szCs w:val="18"/>
              </w:rPr>
            </w:pPr>
            <w:r w:rsidRPr="00BB5519">
              <w:rPr>
                <w:rFonts w:cs="Tahoma"/>
                <w:b/>
                <w:bCs/>
                <w:szCs w:val="18"/>
              </w:rPr>
              <w:t>Office Personal 2013</w:t>
            </w:r>
          </w:p>
        </w:tc>
        <w:tc>
          <w:tcPr>
            <w:tcW w:w="111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c>
          <w:tcPr>
            <w:tcW w:w="1179" w:type="dxa"/>
            <w:gridSpan w:val="2"/>
            <w:tcBorders>
              <w:top w:val="nil"/>
              <w:left w:val="nil"/>
              <w:bottom w:val="single" w:sz="8" w:space="0" w:color="auto"/>
              <w:right w:val="single" w:sz="8" w:space="0" w:color="auto"/>
            </w:tcBorders>
            <w:vAlign w:val="bottom"/>
            <w:hideMark/>
          </w:tcPr>
          <w:p w:rsidR="000B0A08" w:rsidRPr="00BB5519" w:rsidRDefault="000B0A08" w:rsidP="00AD69BD">
            <w:pPr>
              <w:jc w:val="center"/>
              <w:rPr>
                <w:rFonts w:eastAsia="MS PGothic" w:cs="Tahoma"/>
                <w:color w:val="000000"/>
                <w:szCs w:val="18"/>
              </w:rPr>
            </w:pPr>
            <w:r w:rsidRPr="00BB551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r>
      <w:tr w:rsidR="000B0A08" w:rsidRPr="00BB5519" w:rsidTr="00354FEE">
        <w:trPr>
          <w:trHeight w:val="255"/>
        </w:trPr>
        <w:tc>
          <w:tcPr>
            <w:tcW w:w="3036"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B5519" w:rsidRDefault="000B0A08" w:rsidP="00257298">
            <w:pPr>
              <w:rPr>
                <w:rFonts w:cs="Tahoma"/>
                <w:b/>
                <w:bCs/>
                <w:szCs w:val="18"/>
              </w:rPr>
            </w:pPr>
            <w:r w:rsidRPr="00BB5519">
              <w:rPr>
                <w:rFonts w:cs="Tahoma"/>
                <w:b/>
                <w:bCs/>
                <w:szCs w:val="18"/>
              </w:rPr>
              <w:t>Office Home &amp; Business 2013</w:t>
            </w:r>
          </w:p>
        </w:tc>
        <w:tc>
          <w:tcPr>
            <w:tcW w:w="111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c>
          <w:tcPr>
            <w:tcW w:w="1179" w:type="dxa"/>
            <w:gridSpan w:val="2"/>
            <w:tcBorders>
              <w:top w:val="nil"/>
              <w:left w:val="nil"/>
              <w:bottom w:val="single" w:sz="8" w:space="0" w:color="auto"/>
              <w:right w:val="single" w:sz="8" w:space="0" w:color="auto"/>
            </w:tcBorders>
            <w:vAlign w:val="bottom"/>
            <w:hideMark/>
          </w:tcPr>
          <w:p w:rsidR="000B0A08" w:rsidRPr="00BB5519" w:rsidRDefault="000B0A08" w:rsidP="00AD69BD">
            <w:pPr>
              <w:jc w:val="center"/>
              <w:rPr>
                <w:rFonts w:eastAsia="MS PGothic" w:cs="Tahoma"/>
                <w:color w:val="000000"/>
                <w:szCs w:val="18"/>
              </w:rPr>
            </w:pPr>
            <w:r w:rsidRPr="00BB551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r>
      <w:tr w:rsidR="000B0A08" w:rsidRPr="00BB5519" w:rsidTr="00354FEE">
        <w:trPr>
          <w:trHeight w:val="255"/>
        </w:trPr>
        <w:tc>
          <w:tcPr>
            <w:tcW w:w="3036"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BB5519" w:rsidRDefault="000B0A08" w:rsidP="00257298">
            <w:pPr>
              <w:rPr>
                <w:rFonts w:cs="Tahoma"/>
                <w:b/>
                <w:bCs/>
                <w:szCs w:val="18"/>
              </w:rPr>
            </w:pPr>
            <w:r w:rsidRPr="00BB5519">
              <w:rPr>
                <w:rFonts w:cs="Tahoma"/>
                <w:b/>
                <w:bCs/>
                <w:szCs w:val="18"/>
              </w:rPr>
              <w:t>Office Professional 2013</w:t>
            </w:r>
          </w:p>
        </w:tc>
        <w:tc>
          <w:tcPr>
            <w:tcW w:w="111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c>
          <w:tcPr>
            <w:tcW w:w="1179" w:type="dxa"/>
            <w:gridSpan w:val="2"/>
            <w:tcBorders>
              <w:top w:val="nil"/>
              <w:left w:val="nil"/>
              <w:bottom w:val="single" w:sz="8" w:space="0" w:color="auto"/>
              <w:right w:val="single" w:sz="8" w:space="0" w:color="auto"/>
            </w:tcBorders>
            <w:vAlign w:val="bottom"/>
            <w:hideMark/>
          </w:tcPr>
          <w:p w:rsidR="000B0A08" w:rsidRPr="00BB5519" w:rsidRDefault="000B0A08" w:rsidP="00AD69BD">
            <w:pPr>
              <w:jc w:val="center"/>
              <w:rPr>
                <w:rFonts w:eastAsia="MS PGothic" w:cs="Tahoma"/>
                <w:color w:val="FF0000"/>
                <w:szCs w:val="18"/>
              </w:rPr>
            </w:pPr>
            <w:r w:rsidRPr="00BB5519">
              <w:rPr>
                <w:rFonts w:cs="Tahoma"/>
                <w:szCs w:val="18"/>
              </w:rPr>
              <w:t>x</w:t>
            </w:r>
          </w:p>
        </w:tc>
        <w:tc>
          <w:tcPr>
            <w:tcW w:w="145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c>
          <w:tcPr>
            <w:tcW w:w="11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BB5519" w:rsidRDefault="000B0A08" w:rsidP="00AD69BD">
            <w:pPr>
              <w:rPr>
                <w:rFonts w:eastAsia="Times New Roman" w:cs="Tahoma"/>
                <w:szCs w:val="18"/>
              </w:rPr>
            </w:pPr>
          </w:p>
        </w:tc>
      </w:tr>
    </w:tbl>
    <w:p w:rsidR="000B0A08" w:rsidRPr="00BB5519" w:rsidRDefault="000B0A08" w:rsidP="00980240"/>
    <w:p w:rsidR="000B0A08" w:rsidRPr="00BB5519" w:rsidRDefault="000B0A08" w:rsidP="005C382A">
      <w:pPr>
        <w:ind w:left="720"/>
        <w:rPr>
          <w:lang w:val="de-DE"/>
        </w:rPr>
      </w:pPr>
      <w:r w:rsidRPr="00BB5519">
        <w:rPr>
          <w:rFonts w:cs="Tahoma"/>
          <w:color w:val="000000"/>
          <w:szCs w:val="18"/>
          <w:lang w:val="de-DE"/>
        </w:rPr>
        <w:t>Kunden, die eine Vermietungsrechtelizenz zusätzlich zu einer Lizenz für eine qualifizierende Anwendung erwerben, erweitern ihre Rechte gemäß der Lizenz für die qualifizierende Anwendung, damit Dritte dieselbe Software verwenden können. Die Vermietungsrechtelizenz ist keine Step Up-Lizenz für eine höhere Edition des Produktes.</w:t>
      </w:r>
    </w:p>
    <w:p w:rsidR="00223A77" w:rsidRPr="00BB5519" w:rsidRDefault="00223A77" w:rsidP="005C382A">
      <w:pPr>
        <w:ind w:left="720"/>
        <w:rPr>
          <w:lang w:val="de-DE"/>
        </w:rPr>
      </w:pPr>
    </w:p>
    <w:p w:rsidR="00223A77" w:rsidRPr="00BB5519" w:rsidRDefault="00223A77" w:rsidP="00864B8A">
      <w:pPr>
        <w:spacing w:after="60"/>
        <w:ind w:left="720"/>
        <w:rPr>
          <w:lang w:val="de-DE"/>
        </w:rPr>
      </w:pPr>
      <w:r w:rsidRPr="00BB5519">
        <w:rPr>
          <w:rFonts w:cs="Tahoma"/>
          <w:b/>
          <w:lang w:val="de-DE"/>
        </w:rPr>
        <w:t>Software Assurance-Ausnahme</w:t>
      </w:r>
    </w:p>
    <w:p w:rsidR="009504CA" w:rsidRPr="00BB5519" w:rsidRDefault="00223A77" w:rsidP="005C382A">
      <w:pPr>
        <w:ind w:left="720"/>
        <w:rPr>
          <w:lang w:val="de-DE"/>
        </w:rPr>
      </w:pPr>
      <w:r w:rsidRPr="00BB5519">
        <w:rPr>
          <w:rFonts w:cs="Tahoma"/>
          <w:color w:val="000000"/>
          <w:szCs w:val="18"/>
          <w:lang w:val="de-DE"/>
        </w:rPr>
        <w:t>Kunden, die Vermietungsrechtelizenzen erwerben, sind nicht berechtigt, Software Assurance für die Vermietungsrechtelizenzen oder die zugrunde liegenden qualifizierenden Softwarelizenzen abzuschließen.</w:t>
      </w:r>
    </w:p>
    <w:p w:rsidR="00980240" w:rsidRPr="00BB5519" w:rsidRDefault="00980240" w:rsidP="00980240">
      <w:pPr>
        <w:rPr>
          <w:lang w:val="de-DE"/>
        </w:rPr>
      </w:pPr>
    </w:p>
    <w:p w:rsidR="00980240" w:rsidRPr="00BB5519" w:rsidRDefault="00980240" w:rsidP="00980240">
      <w:pPr>
        <w:rPr>
          <w:lang w:val="de-DE"/>
        </w:rPr>
      </w:pPr>
    </w:p>
    <w:p w:rsidR="005F584F" w:rsidRPr="00BB5519" w:rsidRDefault="004668D9" w:rsidP="005F584F">
      <w:pPr>
        <w:pStyle w:val="Heading3"/>
        <w:rPr>
          <w:lang w:val="de-DE"/>
        </w:rPr>
      </w:pPr>
      <w:bookmarkStart w:id="1102" w:name="_15_Visio_Professional"/>
      <w:bookmarkStart w:id="1103" w:name="_16_Vexcel_Desktop"/>
      <w:bookmarkStart w:id="1104" w:name="_Toc354054969"/>
      <w:bookmarkEnd w:id="1102"/>
      <w:bookmarkEnd w:id="1103"/>
      <w:r w:rsidRPr="00BB5519">
        <w:rPr>
          <w:rFonts w:ascii="Tahoma" w:hAnsi="Tahoma" w:cs="Tahoma"/>
          <w:caps/>
          <w:color w:val="EE6000"/>
          <w:sz w:val="22"/>
          <w:szCs w:val="18"/>
          <w:vertAlign w:val="superscript"/>
          <w:lang w:val="de-DE"/>
        </w:rPr>
        <w:t xml:space="preserve">16 </w:t>
      </w:r>
      <w:r w:rsidRPr="00BB5519">
        <w:rPr>
          <w:rFonts w:ascii="Tahoma" w:hAnsi="Tahoma"/>
          <w:color w:val="F66400"/>
          <w:sz w:val="22"/>
          <w:lang w:val="de-DE"/>
        </w:rPr>
        <w:t>Vexcel Desktop mit erweitertem Inhaltspaket</w:t>
      </w:r>
      <w:bookmarkEnd w:id="1104"/>
    </w:p>
    <w:p w:rsidR="005F584F" w:rsidRPr="00BB5519" w:rsidRDefault="005F584F" w:rsidP="005F584F">
      <w:pPr>
        <w:rPr>
          <w:lang w:val="de-DE"/>
        </w:rPr>
      </w:pPr>
    </w:p>
    <w:p w:rsidR="005F584F" w:rsidRPr="00BB5519" w:rsidRDefault="005F584F" w:rsidP="007F574F">
      <w:pPr>
        <w:spacing w:after="60"/>
        <w:ind w:left="720"/>
        <w:rPr>
          <w:lang w:val="de-DE"/>
        </w:rPr>
      </w:pPr>
      <w:r w:rsidRPr="00BB5519">
        <w:rPr>
          <w:b/>
          <w:lang w:val="de-DE"/>
        </w:rPr>
        <w:t>Erforderliche Builddienste</w:t>
      </w:r>
      <w:r w:rsidR="009E4976" w:rsidRPr="00BB5519">
        <w:rPr>
          <w:b/>
          <w:lang w:val="de-DE"/>
        </w:rPr>
        <w:t xml:space="preserve"> </w:t>
      </w:r>
    </w:p>
    <w:p w:rsidR="005F584F" w:rsidRPr="00BB5519" w:rsidRDefault="005F584F" w:rsidP="00354FEE">
      <w:pPr>
        <w:ind w:left="720"/>
        <w:rPr>
          <w:lang w:val="de-DE"/>
        </w:rPr>
      </w:pPr>
      <w:r w:rsidRPr="00BB5519">
        <w:rPr>
          <w:szCs w:val="18"/>
          <w:lang w:val="de-DE"/>
        </w:rPr>
        <w:t>Für Vexcel Desktop mit Erweitertem Inhaltspaket sind die System-Builddienste von Vexcel erforderlich, der Tochtergesellschaft von Microsoft für georäumliche Technologie.</w:t>
      </w:r>
      <w:r w:rsidR="009E4976" w:rsidRPr="00BB5519">
        <w:rPr>
          <w:szCs w:val="18"/>
          <w:lang w:val="de-DE"/>
        </w:rPr>
        <w:t xml:space="preserve"> </w:t>
      </w:r>
      <w:r w:rsidRPr="00BB5519">
        <w:rPr>
          <w:szCs w:val="18"/>
          <w:lang w:val="de-DE"/>
        </w:rPr>
        <w:t>Zusätzliche Schulungs-, Support- und Wartungsleistungen sind ebenfalls verfügbar, aber nicht erforderlich.</w:t>
      </w:r>
      <w:r w:rsidR="009E4976" w:rsidRPr="00BB5519">
        <w:rPr>
          <w:szCs w:val="18"/>
          <w:lang w:val="de-DE"/>
        </w:rPr>
        <w:t xml:space="preserve"> </w:t>
      </w:r>
      <w:r w:rsidRPr="00BB5519">
        <w:rPr>
          <w:szCs w:val="18"/>
          <w:lang w:val="de-DE"/>
        </w:rPr>
        <w:t>Weitere Informationen finden Sie unter</w:t>
      </w:r>
      <w:r w:rsidR="00354FEE">
        <w:rPr>
          <w:szCs w:val="18"/>
          <w:lang w:val="de-DE"/>
        </w:rPr>
        <w:t> </w:t>
      </w:r>
      <w:hyperlink r:id="rId42" w:history="1">
        <w:r w:rsidRPr="00BB5519">
          <w:rPr>
            <w:rStyle w:val="Hyperlink"/>
            <w:rFonts w:cs="Tahoma"/>
            <w:szCs w:val="18"/>
            <w:lang w:val="de-DE"/>
          </w:rPr>
          <w:t>http://www.vexcel.com/geospatial/bingmapsserver/index.asp</w:t>
        </w:r>
      </w:hyperlink>
    </w:p>
    <w:p w:rsidR="005F584F" w:rsidRPr="00BB5519" w:rsidRDefault="005F584F" w:rsidP="007F574F">
      <w:pPr>
        <w:ind w:left="720"/>
        <w:rPr>
          <w:lang w:val="de-DE"/>
        </w:rPr>
      </w:pPr>
    </w:p>
    <w:p w:rsidR="00257298" w:rsidRPr="00BB5519" w:rsidRDefault="004668D9" w:rsidP="005C382A">
      <w:pPr>
        <w:pStyle w:val="Heading3"/>
        <w:rPr>
          <w:lang w:val="de-DE"/>
        </w:rPr>
      </w:pPr>
      <w:bookmarkStart w:id="1105" w:name="_17_Visio_Professional"/>
      <w:bookmarkStart w:id="1106" w:name="_Toc354054970"/>
      <w:bookmarkEnd w:id="1105"/>
      <w:r w:rsidRPr="00BB5519">
        <w:rPr>
          <w:rFonts w:ascii="Tahoma" w:hAnsi="Tahoma"/>
          <w:caps/>
          <w:color w:val="F66400"/>
          <w:sz w:val="22"/>
          <w:vertAlign w:val="superscript"/>
          <w:lang w:val="de-DE"/>
        </w:rPr>
        <w:lastRenderedPageBreak/>
        <w:t>17</w:t>
      </w:r>
      <w:r w:rsidRPr="00BB5519">
        <w:rPr>
          <w:rFonts w:ascii="Tahoma" w:hAnsi="Tahoma"/>
          <w:color w:val="F66400"/>
          <w:sz w:val="22"/>
          <w:lang w:val="de-DE"/>
        </w:rPr>
        <w:t xml:space="preserve"> Visio Professional 2013</w:t>
      </w:r>
      <w:bookmarkEnd w:id="1106"/>
    </w:p>
    <w:p w:rsidR="005C382A" w:rsidRPr="00BB5519" w:rsidRDefault="005C382A" w:rsidP="005C382A">
      <w:pPr>
        <w:rPr>
          <w:lang w:val="de-DE"/>
        </w:rPr>
      </w:pPr>
    </w:p>
    <w:p w:rsidR="00257298" w:rsidRPr="00BB5519" w:rsidRDefault="00257298" w:rsidP="00864B8A">
      <w:pPr>
        <w:spacing w:after="60"/>
        <w:ind w:left="720"/>
        <w:rPr>
          <w:lang w:val="de-DE"/>
        </w:rPr>
      </w:pPr>
      <w:r w:rsidRPr="00BB5519">
        <w:rPr>
          <w:rFonts w:cs="Tahoma"/>
          <w:b/>
          <w:lang w:val="de-DE"/>
        </w:rPr>
        <w:t xml:space="preserve">Software Assurance-Migrationspfad für </w:t>
      </w:r>
      <w:bookmarkStart w:id="1107" w:name="Srv_11VisioPremium2010"/>
      <w:bookmarkStart w:id="1108" w:name="Aps_11VisioPremium2010"/>
      <w:bookmarkStart w:id="1109" w:name="_Toc336338274"/>
      <w:bookmarkStart w:id="1110" w:name="Srv_VisioPremium2010"/>
      <w:r w:rsidRPr="00BB5519">
        <w:rPr>
          <w:rFonts w:cs="Tahoma"/>
          <w:b/>
          <w:lang w:val="de-DE"/>
        </w:rPr>
        <w:t>Visio Premium 2010</w:t>
      </w:r>
      <w:bookmarkEnd w:id="1107"/>
      <w:bookmarkEnd w:id="1108"/>
      <w:bookmarkEnd w:id="1109"/>
    </w:p>
    <w:bookmarkEnd w:id="1110"/>
    <w:p w:rsidR="00257298" w:rsidRPr="00BB5519" w:rsidRDefault="00257298" w:rsidP="005C382A">
      <w:pPr>
        <w:pStyle w:val="FootnoteBulletLevel1"/>
        <w:spacing w:before="0" w:after="0"/>
        <w:ind w:left="720" w:firstLine="0"/>
        <w:rPr>
          <w:lang w:val="de-DE"/>
        </w:rPr>
      </w:pPr>
      <w:r w:rsidRPr="00BB5519">
        <w:rPr>
          <w:rFonts w:ascii="Tahoma" w:hAnsi="Tahoma" w:cs="Tahoma"/>
          <w:sz w:val="18"/>
          <w:lang w:val="de-DE"/>
        </w:rPr>
        <w:t>Kunden, die zum Verfügbarkeitsdatum des Downloads für Visio Premium 2013 über aktive Software Assurance für Visio Professional 2010 verfügen, sind berechtigt, Visio Professional 2013 anstelle von Visio Premium 2010 zu nutzen. Das Recht zur Nutzung von Visio Professional 2013 im Rahmen dieses Angebots gilt bis zum Ablauf des Rechts zur Nutzung von Visio Premium 2010 gemäß den qualifizierenden Lizenzen.</w:t>
      </w:r>
      <w:r w:rsidR="009E4976" w:rsidRPr="00BB5519">
        <w:rPr>
          <w:rFonts w:ascii="Tahoma" w:hAnsi="Tahoma" w:cs="Tahoma"/>
          <w:sz w:val="18"/>
          <w:lang w:val="de-DE"/>
        </w:rPr>
        <w:t xml:space="preserve"> </w:t>
      </w:r>
      <w:r w:rsidRPr="00BB5519">
        <w:rPr>
          <w:rFonts w:ascii="Tahoma" w:hAnsi="Tahoma" w:cs="Tahoma"/>
          <w:sz w:val="18"/>
          <w:lang w:val="de-DE"/>
        </w:rPr>
        <w:t>Die Nutzung von Visio Professional 2013 unterliegt den Nutzungsrechten für Visio Professional 2013 sowie den Bestimmungen des Volumenlizenzvertrages des Kunden.</w:t>
      </w:r>
      <w:r w:rsidR="009E4976" w:rsidRPr="00BB5519">
        <w:rPr>
          <w:rFonts w:ascii="Tahoma" w:hAnsi="Tahoma" w:cs="Tahoma"/>
          <w:sz w:val="18"/>
          <w:lang w:val="de-DE"/>
        </w:rPr>
        <w:t xml:space="preserve"> </w:t>
      </w:r>
      <w:r w:rsidRPr="00BB5519">
        <w:rPr>
          <w:rFonts w:ascii="Tahoma" w:hAnsi="Tahoma" w:cs="Tahoma"/>
          <w:sz w:val="18"/>
          <w:lang w:val="de-DE"/>
        </w:rPr>
        <w:t>Dieser Hinweis auf die Produktbedingungen belegt gemeinsam mit dem Nachweis des Kunden der entsprechenden qualifizierenden Lizenz das Recht, Visio Professional 2013 im Rahmen dieses Angebots zu nutzen.</w:t>
      </w:r>
      <w:r w:rsidR="009E4976" w:rsidRPr="00BB5519">
        <w:rPr>
          <w:rFonts w:ascii="Tahoma" w:hAnsi="Tahoma" w:cs="Tahoma"/>
          <w:sz w:val="18"/>
          <w:lang w:val="de-DE"/>
        </w:rPr>
        <w:t xml:space="preserve"> </w:t>
      </w:r>
      <w:r w:rsidRPr="00BB5519">
        <w:rPr>
          <w:rFonts w:ascii="Tahoma" w:hAnsi="Tahoma" w:cs="Tahoma"/>
          <w:sz w:val="18"/>
          <w:lang w:val="de-DE"/>
        </w:rPr>
        <w:t>Nach Ablauf von Software Assurance für Visio Premium 2010 kann der Kunde Software Assurance für Visio Professional 2013 erwerben, ohne separat eine neue Lizenz erwerben zu müssen.</w:t>
      </w:r>
    </w:p>
    <w:p w:rsidR="005C382A" w:rsidRPr="00BB5519" w:rsidRDefault="005C382A" w:rsidP="005C382A">
      <w:pPr>
        <w:pStyle w:val="FootnoteBulletLevel1"/>
        <w:spacing w:before="0" w:after="0"/>
        <w:ind w:left="720" w:firstLine="0"/>
        <w:rPr>
          <w:lang w:val="de-DE"/>
        </w:rPr>
      </w:pPr>
    </w:p>
    <w:p w:rsidR="00DF3CEE" w:rsidRPr="00BB5519" w:rsidRDefault="00DF3CEE" w:rsidP="00864B8A">
      <w:pPr>
        <w:spacing w:after="60"/>
        <w:ind w:left="720"/>
        <w:rPr>
          <w:lang w:val="de-DE"/>
        </w:rPr>
      </w:pPr>
      <w:r w:rsidRPr="00BB5519">
        <w:rPr>
          <w:rFonts w:cs="Tahoma"/>
          <w:b/>
          <w:lang w:val="de-DE"/>
        </w:rPr>
        <w:t>Downgraderechte für Visio Professional 2013</w:t>
      </w:r>
    </w:p>
    <w:p w:rsidR="00DF3CEE" w:rsidRPr="00BB5519" w:rsidRDefault="00DF3CEE" w:rsidP="00354FEE">
      <w:pPr>
        <w:pStyle w:val="FootnoteBulletLevel1"/>
        <w:spacing w:before="0" w:after="0"/>
        <w:ind w:left="720" w:firstLine="0"/>
        <w:rPr>
          <w:lang w:val="de-DE"/>
        </w:rPr>
      </w:pPr>
      <w:r w:rsidRPr="00BB5519">
        <w:rPr>
          <w:rFonts w:ascii="Tahoma" w:hAnsi="Tahoma" w:cs="Tahoma"/>
          <w:sz w:val="18"/>
          <w:lang w:val="de-DE"/>
        </w:rPr>
        <w:t>Software Assurance-Kunden, die nur Visio Premium 2010 bereitgestellt haben (d. h., sie verwenden in ihrer</w:t>
      </w:r>
      <w:r w:rsidR="00354FEE">
        <w:rPr>
          <w:rFonts w:ascii="Tahoma" w:hAnsi="Tahoma" w:cs="Tahoma"/>
          <w:sz w:val="18"/>
          <w:lang w:val="de-DE"/>
        </w:rPr>
        <w:t> </w:t>
      </w:r>
      <w:r w:rsidRPr="00BB5519">
        <w:rPr>
          <w:rFonts w:ascii="Tahoma" w:hAnsi="Tahoma" w:cs="Tahoma"/>
          <w:sz w:val="18"/>
          <w:lang w:val="de-DE"/>
        </w:rPr>
        <w:t>Organisation keine andere Visio-Edition) und zusätzliche Arbeitsplätze mit Visio Premium 2010 benötigen, sind berechtigt, Lizenzen für Visio Professional 2013 zu erwerben und ein Downgrade auf Visio</w:t>
      </w:r>
      <w:r w:rsidR="00354FEE">
        <w:rPr>
          <w:rFonts w:ascii="Tahoma" w:hAnsi="Tahoma" w:cs="Tahoma"/>
          <w:sz w:val="18"/>
          <w:lang w:val="de-DE"/>
        </w:rPr>
        <w:t> </w:t>
      </w:r>
      <w:r w:rsidRPr="00BB5519">
        <w:rPr>
          <w:rFonts w:ascii="Tahoma" w:hAnsi="Tahoma" w:cs="Tahoma"/>
          <w:sz w:val="18"/>
          <w:lang w:val="de-DE"/>
        </w:rPr>
        <w:t>Premium 2010 durchzuführen. Es sind keine anderen Downgrades von Visio Professional 2013 auf Visio</w:t>
      </w:r>
      <w:r w:rsidR="00354FEE">
        <w:rPr>
          <w:rFonts w:ascii="Tahoma" w:hAnsi="Tahoma" w:cs="Tahoma"/>
          <w:sz w:val="18"/>
          <w:lang w:val="de-DE"/>
        </w:rPr>
        <w:t> </w:t>
      </w:r>
      <w:r w:rsidRPr="00BB5519">
        <w:rPr>
          <w:rFonts w:ascii="Tahoma" w:hAnsi="Tahoma" w:cs="Tahoma"/>
          <w:sz w:val="18"/>
          <w:lang w:val="de-DE"/>
        </w:rPr>
        <w:t>Premium 2010 zulässig.</w:t>
      </w:r>
    </w:p>
    <w:p w:rsidR="005C382A" w:rsidRPr="00BB5519" w:rsidRDefault="005C382A" w:rsidP="005C382A">
      <w:pPr>
        <w:rPr>
          <w:lang w:val="de-DE"/>
        </w:rPr>
      </w:pPr>
    </w:p>
    <w:p w:rsidR="00676723" w:rsidRPr="00BB5519" w:rsidRDefault="00676723" w:rsidP="005C382A">
      <w:pPr>
        <w:rPr>
          <w:lang w:val="de-DE"/>
        </w:rPr>
      </w:pPr>
    </w:p>
    <w:p w:rsidR="00BE4D27" w:rsidRDefault="004668D9" w:rsidP="00BE4D27">
      <w:pPr>
        <w:pStyle w:val="Heading3"/>
        <w:rPr>
          <w:rFonts w:ascii="Tahoma" w:hAnsi="Tahoma"/>
          <w:color w:val="F66400"/>
          <w:sz w:val="22"/>
          <w:lang w:val="de-DE"/>
        </w:rPr>
      </w:pPr>
      <w:bookmarkStart w:id="1111" w:name="_18_Visio_Pro"/>
      <w:bookmarkStart w:id="1112" w:name="_Toc354054971"/>
      <w:bookmarkEnd w:id="1111"/>
      <w:r w:rsidRPr="00BB5519">
        <w:rPr>
          <w:rFonts w:ascii="Tahoma" w:hAnsi="Tahoma"/>
          <w:caps/>
          <w:color w:val="F66400"/>
          <w:sz w:val="22"/>
          <w:vertAlign w:val="superscript"/>
          <w:lang w:val="de-DE"/>
        </w:rPr>
        <w:t>18</w:t>
      </w:r>
      <w:r w:rsidRPr="00BB5519">
        <w:rPr>
          <w:rFonts w:ascii="Tahoma" w:hAnsi="Tahoma"/>
          <w:color w:val="F66400"/>
          <w:sz w:val="22"/>
          <w:lang w:val="de-DE"/>
        </w:rPr>
        <w:t xml:space="preserve"> Visio Pro für Office 365</w:t>
      </w:r>
      <w:bookmarkEnd w:id="1112"/>
      <w:r w:rsidRPr="00BB5519">
        <w:rPr>
          <w:rFonts w:ascii="Tahoma" w:hAnsi="Tahoma"/>
          <w:color w:val="F66400"/>
          <w:sz w:val="22"/>
          <w:lang w:val="de-DE"/>
        </w:rPr>
        <w:t xml:space="preserve"> </w:t>
      </w:r>
    </w:p>
    <w:p w:rsidR="00033A63" w:rsidRPr="00033A63" w:rsidRDefault="00033A63" w:rsidP="00033A63">
      <w:pPr>
        <w:rPr>
          <w:lang w:val="de-DE"/>
        </w:rPr>
      </w:pPr>
    </w:p>
    <w:p w:rsidR="00BE4D27" w:rsidRPr="00BB5519" w:rsidRDefault="00BE4D27" w:rsidP="00BE4D27">
      <w:pPr>
        <w:spacing w:after="60"/>
        <w:ind w:left="720"/>
        <w:rPr>
          <w:lang w:val="de-DE"/>
        </w:rPr>
      </w:pPr>
      <w:r w:rsidRPr="00BB5519">
        <w:rPr>
          <w:rFonts w:cs="Tahoma"/>
          <w:b/>
          <w:lang w:val="de-DE"/>
        </w:rPr>
        <w:t>Medienberechtigung mit Remotedesktopdiensten (RDS)</w:t>
      </w:r>
    </w:p>
    <w:p w:rsidR="00BE4D27" w:rsidRPr="00BB5519" w:rsidRDefault="00BE4D27" w:rsidP="00354FEE">
      <w:pPr>
        <w:ind w:left="720"/>
        <w:rPr>
          <w:lang w:val="de-DE"/>
        </w:rPr>
      </w:pPr>
      <w:r w:rsidRPr="00BB5519">
        <w:rPr>
          <w:rFonts w:cs="Tahoma"/>
          <w:szCs w:val="18"/>
          <w:lang w:val="de-DE"/>
        </w:rPr>
        <w:t>Wenn der Nutzer, dem Sie eine Visio Pro für Office 365-Lizenz zugewiesen haben, die Software bei aktivierter RDS-Rolle auf einem Netzwerkserver nutzt, ist dieser Nutzer berechtigt, 1) eine Kopie der Visio</w:t>
      </w:r>
      <w:r w:rsidR="00354FEE">
        <w:rPr>
          <w:rFonts w:cs="Tahoma"/>
          <w:szCs w:val="18"/>
          <w:lang w:val="de-DE"/>
        </w:rPr>
        <w:t> </w:t>
      </w:r>
      <w:r w:rsidRPr="00BB5519">
        <w:rPr>
          <w:rFonts w:cs="Tahoma"/>
          <w:szCs w:val="18"/>
          <w:lang w:val="de-DE"/>
        </w:rPr>
        <w:t>2013 Professional-Software auf einem Netzwerkserver zu installieren und 2) auf die Visio 2013 Professional-Software von jedem beliebigen Gerät aus zuzugreifen, anstatt eine Kopie der Software, die mit Visio Pro für Office 365 bereitgestellt wurde, auf einem der fünf gemäß den Produktbenutzungsrechten für Visio Pro für Office 365 zulässigen Geräte zu installieren.</w:t>
      </w:r>
      <w:r w:rsidR="009E4976" w:rsidRPr="00BB5519">
        <w:rPr>
          <w:rFonts w:cs="Tahoma"/>
          <w:szCs w:val="18"/>
          <w:lang w:val="de-DE"/>
        </w:rPr>
        <w:t xml:space="preserve"> </w:t>
      </w:r>
      <w:r w:rsidRPr="00BB5519">
        <w:rPr>
          <w:rFonts w:cs="Tahoma"/>
          <w:szCs w:val="18"/>
          <w:lang w:val="de-DE"/>
        </w:rPr>
        <w:t xml:space="preserve">Nach Kündigung Ihres Visio Pro für Office 365-Abonnements müssen Sie die Visio 2013 Professional-Software vom Netzwerkserver deinstallieren. </w:t>
      </w:r>
    </w:p>
    <w:p w:rsidR="00BE4D27" w:rsidRPr="00BB5519" w:rsidRDefault="00BE4D27" w:rsidP="00BE4D27">
      <w:pPr>
        <w:ind w:left="720"/>
        <w:rPr>
          <w:lang w:val="de-DE"/>
        </w:rPr>
      </w:pPr>
    </w:p>
    <w:p w:rsidR="00BE4D27" w:rsidRPr="00BB5519" w:rsidRDefault="00BE4D27" w:rsidP="00BE4D27">
      <w:pPr>
        <w:spacing w:after="60"/>
        <w:ind w:left="720"/>
        <w:rPr>
          <w:lang w:val="de-DE"/>
        </w:rPr>
      </w:pPr>
      <w:r w:rsidRPr="00BB5519">
        <w:rPr>
          <w:rFonts w:cs="Tahoma"/>
          <w:b/>
          <w:lang w:val="de-DE"/>
        </w:rPr>
        <w:t>Downgraderechte</w:t>
      </w:r>
    </w:p>
    <w:p w:rsidR="00BE4D27" w:rsidRPr="00BB5519" w:rsidRDefault="00BE4D27" w:rsidP="00354FEE">
      <w:pPr>
        <w:ind w:left="720"/>
        <w:rPr>
          <w:lang w:val="de-DE"/>
        </w:rPr>
      </w:pPr>
      <w:r w:rsidRPr="00BB5519">
        <w:rPr>
          <w:rFonts w:cs="Tahoma"/>
          <w:bCs/>
          <w:szCs w:val="18"/>
          <w:lang w:val="de-DE"/>
        </w:rPr>
        <w:t>Der Visio Pro für Office 365-Service umfasst keine Downgraderechte. Weitere Informationen zu Onlinedienste-Upgradeanforderungen finden Sie in den Produktbenutzungsrechten (PUR) von Microsoft</w:t>
      </w:r>
      <w:r w:rsidR="00354FEE">
        <w:rPr>
          <w:rFonts w:cs="Tahoma"/>
          <w:bCs/>
          <w:szCs w:val="18"/>
          <w:lang w:val="de-DE"/>
        </w:rPr>
        <w:t> </w:t>
      </w:r>
      <w:r w:rsidRPr="00BB5519">
        <w:rPr>
          <w:rFonts w:cs="Tahoma"/>
          <w:bCs/>
          <w:szCs w:val="18"/>
          <w:lang w:val="de-DE"/>
        </w:rPr>
        <w:t xml:space="preserve">unter </w:t>
      </w:r>
      <w:hyperlink r:id="rId43" w:history="1">
        <w:r w:rsidRPr="00BB5519">
          <w:rPr>
            <w:rStyle w:val="Hyperlink"/>
            <w:rFonts w:cs="Tahoma"/>
            <w:bCs/>
            <w:szCs w:val="18"/>
            <w:lang w:val="de-DE"/>
          </w:rPr>
          <w:t>http://www.microsoftvolumelicensing.com/userights/PUR.aspx</w:t>
        </w:r>
      </w:hyperlink>
    </w:p>
    <w:p w:rsidR="00BE4D27" w:rsidRPr="00BB5519" w:rsidRDefault="00BE4D27" w:rsidP="005C382A">
      <w:pPr>
        <w:rPr>
          <w:lang w:val="de-DE"/>
        </w:rPr>
      </w:pPr>
    </w:p>
    <w:p w:rsidR="005C382A" w:rsidRPr="00BB5519" w:rsidRDefault="005C382A" w:rsidP="005C382A">
      <w:pPr>
        <w:rPr>
          <w:lang w:val="de-DE"/>
        </w:rPr>
      </w:pPr>
    </w:p>
    <w:p w:rsidR="00223A77" w:rsidRPr="00BB5519" w:rsidRDefault="004668D9" w:rsidP="00223A77">
      <w:pPr>
        <w:pStyle w:val="Heading3"/>
        <w:rPr>
          <w:lang w:val="de-DE"/>
        </w:rPr>
      </w:pPr>
      <w:bookmarkStart w:id="1113" w:name="_19_Visual_Studio"/>
      <w:bookmarkStart w:id="1114" w:name="_Toc336338275"/>
      <w:bookmarkStart w:id="1115" w:name="_Toc354054972"/>
      <w:bookmarkStart w:id="1116" w:name="Aps_12VS2010Professional"/>
      <w:bookmarkStart w:id="1117" w:name="_Toc252341836"/>
      <w:bookmarkEnd w:id="1113"/>
      <w:r w:rsidRPr="00BB5519">
        <w:rPr>
          <w:rFonts w:ascii="Tahoma" w:hAnsi="Tahoma"/>
          <w:caps/>
          <w:color w:val="F66400"/>
          <w:sz w:val="22"/>
          <w:vertAlign w:val="superscript"/>
          <w:lang w:val="de-DE"/>
        </w:rPr>
        <w:t>19</w:t>
      </w:r>
      <w:r w:rsidRPr="00BB5519">
        <w:rPr>
          <w:rFonts w:ascii="Tahoma" w:hAnsi="Tahoma"/>
          <w:color w:val="F66400"/>
          <w:sz w:val="22"/>
          <w:lang w:val="de-DE"/>
        </w:rPr>
        <w:t xml:space="preserve"> </w:t>
      </w:r>
      <w:r w:rsidRPr="00EC2A0D">
        <w:rPr>
          <w:rFonts w:ascii="Tahoma" w:hAnsi="Tahoma"/>
          <w:color w:val="F66400"/>
          <w:sz w:val="22"/>
          <w:lang w:val="de-DE"/>
        </w:rPr>
        <w:t>Visual Studio Professional 2012</w:t>
      </w:r>
      <w:bookmarkEnd w:id="1114"/>
      <w:bookmarkEnd w:id="1115"/>
    </w:p>
    <w:bookmarkEnd w:id="1116"/>
    <w:p w:rsidR="009275A3" w:rsidRPr="00BB5519" w:rsidRDefault="009275A3" w:rsidP="009275A3">
      <w:pPr>
        <w:pStyle w:val="FootnoteBulletLevel1"/>
        <w:tabs>
          <w:tab w:val="clear" w:pos="900"/>
        </w:tabs>
        <w:spacing w:before="0" w:after="0"/>
        <w:ind w:left="0" w:firstLine="0"/>
        <w:rPr>
          <w:lang w:val="de-DE"/>
        </w:rPr>
      </w:pPr>
    </w:p>
    <w:p w:rsidR="006D58DB" w:rsidRPr="00BB5519" w:rsidRDefault="006D58DB" w:rsidP="00864B8A">
      <w:pPr>
        <w:spacing w:after="60"/>
        <w:ind w:left="720"/>
        <w:rPr>
          <w:lang w:val="de-DE"/>
        </w:rPr>
      </w:pPr>
      <w:r w:rsidRPr="00BB5519">
        <w:rPr>
          <w:rFonts w:cs="Tahoma"/>
          <w:b/>
          <w:lang w:val="de-DE"/>
        </w:rPr>
        <w:t>Software Assurance-Migrationspfad für Visual Studio LightSwitch 2011</w:t>
      </w:r>
    </w:p>
    <w:p w:rsidR="006D58DB" w:rsidRPr="00BB5519" w:rsidRDefault="006D58DB" w:rsidP="009275A3">
      <w:pPr>
        <w:pStyle w:val="FootnoteBulletLevel1"/>
        <w:tabs>
          <w:tab w:val="clear" w:pos="900"/>
        </w:tabs>
        <w:spacing w:before="0" w:after="0"/>
        <w:ind w:left="720" w:firstLine="0"/>
        <w:rPr>
          <w:lang w:val="de-DE"/>
        </w:rPr>
      </w:pPr>
      <w:r w:rsidRPr="00BB5519">
        <w:rPr>
          <w:rFonts w:ascii="Tahoma" w:hAnsi="Tahoma" w:cs="Tahoma"/>
          <w:sz w:val="18"/>
          <w:lang w:val="de-DE"/>
        </w:rPr>
        <w:t>Kunden, die zum Verfügbarkeitsdatum des Downloads für Visual Studio Professional 2012 über aktive Software Assurance für Visual Studio LightSwitch 2011 verfügen, sind berechtigt, Visual Studio Professional 2012 zu nutzen. Das Recht zur Nutzung von Visual Studio Professional 2012 im Rahmen dieses Angebots gilt bis zum Ablauf des Rechts zur Nutzung von Visual Studio LightSwitch 2011 gemäß den qualifizierenden Lizenzen.</w:t>
      </w:r>
      <w:r w:rsidR="009E4976" w:rsidRPr="00BB5519">
        <w:rPr>
          <w:rFonts w:ascii="Tahoma" w:hAnsi="Tahoma" w:cs="Tahoma"/>
          <w:sz w:val="18"/>
          <w:lang w:val="de-DE"/>
        </w:rPr>
        <w:t xml:space="preserve"> </w:t>
      </w:r>
      <w:r w:rsidRPr="00BB5519">
        <w:rPr>
          <w:rFonts w:ascii="Tahoma" w:hAnsi="Tahoma" w:cs="Tahoma"/>
          <w:sz w:val="18"/>
          <w:lang w:val="de-DE"/>
        </w:rPr>
        <w:t>Die Nutzung von Visual Studio Professional 2012 unterliegt den Nutzungsrechten für Visual Studio Professional 2012 sowie den Bestimmungen des Volumenlizenzvertrages des Kunden.</w:t>
      </w:r>
      <w:r w:rsidR="009E4976" w:rsidRPr="00BB5519">
        <w:rPr>
          <w:rFonts w:ascii="Tahoma" w:hAnsi="Tahoma" w:cs="Tahoma"/>
          <w:sz w:val="18"/>
          <w:lang w:val="de-DE"/>
        </w:rPr>
        <w:t xml:space="preserve"> </w:t>
      </w:r>
      <w:r w:rsidRPr="00BB5519">
        <w:rPr>
          <w:rFonts w:ascii="Tahoma" w:hAnsi="Tahoma" w:cs="Tahoma"/>
          <w:sz w:val="18"/>
          <w:lang w:val="de-DE"/>
        </w:rPr>
        <w:t>Dieser Hinweis auf die Produktbedingungen belegt gemeinsam mit dem Nachweis des Kunden der entsprechenden qualifizierenden Lizenz das Recht, Visual Studio Professional 2012 im Rahmen dieses Angebots zu nutzen.</w:t>
      </w:r>
      <w:r w:rsidR="009E4976" w:rsidRPr="00BB5519">
        <w:rPr>
          <w:rFonts w:ascii="Tahoma" w:hAnsi="Tahoma" w:cs="Tahoma"/>
          <w:sz w:val="18"/>
          <w:lang w:val="de-DE"/>
        </w:rPr>
        <w:t xml:space="preserve"> </w:t>
      </w:r>
    </w:p>
    <w:p w:rsidR="00223A77" w:rsidRPr="00BB5519" w:rsidRDefault="00223A77" w:rsidP="009275A3">
      <w:pPr>
        <w:rPr>
          <w:lang w:val="de-DE"/>
        </w:rPr>
      </w:pPr>
    </w:p>
    <w:p w:rsidR="00691648" w:rsidRPr="00BB5519" w:rsidRDefault="00691648" w:rsidP="00354FEE">
      <w:pPr>
        <w:keepNext/>
        <w:keepLines/>
        <w:spacing w:after="60"/>
        <w:ind w:left="720"/>
        <w:rPr>
          <w:lang w:val="de-DE"/>
        </w:rPr>
      </w:pPr>
      <w:r w:rsidRPr="00BB5519">
        <w:rPr>
          <w:b/>
          <w:bCs/>
          <w:lang w:val="de-DE"/>
        </w:rPr>
        <w:lastRenderedPageBreak/>
        <w:t>Software Assurance-Migrationspfad für Expression Studio Ultimate 4</w:t>
      </w:r>
    </w:p>
    <w:p w:rsidR="00691648" w:rsidRPr="00BB5519" w:rsidRDefault="00691648" w:rsidP="00354FEE">
      <w:pPr>
        <w:keepNext/>
        <w:keepLines/>
        <w:ind w:left="720"/>
        <w:rPr>
          <w:lang w:val="de-DE"/>
        </w:rPr>
      </w:pPr>
      <w:r w:rsidRPr="00BB5519">
        <w:rPr>
          <w:lang w:val="de-DE"/>
        </w:rPr>
        <w:t>Kunden, die zum 01. März 2013 über aktive Software Assurance für Expression Studio Ultimate 4 verfügen, sind berechtigt, Visual Studio Professional 2012 zu nutzen. Das Recht zur Nutzung von Visual Studio Professional 2012 gilt bis zum Ablauf des Rechts zur Nutzung von Expression Studio Ultimate 4 gemäß den qualifizierenden Lizenzen.</w:t>
      </w:r>
      <w:r w:rsidR="009E4976" w:rsidRPr="00BB5519">
        <w:rPr>
          <w:lang w:val="de-DE"/>
        </w:rPr>
        <w:t xml:space="preserve"> </w:t>
      </w:r>
      <w:r w:rsidRPr="00BB5519">
        <w:rPr>
          <w:lang w:val="de-DE"/>
        </w:rPr>
        <w:t>Die Nutzung von Visual Studio Professional 2012 unterliegt den Nutzungsrechten für Visual Studio Professional 2012 sowie den Bestimmungen des Volumenlizenzvertrages des Kunden.</w:t>
      </w:r>
      <w:r w:rsidR="009E4976" w:rsidRPr="00BB5519">
        <w:rPr>
          <w:lang w:val="de-DE"/>
        </w:rPr>
        <w:t xml:space="preserve"> </w:t>
      </w:r>
      <w:r w:rsidRPr="00BB5519">
        <w:rPr>
          <w:lang w:val="de-DE"/>
        </w:rPr>
        <w:t>Dieser Hinweis auf die Produktbedingungen belegt gemeinsam mit dem Nachweis des Kunden der entsprechenden qualifizierenden Lizenz das Recht, Visual Studio Professional 2012 im Rahmen dieses Angebots zu nutzen.</w:t>
      </w:r>
      <w:r w:rsidR="009E4976" w:rsidRPr="00BB5519">
        <w:rPr>
          <w:lang w:val="de-DE"/>
        </w:rPr>
        <w:t xml:space="preserve"> </w:t>
      </w:r>
    </w:p>
    <w:p w:rsidR="009275A3" w:rsidRPr="00BB5519" w:rsidRDefault="009275A3" w:rsidP="009275A3">
      <w:pPr>
        <w:rPr>
          <w:lang w:val="de-DE"/>
        </w:rPr>
      </w:pPr>
    </w:p>
    <w:p w:rsidR="00F73587" w:rsidRPr="00BB5519" w:rsidRDefault="00F73587" w:rsidP="009275A3">
      <w:pPr>
        <w:rPr>
          <w:lang w:val="de-DE"/>
        </w:rPr>
      </w:pPr>
    </w:p>
    <w:p w:rsidR="00223A77" w:rsidRPr="00BB5519" w:rsidRDefault="004668D9" w:rsidP="00223A77">
      <w:pPr>
        <w:pStyle w:val="Heading3"/>
      </w:pPr>
      <w:bookmarkStart w:id="1118" w:name="_20_Visual_Studio"/>
      <w:bookmarkStart w:id="1119" w:name="_Toc336338276"/>
      <w:bookmarkStart w:id="1120" w:name="_Toc354054973"/>
      <w:bookmarkStart w:id="1121" w:name="Aps_13VS2010ProfessionalMSDN"/>
      <w:bookmarkEnd w:id="1118"/>
      <w:r w:rsidRPr="00BB5519">
        <w:rPr>
          <w:rFonts w:ascii="Tahoma" w:hAnsi="Tahoma"/>
          <w:caps/>
          <w:color w:val="F66400"/>
          <w:sz w:val="22"/>
          <w:vertAlign w:val="superscript"/>
        </w:rPr>
        <w:t>20</w:t>
      </w:r>
      <w:r w:rsidRPr="00BB5519">
        <w:rPr>
          <w:rFonts w:ascii="Tahoma" w:hAnsi="Tahoma"/>
          <w:color w:val="F66400"/>
          <w:sz w:val="22"/>
        </w:rPr>
        <w:t xml:space="preserve"> Visual Studio Professional 2012 mit MSDN</w:t>
      </w:r>
      <w:bookmarkEnd w:id="1119"/>
      <w:bookmarkEnd w:id="1120"/>
      <w:r w:rsidRPr="00BB5519">
        <w:rPr>
          <w:rFonts w:ascii="Tahoma" w:hAnsi="Tahoma"/>
          <w:color w:val="F66400"/>
          <w:sz w:val="22"/>
        </w:rPr>
        <w:t xml:space="preserve"> </w:t>
      </w:r>
      <w:bookmarkEnd w:id="1117"/>
    </w:p>
    <w:p w:rsidR="00F6352F" w:rsidRPr="00BB5519" w:rsidRDefault="00F6352F" w:rsidP="005B0791">
      <w:pPr>
        <w:ind w:left="720"/>
      </w:pPr>
    </w:p>
    <w:bookmarkEnd w:id="1121"/>
    <w:p w:rsidR="001026FD" w:rsidRPr="00BB5519" w:rsidRDefault="001026FD" w:rsidP="00864B8A">
      <w:pPr>
        <w:spacing w:after="60"/>
        <w:ind w:left="720"/>
      </w:pPr>
      <w:r w:rsidRPr="00BB5519">
        <w:rPr>
          <w:rFonts w:cs="Tahoma"/>
          <w:b/>
        </w:rPr>
        <w:t>Visual Studio Team Foundation Server 2012</w:t>
      </w:r>
    </w:p>
    <w:p w:rsidR="001026FD" w:rsidRPr="00BB5519" w:rsidRDefault="001026FD" w:rsidP="005B0791">
      <w:pPr>
        <w:pStyle w:val="EndnoteText"/>
        <w:tabs>
          <w:tab w:val="num" w:pos="1350"/>
        </w:tabs>
        <w:ind w:left="720"/>
        <w:rPr>
          <w:lang w:val="de-DE"/>
        </w:rPr>
      </w:pPr>
      <w:r w:rsidRPr="00BB5519">
        <w:rPr>
          <w:rFonts w:ascii="Tahoma" w:hAnsi="Tahoma" w:cs="Tahoma"/>
          <w:sz w:val="18"/>
          <w:lang w:val="de-DE"/>
        </w:rPr>
        <w:t>Der Abonnent ist zu einer Serverlizenz für Visual Studio Team Foundation Server 2012 und zu einer Nutzer-CAL für Team Foundation Server berechtigt.</w:t>
      </w:r>
      <w:r w:rsidR="009E4976" w:rsidRPr="00BB5519">
        <w:rPr>
          <w:rFonts w:ascii="Tahoma" w:hAnsi="Tahoma" w:cs="Tahoma"/>
          <w:sz w:val="18"/>
          <w:lang w:val="de-DE"/>
        </w:rPr>
        <w:t xml:space="preserve"> </w:t>
      </w:r>
      <w:r w:rsidRPr="00BB5519">
        <w:rPr>
          <w:rFonts w:ascii="Tahoma" w:hAnsi="Tahoma" w:cs="Tahoma"/>
          <w:sz w:val="18"/>
          <w:lang w:val="de-DE"/>
        </w:rPr>
        <w:t>Die Verwendung der CAL ist ausschließlich dem Abonnenten vorbehalten.</w:t>
      </w:r>
    </w:p>
    <w:p w:rsidR="00354FEE" w:rsidRPr="00CB1EDE" w:rsidRDefault="00354FEE" w:rsidP="00354FEE">
      <w:pPr>
        <w:ind w:left="720"/>
        <w:rPr>
          <w:lang w:val="de-DE"/>
        </w:rPr>
      </w:pPr>
    </w:p>
    <w:p w:rsidR="001026FD" w:rsidRPr="00CB1EDE" w:rsidRDefault="001026FD" w:rsidP="00864B8A">
      <w:pPr>
        <w:spacing w:after="60"/>
        <w:ind w:left="720"/>
        <w:rPr>
          <w:lang w:val="de-DE"/>
        </w:rPr>
      </w:pPr>
      <w:r w:rsidRPr="00CB1EDE">
        <w:rPr>
          <w:rFonts w:cs="Tahoma"/>
          <w:b/>
          <w:lang w:val="de-DE"/>
        </w:rPr>
        <w:t>SQL Server Parallel Data Warehouse Developer</w:t>
      </w:r>
    </w:p>
    <w:p w:rsidR="001026FD" w:rsidRPr="00BB5519" w:rsidRDefault="001026FD" w:rsidP="005B0791">
      <w:pPr>
        <w:pStyle w:val="EndnoteText"/>
        <w:tabs>
          <w:tab w:val="num" w:pos="1350"/>
        </w:tabs>
        <w:ind w:left="720"/>
        <w:rPr>
          <w:lang w:val="de-DE"/>
        </w:rPr>
      </w:pPr>
      <w:r w:rsidRPr="00BB5519">
        <w:rPr>
          <w:rFonts w:ascii="Tahoma" w:hAnsi="Tahoma" w:cs="Tahoma"/>
          <w:sz w:val="18"/>
          <w:lang w:val="de-DE"/>
        </w:rPr>
        <w:t>Der Abonnent ist zu einer Lizenz für SQL Server 2008 R2 Parallel Data Warehouse Developer berechtigt.</w:t>
      </w:r>
    </w:p>
    <w:p w:rsidR="00354FEE" w:rsidRPr="00CB1EDE" w:rsidRDefault="00354FEE" w:rsidP="00354FEE">
      <w:pPr>
        <w:ind w:left="720"/>
        <w:rPr>
          <w:lang w:val="de-DE"/>
        </w:rPr>
      </w:pPr>
    </w:p>
    <w:p w:rsidR="00223A77" w:rsidRPr="00BB5519" w:rsidRDefault="00223A77" w:rsidP="00864B8A">
      <w:pPr>
        <w:spacing w:after="60"/>
        <w:ind w:left="720"/>
      </w:pPr>
      <w:r w:rsidRPr="00BB5519">
        <w:rPr>
          <w:rFonts w:cs="Tahoma"/>
          <w:b/>
        </w:rPr>
        <w:t>Software Assurance-Migrationspfad für Visual Studio 2010 Professional mit MSDN Embedded</w:t>
      </w:r>
    </w:p>
    <w:p w:rsidR="00223A77" w:rsidRPr="00BB5519" w:rsidRDefault="00223A77" w:rsidP="005B0791">
      <w:pPr>
        <w:pStyle w:val="FootnoteBulletLevel1"/>
        <w:tabs>
          <w:tab w:val="clear" w:pos="900"/>
          <w:tab w:val="num" w:pos="1350"/>
        </w:tabs>
        <w:spacing w:before="0" w:after="0"/>
        <w:ind w:left="720" w:firstLine="0"/>
        <w:rPr>
          <w:lang w:val="de-DE"/>
        </w:rPr>
      </w:pPr>
      <w:r w:rsidRPr="00BB5519">
        <w:rPr>
          <w:rFonts w:ascii="Tahoma" w:hAnsi="Tahoma" w:cs="Tahoma"/>
          <w:sz w:val="18"/>
          <w:lang w:val="de-DE"/>
        </w:rPr>
        <w:t xml:space="preserve">Die Folgeversion von Visual Studio 2010 Professional mit MSDN Embedded ist Visual Studio Professional 2012 mit MSDN. </w:t>
      </w:r>
    </w:p>
    <w:p w:rsidR="005B0791" w:rsidRPr="00354FEE" w:rsidRDefault="005B0791" w:rsidP="005B0791">
      <w:pPr>
        <w:pStyle w:val="FootnoteBulletLevel1"/>
        <w:tabs>
          <w:tab w:val="clear" w:pos="900"/>
          <w:tab w:val="num" w:pos="1350"/>
        </w:tabs>
        <w:spacing w:before="0" w:after="0"/>
        <w:ind w:left="720" w:firstLine="0"/>
        <w:rPr>
          <w:rFonts w:ascii="Tahoma" w:hAnsi="Tahoma" w:cs="Tahoma"/>
          <w:sz w:val="18"/>
          <w:szCs w:val="18"/>
          <w:lang w:val="de-DE"/>
        </w:rPr>
      </w:pPr>
    </w:p>
    <w:p w:rsidR="00223A77" w:rsidRPr="00BB5519" w:rsidRDefault="00223A77" w:rsidP="00864B8A">
      <w:pPr>
        <w:spacing w:after="60"/>
        <w:ind w:left="720"/>
        <w:rPr>
          <w:lang w:val="de-DE"/>
        </w:rPr>
      </w:pPr>
      <w:r w:rsidRPr="00BB5519">
        <w:rPr>
          <w:rFonts w:cs="Tahoma"/>
          <w:b/>
          <w:lang w:val="de-DE"/>
        </w:rPr>
        <w:t>Software Assurance-Berechtigung</w:t>
      </w:r>
    </w:p>
    <w:p w:rsidR="00BE4D27" w:rsidRPr="00BB5519" w:rsidRDefault="00223A77" w:rsidP="00354FEE">
      <w:pPr>
        <w:pStyle w:val="EndnoteText"/>
        <w:ind w:left="747" w:hanging="9"/>
        <w:rPr>
          <w:lang w:val="de-DE"/>
        </w:rPr>
      </w:pPr>
      <w:r w:rsidRPr="00BB5519">
        <w:rPr>
          <w:rFonts w:ascii="Tahoma" w:hAnsi="Tahoma" w:cs="Tahoma"/>
          <w:sz w:val="18"/>
          <w:lang w:val="de-DE"/>
        </w:rPr>
        <w:t>Kunden, deren Software Assurance für Lizenzen für die folgenden Produkte abläuft, sind berechtigt, diese als Software Assurance für Visual Studio Professional 2012 mit MSDN zu verlängern.</w:t>
      </w:r>
      <w:r w:rsidRPr="00BB5519">
        <w:rPr>
          <w:rFonts w:cs="Tahoma"/>
          <w:lang w:val="de-DE"/>
        </w:rPr>
        <w:t xml:space="preserve"> </w:t>
      </w:r>
      <w:r w:rsidRPr="00BB5519">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rsidR="00223A77" w:rsidRPr="00354FEE" w:rsidRDefault="00223A77" w:rsidP="00223A77">
      <w:pPr>
        <w:pStyle w:val="EndnoteText"/>
        <w:rPr>
          <w:rFonts w:ascii="Tahoma" w:hAnsi="Tahoma" w:cs="Tahoma"/>
          <w:sz w:val="18"/>
          <w:szCs w:val="18"/>
          <w:lang w:val="de-DE"/>
        </w:rPr>
      </w:pP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Ultimate mit MSDN</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Premium mit MSDN</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Professional mit MSDN</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Professional mit MSDN Embedded</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Professional mit MSDN Professional</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Professional mit MSDN Premium</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Team System Team Suite mit MSDN Premium</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Team System Test Edition mit MSDN Premium</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Team System Development Edition mit MSDN Premium</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 xml:space="preserve">Visual Studio Team System Architecture Edition mit MSDN Premium </w:t>
      </w:r>
    </w:p>
    <w:p w:rsidR="00223A77" w:rsidRPr="00BB5519" w:rsidRDefault="00223A77" w:rsidP="005B0791">
      <w:pPr>
        <w:pStyle w:val="FootnoteBulletLevel2"/>
        <w:numPr>
          <w:ilvl w:val="0"/>
          <w:numId w:val="4"/>
        </w:numPr>
        <w:spacing w:before="0" w:after="60"/>
        <w:ind w:left="1440"/>
      </w:pPr>
      <w:r w:rsidRPr="00BB5519">
        <w:rPr>
          <w:rFonts w:ascii="Tahoma" w:hAnsi="Tahoma" w:cs="Tahoma"/>
          <w:sz w:val="18"/>
        </w:rPr>
        <w:t>Visual Studio Team System Database Edition mit MSDN Premium</w:t>
      </w:r>
    </w:p>
    <w:p w:rsidR="00223A77" w:rsidRPr="00BB5519" w:rsidRDefault="00223A77" w:rsidP="005B0791">
      <w:pPr>
        <w:pStyle w:val="FootnoteBulletLevel2"/>
        <w:numPr>
          <w:ilvl w:val="0"/>
          <w:numId w:val="4"/>
        </w:numPr>
        <w:spacing w:before="0" w:after="60"/>
        <w:ind w:left="1440"/>
        <w:rPr>
          <w:lang w:val="de-DE"/>
        </w:rPr>
      </w:pPr>
      <w:r w:rsidRPr="00BB5519">
        <w:rPr>
          <w:rFonts w:ascii="Tahoma" w:hAnsi="Tahoma" w:cs="Tahoma"/>
          <w:sz w:val="18"/>
          <w:lang w:val="de-DE"/>
        </w:rPr>
        <w:t>Aktives Einzelhandelsabonnement für eine der oben genannten Softwareversionen</w:t>
      </w:r>
    </w:p>
    <w:p w:rsidR="00223A77" w:rsidRPr="00BB5519" w:rsidRDefault="00223A77" w:rsidP="005B0791">
      <w:pPr>
        <w:pStyle w:val="FootnoteBulletLevel2"/>
        <w:numPr>
          <w:ilvl w:val="0"/>
          <w:numId w:val="4"/>
        </w:numPr>
        <w:spacing w:before="0" w:after="60"/>
        <w:ind w:left="1440"/>
        <w:rPr>
          <w:lang w:val="de-DE"/>
        </w:rPr>
      </w:pPr>
      <w:r w:rsidRPr="00BB5519">
        <w:rPr>
          <w:rFonts w:ascii="Tahoma" w:hAnsi="Tahoma" w:cs="Tahoma"/>
          <w:sz w:val="18"/>
          <w:lang w:val="de-DE"/>
        </w:rPr>
        <w:t>MSDN Essentials (mit Einzelhandelslizenz für Visual Studio 2010 Professional erworben)</w:t>
      </w:r>
    </w:p>
    <w:p w:rsidR="00223A77" w:rsidRPr="00BB5519" w:rsidRDefault="00223A77" w:rsidP="005B0791">
      <w:pPr>
        <w:pStyle w:val="FootnoteBulletLevel1"/>
        <w:spacing w:before="0" w:after="0"/>
        <w:ind w:left="0" w:firstLine="0"/>
        <w:rPr>
          <w:lang w:val="de-DE"/>
        </w:rPr>
      </w:pPr>
    </w:p>
    <w:p w:rsidR="00223A77" w:rsidRPr="00BB5519" w:rsidRDefault="00223A77" w:rsidP="005B0791">
      <w:pPr>
        <w:pStyle w:val="FootnoteBulletLevel1"/>
        <w:tabs>
          <w:tab w:val="clear" w:pos="900"/>
        </w:tabs>
        <w:spacing w:before="0" w:after="0"/>
        <w:ind w:left="720" w:firstLine="0"/>
        <w:rPr>
          <w:lang w:val="de-DE"/>
        </w:rPr>
      </w:pPr>
      <w:r w:rsidRPr="00BB5519">
        <w:rPr>
          <w:rFonts w:ascii="Tahoma" w:hAnsi="Tahoma" w:cs="Tahoma"/>
          <w:sz w:val="18"/>
          <w:lang w:val="de-DE"/>
        </w:rPr>
        <w:t xml:space="preserve">Konzern-, Select- oder Open Value-Kunden mit aktiver Software Assurance für Visual Studio Professional 2012 mit MSDN können </w:t>
      </w:r>
      <w:hyperlink w:anchor="Step_Up" w:history="1">
        <w:r w:rsidRPr="00BB5519">
          <w:rPr>
            <w:rFonts w:ascii="Tahoma" w:hAnsi="Tahoma" w:cs="Tahoma"/>
            <w:sz w:val="18"/>
            <w:lang w:val="de-DE"/>
          </w:rPr>
          <w:t>Step Up-SKUs</w:t>
        </w:r>
      </w:hyperlink>
      <w:r w:rsidRPr="00BB5519">
        <w:rPr>
          <w:rFonts w:ascii="Tahoma" w:hAnsi="Tahoma" w:cs="Tahoma"/>
          <w:sz w:val="18"/>
          <w:lang w:val="de-DE"/>
        </w:rPr>
        <w:t>für Visual Studio Premium 2012 mit MSDN oder Visual Studio Ultimate 2012 mit MSDN erwerben.</w:t>
      </w:r>
    </w:p>
    <w:p w:rsidR="005B0791" w:rsidRPr="00BB5519" w:rsidRDefault="005B0791" w:rsidP="005B0791">
      <w:pPr>
        <w:pStyle w:val="FootnoteBulletLevel2"/>
        <w:tabs>
          <w:tab w:val="clear" w:pos="1260"/>
        </w:tabs>
        <w:spacing w:before="0"/>
        <w:ind w:left="720" w:firstLine="0"/>
        <w:rPr>
          <w:lang w:val="de-DE"/>
        </w:rPr>
      </w:pPr>
    </w:p>
    <w:p w:rsidR="0055611F" w:rsidRPr="00BB5519" w:rsidRDefault="009B2474" w:rsidP="00354FEE">
      <w:pPr>
        <w:keepNext/>
        <w:keepLines/>
        <w:spacing w:after="60"/>
        <w:ind w:left="720"/>
        <w:rPr>
          <w:lang w:val="de-DE"/>
        </w:rPr>
      </w:pPr>
      <w:r w:rsidRPr="00BB5519">
        <w:rPr>
          <w:rFonts w:cs="Tahoma"/>
          <w:b/>
          <w:lang w:val="de-DE"/>
        </w:rPr>
        <w:t>Abonnementdienste</w:t>
      </w:r>
    </w:p>
    <w:p w:rsidR="0055611F" w:rsidRPr="00BB5519" w:rsidRDefault="0055611F" w:rsidP="005B0791">
      <w:pPr>
        <w:pStyle w:val="FootnoteBulletLevel2"/>
        <w:tabs>
          <w:tab w:val="clear" w:pos="1260"/>
        </w:tabs>
        <w:spacing w:before="0"/>
        <w:ind w:left="720" w:firstLine="0"/>
        <w:rPr>
          <w:lang w:val="de-DE"/>
        </w:rPr>
      </w:pPr>
      <w:r w:rsidRPr="00BB5519">
        <w:rPr>
          <w:rFonts w:ascii="Tahoma" w:hAnsi="Tahoma" w:cs="Tahoma"/>
          <w:sz w:val="18"/>
          <w:lang w:val="de-DE"/>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BB5519" w:rsidRDefault="009B2474" w:rsidP="00021BF7">
      <w:pPr>
        <w:keepNext/>
        <w:keepLines/>
        <w:spacing w:after="60"/>
        <w:ind w:left="720"/>
        <w:rPr>
          <w:lang w:val="de-DE"/>
        </w:rPr>
      </w:pPr>
      <w:r w:rsidRPr="00BB5519">
        <w:rPr>
          <w:rFonts w:cs="Tahoma"/>
          <w:b/>
          <w:lang w:val="de-DE"/>
        </w:rPr>
        <w:lastRenderedPageBreak/>
        <w:t>Windows Azure Platform-Dienste</w:t>
      </w:r>
    </w:p>
    <w:p w:rsidR="0055611F" w:rsidRPr="00BB5519" w:rsidRDefault="0055611F" w:rsidP="005B0791">
      <w:pPr>
        <w:pStyle w:val="FootnoteBulletLevel2"/>
        <w:tabs>
          <w:tab w:val="clear" w:pos="1260"/>
        </w:tabs>
        <w:spacing w:before="0"/>
        <w:ind w:left="720" w:firstLine="0"/>
        <w:rPr>
          <w:lang w:val="de-DE"/>
        </w:rPr>
      </w:pPr>
      <w:r w:rsidRPr="00BB5519">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354FEE" w:rsidRPr="00CB1EDE" w:rsidRDefault="00354FEE" w:rsidP="00354FEE">
      <w:pPr>
        <w:pStyle w:val="FootnoteBulletLevel2"/>
        <w:tabs>
          <w:tab w:val="clear" w:pos="1260"/>
        </w:tabs>
        <w:spacing w:before="0"/>
        <w:ind w:left="0" w:firstLine="0"/>
        <w:rPr>
          <w:rFonts w:ascii="Tahoma" w:hAnsi="Tahoma" w:cs="Tahoma"/>
          <w:sz w:val="18"/>
          <w:lang w:val="de-DE"/>
        </w:rPr>
      </w:pPr>
      <w:bookmarkStart w:id="1122" w:name="_Toc336338277"/>
      <w:bookmarkStart w:id="1123" w:name="_Toc252341837"/>
      <w:bookmarkStart w:id="1124" w:name="Aps_16VS2010PremiumMSDN"/>
    </w:p>
    <w:p w:rsidR="00354FEE" w:rsidRPr="00CB1EDE" w:rsidRDefault="00354FEE" w:rsidP="00354FEE">
      <w:pPr>
        <w:pStyle w:val="FootnoteBulletLevel2"/>
        <w:tabs>
          <w:tab w:val="clear" w:pos="1260"/>
        </w:tabs>
        <w:spacing w:before="0"/>
        <w:ind w:left="0" w:firstLine="0"/>
        <w:rPr>
          <w:rFonts w:ascii="Tahoma" w:hAnsi="Tahoma" w:cs="Tahoma"/>
          <w:sz w:val="18"/>
          <w:lang w:val="de-DE"/>
        </w:rPr>
      </w:pPr>
    </w:p>
    <w:p w:rsidR="00223A77" w:rsidRPr="00BB5519" w:rsidRDefault="004668D9" w:rsidP="00223A77">
      <w:pPr>
        <w:pStyle w:val="Heading3"/>
      </w:pPr>
      <w:bookmarkStart w:id="1125" w:name="_21_Visual_Studio"/>
      <w:bookmarkStart w:id="1126" w:name="_Toc354054974"/>
      <w:bookmarkEnd w:id="1125"/>
      <w:r w:rsidRPr="00BB5519">
        <w:rPr>
          <w:rFonts w:ascii="Tahoma" w:hAnsi="Tahoma"/>
          <w:caps/>
          <w:color w:val="F66400"/>
          <w:sz w:val="22"/>
          <w:vertAlign w:val="superscript"/>
        </w:rPr>
        <w:t>21</w:t>
      </w:r>
      <w:r w:rsidRPr="00BB5519">
        <w:rPr>
          <w:rFonts w:ascii="Tahoma" w:hAnsi="Tahoma"/>
          <w:color w:val="F66400"/>
          <w:sz w:val="22"/>
        </w:rPr>
        <w:t xml:space="preserve"> Visual Studio Premium 2012 mit MSDN</w:t>
      </w:r>
      <w:bookmarkEnd w:id="1122"/>
      <w:bookmarkEnd w:id="1126"/>
      <w:r w:rsidRPr="00BB5519">
        <w:rPr>
          <w:rFonts w:ascii="Tahoma" w:hAnsi="Tahoma"/>
          <w:color w:val="F66400"/>
          <w:sz w:val="22"/>
        </w:rPr>
        <w:t xml:space="preserve"> </w:t>
      </w:r>
      <w:bookmarkEnd w:id="1123"/>
    </w:p>
    <w:bookmarkEnd w:id="1124"/>
    <w:p w:rsidR="00354FEE" w:rsidRPr="0055611F" w:rsidRDefault="00354FEE" w:rsidP="00354FEE">
      <w:pPr>
        <w:pStyle w:val="FootnoteBulletLevel2"/>
        <w:tabs>
          <w:tab w:val="clear" w:pos="1260"/>
        </w:tabs>
        <w:spacing w:before="0"/>
        <w:ind w:left="0" w:firstLine="0"/>
        <w:rPr>
          <w:rFonts w:ascii="Tahoma" w:hAnsi="Tahoma" w:cs="Tahoma"/>
          <w:sz w:val="18"/>
        </w:rPr>
      </w:pPr>
    </w:p>
    <w:p w:rsidR="001026FD" w:rsidRPr="00BB5519" w:rsidRDefault="001026FD" w:rsidP="00864B8A">
      <w:pPr>
        <w:spacing w:after="60"/>
        <w:ind w:left="720"/>
      </w:pPr>
      <w:r w:rsidRPr="00BB5519">
        <w:rPr>
          <w:rFonts w:cs="Tahoma"/>
          <w:b/>
        </w:rPr>
        <w:t>Visual Studio Team Foundation Server 2012</w:t>
      </w:r>
    </w:p>
    <w:p w:rsidR="001026FD" w:rsidRPr="00BB5519" w:rsidRDefault="001026FD" w:rsidP="00CB436E">
      <w:pPr>
        <w:pStyle w:val="EndnoteText"/>
        <w:ind w:left="720"/>
        <w:rPr>
          <w:lang w:val="de-DE"/>
        </w:rPr>
      </w:pPr>
      <w:r w:rsidRPr="00BB5519">
        <w:rPr>
          <w:rFonts w:ascii="Tahoma" w:hAnsi="Tahoma" w:cs="Tahoma"/>
          <w:sz w:val="18"/>
          <w:lang w:val="de-DE"/>
        </w:rPr>
        <w:t>Der Abonnent ist zu einer Serverlizenz für Visual Studio Team Foundation Server 2012 und zu einer Nutzer-CAL für Team Foundation Server berechtigt.</w:t>
      </w:r>
      <w:r w:rsidR="009E4976" w:rsidRPr="00BB5519">
        <w:rPr>
          <w:rFonts w:ascii="Tahoma" w:hAnsi="Tahoma" w:cs="Tahoma"/>
          <w:sz w:val="18"/>
          <w:lang w:val="de-DE"/>
        </w:rPr>
        <w:t xml:space="preserve"> </w:t>
      </w:r>
      <w:r w:rsidRPr="00BB5519">
        <w:rPr>
          <w:rFonts w:ascii="Tahoma" w:hAnsi="Tahoma" w:cs="Tahoma"/>
          <w:sz w:val="18"/>
          <w:lang w:val="de-DE"/>
        </w:rPr>
        <w:t>Die Verwendung der CAL ist ausschließlich dem Abonnenten vorbehalten.</w:t>
      </w:r>
    </w:p>
    <w:p w:rsidR="00354FEE" w:rsidRPr="00CB1EDE" w:rsidRDefault="00354FEE" w:rsidP="00354FEE">
      <w:pPr>
        <w:pStyle w:val="FootnoteBulletLevel2"/>
        <w:tabs>
          <w:tab w:val="clear" w:pos="1260"/>
        </w:tabs>
        <w:spacing w:before="0"/>
        <w:ind w:left="0" w:firstLine="0"/>
        <w:rPr>
          <w:rFonts w:ascii="Tahoma" w:hAnsi="Tahoma" w:cs="Tahoma"/>
          <w:sz w:val="18"/>
          <w:lang w:val="de-DE"/>
        </w:rPr>
      </w:pPr>
    </w:p>
    <w:p w:rsidR="001026FD" w:rsidRPr="00CB1EDE" w:rsidRDefault="001026FD" w:rsidP="00864B8A">
      <w:pPr>
        <w:spacing w:after="60"/>
        <w:ind w:left="720"/>
        <w:rPr>
          <w:lang w:val="de-DE"/>
        </w:rPr>
      </w:pPr>
      <w:r w:rsidRPr="00CB1EDE">
        <w:rPr>
          <w:rFonts w:cs="Tahoma"/>
          <w:b/>
          <w:lang w:val="de-DE"/>
        </w:rPr>
        <w:t>SQL Server Parallel Data Warehouse Developer</w:t>
      </w:r>
    </w:p>
    <w:p w:rsidR="001026FD" w:rsidRPr="00BB5519" w:rsidRDefault="001026FD" w:rsidP="00CB436E">
      <w:pPr>
        <w:pStyle w:val="EndnoteText"/>
        <w:ind w:left="720"/>
        <w:rPr>
          <w:lang w:val="de-DE"/>
        </w:rPr>
      </w:pPr>
      <w:r w:rsidRPr="00BB5519">
        <w:rPr>
          <w:rFonts w:ascii="Tahoma" w:hAnsi="Tahoma" w:cs="Tahoma"/>
          <w:sz w:val="18"/>
          <w:lang w:val="de-DE"/>
        </w:rPr>
        <w:t>Der Abonnent ist zu einer Lizenz für SQL Server 2008 R2 Parallel Data Warehouse Developer berechtigt.</w:t>
      </w:r>
    </w:p>
    <w:p w:rsidR="00354FEE" w:rsidRPr="00CB1EDE" w:rsidRDefault="00354FEE" w:rsidP="00354FEE">
      <w:pPr>
        <w:pStyle w:val="FootnoteBulletLevel2"/>
        <w:tabs>
          <w:tab w:val="clear" w:pos="1260"/>
        </w:tabs>
        <w:spacing w:before="0"/>
        <w:ind w:left="0" w:firstLine="0"/>
        <w:rPr>
          <w:rFonts w:ascii="Tahoma" w:hAnsi="Tahoma" w:cs="Tahoma"/>
          <w:sz w:val="18"/>
          <w:lang w:val="de-DE"/>
        </w:rPr>
      </w:pPr>
    </w:p>
    <w:p w:rsidR="00223A77" w:rsidRPr="00BB5519" w:rsidRDefault="009B2474" w:rsidP="00864B8A">
      <w:pPr>
        <w:spacing w:after="60"/>
        <w:ind w:left="720"/>
        <w:rPr>
          <w:lang w:val="de-DE"/>
        </w:rPr>
      </w:pPr>
      <w:r w:rsidRPr="00BB5519">
        <w:rPr>
          <w:rFonts w:cs="Tahoma"/>
          <w:b/>
          <w:lang w:val="de-DE"/>
        </w:rPr>
        <w:t>Software Assurance-Berechtigung</w:t>
      </w:r>
    </w:p>
    <w:p w:rsidR="00BE4D27" w:rsidRPr="00BB5519" w:rsidRDefault="00223A77" w:rsidP="00BE4D27">
      <w:pPr>
        <w:pStyle w:val="EndnoteText"/>
        <w:rPr>
          <w:lang w:val="de-DE"/>
        </w:rPr>
      </w:pPr>
      <w:r w:rsidRPr="00BB5519">
        <w:rPr>
          <w:rFonts w:ascii="Tahoma" w:hAnsi="Tahoma" w:cs="Tahoma"/>
          <w:sz w:val="18"/>
          <w:lang w:val="de-DE"/>
        </w:rPr>
        <w:t>Kunden, deren Software Assurance für eines der folgenden Produkte abläuft, sind berechtigt, diese als Software Assurance für Visual Studio Premium 2012 mit MSDN zu verlängern. Bei Verlängerung auf einer anderen MSDN-Abonnementebene ersetzen die neuen Nutzungsbestimmungen die alten, und jegliche Software, die nicht im neuen MSDN-Abonnement enthalten ist, muss entfernt werden.</w:t>
      </w:r>
    </w:p>
    <w:p w:rsidR="00354FEE" w:rsidRPr="00CB1EDE" w:rsidRDefault="00354FEE" w:rsidP="00354FEE">
      <w:pPr>
        <w:pStyle w:val="FootnoteBulletLevel2"/>
        <w:tabs>
          <w:tab w:val="clear" w:pos="1260"/>
        </w:tabs>
        <w:spacing w:before="0"/>
        <w:ind w:left="1620" w:firstLine="0"/>
        <w:rPr>
          <w:rFonts w:ascii="Tahoma" w:hAnsi="Tahoma" w:cs="Tahoma"/>
          <w:sz w:val="18"/>
          <w:lang w:val="de-DE"/>
        </w:rPr>
      </w:pP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Visual Studio Ultimate mit MSDN</w:t>
      </w: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Visual Studio Premium mit MSDN</w:t>
      </w: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Visual Studio Professional mit MSDN Premium</w:t>
      </w: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Visual Studio Team System Team Suite mit MSDN Premium</w:t>
      </w: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Visual Studio Team System Test Edition mit MSDN Premium</w:t>
      </w: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Visual Studio Team System Development Edition mit MSDN Premium</w:t>
      </w: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 xml:space="preserve">Visual Studio Team System Architecture Edition mit MSDN Premium </w:t>
      </w: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Visual Studio Team System Database Edition mit MSDN Premium</w:t>
      </w:r>
    </w:p>
    <w:p w:rsidR="00223A77" w:rsidRPr="00BB5519" w:rsidRDefault="00223A77" w:rsidP="00CB436E">
      <w:pPr>
        <w:pStyle w:val="FootnoteBulletLevel2"/>
        <w:numPr>
          <w:ilvl w:val="0"/>
          <w:numId w:val="6"/>
        </w:numPr>
        <w:spacing w:before="0" w:after="60"/>
        <w:ind w:left="1440"/>
        <w:rPr>
          <w:lang w:val="de-DE"/>
        </w:rPr>
      </w:pPr>
      <w:r w:rsidRPr="00BB5519">
        <w:rPr>
          <w:rFonts w:ascii="Tahoma" w:hAnsi="Tahoma" w:cs="Tahoma"/>
          <w:sz w:val="18"/>
          <w:lang w:val="de-DE"/>
        </w:rPr>
        <w:t>Aktives Einzelhandelsabonnement für eine der oben genannten Softwareversionen</w:t>
      </w:r>
    </w:p>
    <w:p w:rsidR="00223A77" w:rsidRPr="00BB5519" w:rsidRDefault="00223A77" w:rsidP="00CB436E">
      <w:pPr>
        <w:pStyle w:val="FootnoteBulletLevel1"/>
        <w:spacing w:before="0" w:after="0"/>
        <w:ind w:left="907" w:firstLine="0"/>
        <w:rPr>
          <w:lang w:val="de-DE"/>
        </w:rPr>
      </w:pPr>
    </w:p>
    <w:p w:rsidR="00223A77" w:rsidRPr="00BB5519" w:rsidRDefault="00223A77" w:rsidP="001336FF">
      <w:pPr>
        <w:pStyle w:val="FootnoteBulletLevel1"/>
        <w:tabs>
          <w:tab w:val="clear" w:pos="900"/>
        </w:tabs>
        <w:spacing w:before="0" w:after="0"/>
        <w:ind w:left="720" w:firstLine="0"/>
        <w:rPr>
          <w:lang w:val="de-DE"/>
        </w:rPr>
      </w:pPr>
      <w:r w:rsidRPr="00BB5519">
        <w:rPr>
          <w:rFonts w:ascii="Tahoma" w:hAnsi="Tahoma" w:cs="Tahoma"/>
          <w:sz w:val="18"/>
          <w:lang w:val="de-DE"/>
        </w:rPr>
        <w:t>Kunden, deren Software Assurance für Visual Studio Premium 2012 mit MSDN abläuft, sind berechtigt, diese</w:t>
      </w:r>
      <w:r w:rsidR="001336FF">
        <w:rPr>
          <w:rFonts w:ascii="Tahoma" w:hAnsi="Tahoma" w:cs="Tahoma"/>
          <w:sz w:val="18"/>
          <w:lang w:val="de-DE"/>
        </w:rPr>
        <w:t> </w:t>
      </w:r>
      <w:r w:rsidRPr="00BB5519">
        <w:rPr>
          <w:rFonts w:ascii="Tahoma" w:hAnsi="Tahoma" w:cs="Tahoma"/>
          <w:sz w:val="18"/>
          <w:lang w:val="de-DE"/>
        </w:rPr>
        <w:t xml:space="preserve">als Software Assurance für Folgendes zu verlängern: </w:t>
      </w:r>
    </w:p>
    <w:p w:rsidR="00CB436E" w:rsidRPr="00BB5519" w:rsidRDefault="00CB436E" w:rsidP="00CB436E">
      <w:pPr>
        <w:pStyle w:val="FootnoteBulletLevel1"/>
        <w:spacing w:before="0" w:after="0"/>
        <w:ind w:left="907" w:firstLine="0"/>
        <w:rPr>
          <w:lang w:val="de-DE"/>
        </w:rPr>
      </w:pP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Visual Studio Professional mit MSDN</w:t>
      </w:r>
    </w:p>
    <w:p w:rsidR="006771C8" w:rsidRPr="00BB5519" w:rsidRDefault="006771C8" w:rsidP="00CB436E">
      <w:pPr>
        <w:pStyle w:val="FootnoteBulletLevel2"/>
        <w:numPr>
          <w:ilvl w:val="0"/>
          <w:numId w:val="6"/>
        </w:numPr>
        <w:spacing w:before="0" w:after="60"/>
        <w:ind w:left="1440"/>
      </w:pPr>
      <w:r w:rsidRPr="00BB5519">
        <w:rPr>
          <w:rFonts w:ascii="Tahoma" w:hAnsi="Tahoma" w:cs="Tahoma"/>
          <w:sz w:val="18"/>
        </w:rPr>
        <w:t>Visual Studio Test Professional mit MSDN</w:t>
      </w:r>
    </w:p>
    <w:p w:rsidR="00223A77" w:rsidRPr="00BB5519" w:rsidRDefault="00223A77" w:rsidP="00CB436E">
      <w:pPr>
        <w:pStyle w:val="FootnoteBulletLevel2"/>
        <w:numPr>
          <w:ilvl w:val="0"/>
          <w:numId w:val="6"/>
        </w:numPr>
        <w:spacing w:before="0" w:after="60"/>
        <w:ind w:left="1440"/>
      </w:pPr>
      <w:r w:rsidRPr="00BB5519">
        <w:rPr>
          <w:rFonts w:ascii="Tahoma" w:hAnsi="Tahoma" w:cs="Tahoma"/>
          <w:sz w:val="18"/>
        </w:rPr>
        <w:t>MSDN-Betriebssysteme</w:t>
      </w:r>
    </w:p>
    <w:p w:rsidR="00223A77" w:rsidRPr="00BB5519" w:rsidRDefault="00223A77" w:rsidP="00CB436E">
      <w:pPr>
        <w:pStyle w:val="FootnoteBulletLevel1"/>
        <w:spacing w:before="0" w:after="0"/>
        <w:ind w:left="907" w:firstLine="0"/>
      </w:pPr>
    </w:p>
    <w:p w:rsidR="0055611F" w:rsidRPr="00BB5519" w:rsidRDefault="00223A77" w:rsidP="00076CB4">
      <w:pPr>
        <w:pStyle w:val="FootnoteBulletLevel1"/>
        <w:tabs>
          <w:tab w:val="clear" w:pos="900"/>
        </w:tabs>
        <w:spacing w:before="0" w:after="0"/>
        <w:ind w:left="720" w:firstLine="0"/>
      </w:pPr>
      <w:r w:rsidRPr="00BB5519">
        <w:rPr>
          <w:rFonts w:ascii="Tahoma" w:hAnsi="Tahoma" w:cs="Tahoma"/>
          <w:sz w:val="18"/>
        </w:rPr>
        <w:t xml:space="preserve">Konzern-, Select- oder Open Value-Kunden mit aktiver Software Assurance für Visual Studio Premium 2012 mit MSDN können eine </w:t>
      </w:r>
      <w:hyperlink w:anchor="Step_Up" w:history="1">
        <w:r w:rsidRPr="00BB5519">
          <w:rPr>
            <w:rFonts w:ascii="Tahoma" w:hAnsi="Tahoma" w:cs="Tahoma"/>
            <w:sz w:val="18"/>
            <w:szCs w:val="24"/>
          </w:rPr>
          <w:t>Step-Up SKU</w:t>
        </w:r>
      </w:hyperlink>
      <w:r w:rsidRPr="00BB5519">
        <w:rPr>
          <w:rFonts w:ascii="Tahoma" w:hAnsi="Tahoma" w:cs="Tahoma"/>
          <w:sz w:val="18"/>
        </w:rPr>
        <w:t xml:space="preserve"> für Visual Studio 2012 Ultimate mit MSDN erwerben.</w:t>
      </w:r>
    </w:p>
    <w:p w:rsidR="00CB436E" w:rsidRPr="00BB5519" w:rsidRDefault="00CB436E" w:rsidP="00076CB4">
      <w:pPr>
        <w:pStyle w:val="FootnoteBulletLevel2"/>
        <w:tabs>
          <w:tab w:val="clear" w:pos="1260"/>
        </w:tabs>
        <w:spacing w:before="0"/>
        <w:ind w:left="720" w:firstLine="0"/>
      </w:pPr>
    </w:p>
    <w:p w:rsidR="0055611F" w:rsidRPr="00BB5519" w:rsidRDefault="0055611F" w:rsidP="00864B8A">
      <w:pPr>
        <w:spacing w:after="60"/>
        <w:ind w:left="720"/>
      </w:pPr>
      <w:r w:rsidRPr="00BB5519">
        <w:rPr>
          <w:rFonts w:cs="Tahoma"/>
          <w:b/>
        </w:rPr>
        <w:t>Abonnementdienste</w:t>
      </w:r>
    </w:p>
    <w:p w:rsidR="0055611F" w:rsidRPr="00BB5519" w:rsidRDefault="0055611F" w:rsidP="00076CB4">
      <w:pPr>
        <w:pStyle w:val="FootnoteBulletLevel2"/>
        <w:tabs>
          <w:tab w:val="clear" w:pos="1260"/>
        </w:tabs>
        <w:spacing w:before="0"/>
        <w:ind w:left="720" w:firstLine="0"/>
      </w:pPr>
      <w:r w:rsidRPr="00BB5519">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BB5519" w:rsidRDefault="0055611F" w:rsidP="00076CB4">
      <w:pPr>
        <w:pStyle w:val="FootnoteBulletLevel1"/>
        <w:tabs>
          <w:tab w:val="clear" w:pos="900"/>
        </w:tabs>
        <w:spacing w:before="0" w:after="0"/>
        <w:ind w:left="720" w:firstLine="0"/>
      </w:pPr>
    </w:p>
    <w:p w:rsidR="0055611F" w:rsidRPr="00BB5519" w:rsidRDefault="009B2474" w:rsidP="00864B8A">
      <w:pPr>
        <w:spacing w:after="60"/>
        <w:ind w:left="720"/>
        <w:rPr>
          <w:lang w:val="de-DE"/>
        </w:rPr>
      </w:pPr>
      <w:r w:rsidRPr="00BB5519">
        <w:rPr>
          <w:rFonts w:cs="Tahoma"/>
          <w:b/>
          <w:lang w:val="de-DE"/>
        </w:rPr>
        <w:t>Windows Azure Platform-Dienste</w:t>
      </w:r>
    </w:p>
    <w:p w:rsidR="0055611F" w:rsidRPr="00BB5519" w:rsidRDefault="0055611F" w:rsidP="00076CB4">
      <w:pPr>
        <w:pStyle w:val="FootnoteBulletLevel2"/>
        <w:tabs>
          <w:tab w:val="clear" w:pos="1260"/>
        </w:tabs>
        <w:spacing w:before="0"/>
        <w:ind w:left="720" w:firstLine="0"/>
        <w:rPr>
          <w:lang w:val="de-DE"/>
        </w:rPr>
      </w:pPr>
      <w:r w:rsidRPr="00BB5519">
        <w:rPr>
          <w:rFonts w:ascii="Tahoma" w:hAnsi="Tahoma" w:cs="Tahoma"/>
          <w:sz w:val="18"/>
          <w:lang w:val="de-DE"/>
        </w:rPr>
        <w:t>Windows Azure-Vergünstigungen aus mehreren MSDN-Abonnements können nicht in einem Windows Azure-Account kombiniert werden. Die Verwendung von Windows Azure unterliegt den Nutzungsbestimmungen für Windows Azure.</w:t>
      </w:r>
    </w:p>
    <w:p w:rsidR="0055611F" w:rsidRPr="00BB5519" w:rsidRDefault="0055611F" w:rsidP="00CB436E">
      <w:pPr>
        <w:pStyle w:val="FootnoteBulletLevel2"/>
        <w:tabs>
          <w:tab w:val="clear" w:pos="1260"/>
        </w:tabs>
        <w:spacing w:before="0"/>
        <w:ind w:left="0" w:firstLine="0"/>
        <w:rPr>
          <w:lang w:val="de-DE"/>
        </w:rPr>
      </w:pPr>
    </w:p>
    <w:p w:rsidR="00E03856" w:rsidRPr="00BB5519" w:rsidRDefault="00E03856" w:rsidP="00CB436E">
      <w:pPr>
        <w:pStyle w:val="FootnoteBulletLevel2"/>
        <w:tabs>
          <w:tab w:val="clear" w:pos="1260"/>
        </w:tabs>
        <w:spacing w:before="0"/>
        <w:ind w:left="0" w:firstLine="0"/>
        <w:rPr>
          <w:lang w:val="de-DE"/>
        </w:rPr>
      </w:pPr>
    </w:p>
    <w:p w:rsidR="00223A77" w:rsidRPr="00BB5519" w:rsidRDefault="004668D9" w:rsidP="00223A77">
      <w:pPr>
        <w:pStyle w:val="Heading3"/>
        <w:rPr>
          <w:lang w:val="de-DE"/>
        </w:rPr>
      </w:pPr>
      <w:bookmarkStart w:id="1127" w:name="_22_Visual_Studio"/>
      <w:bookmarkStart w:id="1128" w:name="_Toc336338278"/>
      <w:bookmarkStart w:id="1129" w:name="_Toc354054975"/>
      <w:bookmarkStart w:id="1130" w:name="Aps_18VS2010UltimateMSDN"/>
      <w:bookmarkEnd w:id="1127"/>
      <w:r w:rsidRPr="00BB5519">
        <w:rPr>
          <w:rFonts w:ascii="Tahoma" w:hAnsi="Tahoma"/>
          <w:caps/>
          <w:color w:val="F66400"/>
          <w:sz w:val="22"/>
          <w:vertAlign w:val="superscript"/>
          <w:lang w:val="de-DE"/>
        </w:rPr>
        <w:lastRenderedPageBreak/>
        <w:t>22</w:t>
      </w:r>
      <w:r w:rsidRPr="00BB5519">
        <w:rPr>
          <w:rFonts w:ascii="Tahoma" w:hAnsi="Tahoma"/>
          <w:color w:val="F66400"/>
          <w:sz w:val="22"/>
          <w:lang w:val="de-DE"/>
        </w:rPr>
        <w:t xml:space="preserve"> Visual Studio Ultimate 2012 mit MSDN</w:t>
      </w:r>
      <w:bookmarkEnd w:id="1128"/>
      <w:bookmarkEnd w:id="1129"/>
      <w:r w:rsidRPr="00BB5519">
        <w:rPr>
          <w:rFonts w:ascii="Tahoma" w:hAnsi="Tahoma"/>
          <w:color w:val="F66400"/>
          <w:sz w:val="22"/>
          <w:lang w:val="de-DE"/>
        </w:rPr>
        <w:t xml:space="preserve"> </w:t>
      </w:r>
    </w:p>
    <w:bookmarkEnd w:id="1130"/>
    <w:p w:rsidR="0032113C" w:rsidRPr="00BB5519" w:rsidRDefault="0032113C" w:rsidP="007A4659">
      <w:pPr>
        <w:adjustRightInd w:val="0"/>
        <w:ind w:left="540"/>
        <w:textAlignment w:val="baseline"/>
        <w:rPr>
          <w:lang w:val="de-DE"/>
        </w:rPr>
      </w:pPr>
    </w:p>
    <w:p w:rsidR="001026FD" w:rsidRPr="00BB5519" w:rsidRDefault="001026FD" w:rsidP="00864B8A">
      <w:pPr>
        <w:spacing w:after="60"/>
        <w:ind w:left="720"/>
        <w:rPr>
          <w:lang w:val="de-DE"/>
        </w:rPr>
      </w:pPr>
      <w:r w:rsidRPr="00BB5519">
        <w:rPr>
          <w:rFonts w:cs="Tahoma"/>
          <w:b/>
          <w:lang w:val="de-DE"/>
        </w:rPr>
        <w:t>Visual Studio Team Foundation Server 2012</w:t>
      </w:r>
    </w:p>
    <w:p w:rsidR="001026FD" w:rsidRPr="00BB5519" w:rsidRDefault="001026FD" w:rsidP="007A4659">
      <w:pPr>
        <w:pStyle w:val="EndnoteText"/>
        <w:ind w:left="720"/>
        <w:rPr>
          <w:lang w:val="de-DE"/>
        </w:rPr>
      </w:pPr>
      <w:r w:rsidRPr="00BB5519">
        <w:rPr>
          <w:rFonts w:ascii="Tahoma" w:hAnsi="Tahoma" w:cs="Tahoma"/>
          <w:sz w:val="18"/>
          <w:lang w:val="de-DE"/>
        </w:rPr>
        <w:t>Der Abonnent ist zu einer Serverlizenz für Visual Studio Team Foundation Server 2012 und zu einer Nutzer-CAL für Team Foundation Server berechtigt.</w:t>
      </w:r>
      <w:r w:rsidR="009E4976" w:rsidRPr="00BB5519">
        <w:rPr>
          <w:rFonts w:ascii="Tahoma" w:hAnsi="Tahoma" w:cs="Tahoma"/>
          <w:sz w:val="18"/>
          <w:lang w:val="de-DE"/>
        </w:rPr>
        <w:t xml:space="preserve"> </w:t>
      </w:r>
      <w:r w:rsidRPr="00BB5519">
        <w:rPr>
          <w:rFonts w:ascii="Tahoma" w:hAnsi="Tahoma" w:cs="Tahoma"/>
          <w:sz w:val="18"/>
          <w:lang w:val="de-DE"/>
        </w:rPr>
        <w:t>Die Verwendung der CAL ist ausschließlich dem Abonnenten vorbehalten.</w:t>
      </w:r>
    </w:p>
    <w:p w:rsidR="00354FEE" w:rsidRPr="00BB5519" w:rsidRDefault="00354FEE" w:rsidP="00354FEE">
      <w:pPr>
        <w:adjustRightInd w:val="0"/>
        <w:ind w:left="540"/>
        <w:textAlignment w:val="baseline"/>
        <w:rPr>
          <w:lang w:val="de-DE"/>
        </w:rPr>
      </w:pPr>
    </w:p>
    <w:p w:rsidR="001026FD" w:rsidRPr="00CB1EDE" w:rsidRDefault="001026FD" w:rsidP="00864B8A">
      <w:pPr>
        <w:spacing w:after="60"/>
        <w:ind w:left="720"/>
        <w:rPr>
          <w:lang w:val="de-DE"/>
        </w:rPr>
      </w:pPr>
      <w:r w:rsidRPr="00CB1EDE">
        <w:rPr>
          <w:rFonts w:cs="Tahoma"/>
          <w:b/>
          <w:lang w:val="de-DE"/>
        </w:rPr>
        <w:t>SQL Server Parallel Data Warehouse Developer</w:t>
      </w:r>
    </w:p>
    <w:p w:rsidR="001026FD" w:rsidRPr="00BB5519" w:rsidRDefault="001026FD" w:rsidP="007A4659">
      <w:pPr>
        <w:pStyle w:val="EndnoteText"/>
        <w:ind w:left="720"/>
        <w:rPr>
          <w:lang w:val="de-DE"/>
        </w:rPr>
      </w:pPr>
      <w:r w:rsidRPr="00BB5519">
        <w:rPr>
          <w:rFonts w:ascii="Tahoma" w:hAnsi="Tahoma" w:cs="Tahoma"/>
          <w:sz w:val="18"/>
          <w:lang w:val="de-DE"/>
        </w:rPr>
        <w:t>Der Abonnent ist zu einer Lizenz für SQL Server 2008 R2 Parallel Data Warehouse Developer berechtigt.</w:t>
      </w:r>
    </w:p>
    <w:p w:rsidR="00354FEE" w:rsidRPr="00BB5519" w:rsidRDefault="00354FEE" w:rsidP="00354FEE">
      <w:pPr>
        <w:adjustRightInd w:val="0"/>
        <w:ind w:left="540"/>
        <w:textAlignment w:val="baseline"/>
        <w:rPr>
          <w:lang w:val="de-DE"/>
        </w:rPr>
      </w:pPr>
    </w:p>
    <w:p w:rsidR="0032113C" w:rsidRPr="00BB5519" w:rsidRDefault="0032113C" w:rsidP="00864B8A">
      <w:pPr>
        <w:spacing w:after="60"/>
        <w:ind w:left="720"/>
        <w:rPr>
          <w:lang w:val="de-DE"/>
        </w:rPr>
      </w:pPr>
      <w:r w:rsidRPr="00BB5519">
        <w:rPr>
          <w:rFonts w:cs="Tahoma"/>
          <w:b/>
          <w:lang w:val="de-DE"/>
        </w:rPr>
        <w:t>Software Assurance-Berechtigung</w:t>
      </w:r>
    </w:p>
    <w:p w:rsidR="0032113C" w:rsidRPr="00354FEE" w:rsidRDefault="0032113C" w:rsidP="00101859">
      <w:pPr>
        <w:pStyle w:val="EndnoteText"/>
        <w:rPr>
          <w:rFonts w:ascii="Tahoma" w:hAnsi="Tahoma" w:cs="Tahoma"/>
          <w:sz w:val="18"/>
          <w:lang w:val="de-DE"/>
        </w:rPr>
      </w:pPr>
      <w:r w:rsidRPr="00354FEE">
        <w:rPr>
          <w:rFonts w:ascii="Tahoma" w:hAnsi="Tahoma" w:cs="Tahoma"/>
          <w:sz w:val="18"/>
          <w:lang w:val="de-DE"/>
        </w:rPr>
        <w:t xml:space="preserve">Kunden, deren Software Assurance für eines der folgenden Produkte abläuft, sind berechtigt, diese als Software Assurance für Visual Studio Ultimate 2012 mit MSDN zu verlängern. </w:t>
      </w:r>
      <w:r w:rsidRPr="00BB5519">
        <w:rPr>
          <w:rFonts w:ascii="Tahoma" w:hAnsi="Tahoma" w:cs="Tahoma"/>
          <w:sz w:val="18"/>
          <w:lang w:val="de-DE"/>
        </w:rPr>
        <w:t>Bei Verlängerung auf einer anderen MSDN-Abonnementebene ersetzen die neuen Nutzungsbestimmungen die alten, und jegliche Software, die nicht im neuen MSDN-Abonnement enthalten ist, muss entfernt werden.</w:t>
      </w:r>
    </w:p>
    <w:p w:rsidR="00354FEE" w:rsidRPr="00354FEE" w:rsidRDefault="00354FEE" w:rsidP="00354FEE">
      <w:pPr>
        <w:pStyle w:val="ListParagraph"/>
        <w:adjustRightInd w:val="0"/>
        <w:ind w:left="1620"/>
        <w:textAlignment w:val="baseline"/>
        <w:rPr>
          <w:rFonts w:ascii="Tahoma" w:hAnsi="Tahoma" w:cs="Tahoma"/>
          <w:sz w:val="18"/>
          <w:szCs w:val="18"/>
          <w:lang w:val="de-DE"/>
        </w:rPr>
      </w:pP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Visual Studio Ultimate mit MSDN</w:t>
      </w: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Visual Studio Team System Team Suite mit MSDN Premium</w:t>
      </w: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Visual Studio Team System Test Edition mit MSDN Premium</w:t>
      </w: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Visual Studio Team System Development Edition mit MSDN Premium</w:t>
      </w: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 xml:space="preserve">Visual Studio Team System Architecture Edition mit MSDN Premium </w:t>
      </w: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Visual Studio Team System Database Edition mit MSDN Premium</w:t>
      </w:r>
    </w:p>
    <w:p w:rsidR="0032113C" w:rsidRPr="00BB5519" w:rsidRDefault="0032113C" w:rsidP="007A4659">
      <w:pPr>
        <w:numPr>
          <w:ilvl w:val="0"/>
          <w:numId w:val="6"/>
        </w:numPr>
        <w:adjustRightInd w:val="0"/>
        <w:snapToGrid w:val="0"/>
        <w:spacing w:after="60"/>
        <w:ind w:left="1440"/>
        <w:textAlignment w:val="baseline"/>
        <w:rPr>
          <w:lang w:val="de-DE"/>
        </w:rPr>
      </w:pPr>
      <w:r w:rsidRPr="00BB5519">
        <w:rPr>
          <w:rFonts w:cs="Tahoma"/>
          <w:szCs w:val="24"/>
          <w:lang w:val="de-DE"/>
        </w:rPr>
        <w:t>Aktives Einzelhandelsabonnement für eine der oben genannten Softwareversionen</w:t>
      </w:r>
    </w:p>
    <w:p w:rsidR="0032113C" w:rsidRPr="00BB5519" w:rsidRDefault="0032113C" w:rsidP="007A4659">
      <w:pPr>
        <w:tabs>
          <w:tab w:val="num" w:pos="900"/>
        </w:tabs>
        <w:adjustRightInd w:val="0"/>
        <w:ind w:left="1440"/>
        <w:textAlignment w:val="baseline"/>
        <w:rPr>
          <w:lang w:val="de-DE"/>
        </w:rPr>
      </w:pPr>
    </w:p>
    <w:p w:rsidR="0032113C" w:rsidRPr="00BB5519" w:rsidRDefault="0032113C" w:rsidP="007A4659">
      <w:pPr>
        <w:adjustRightInd w:val="0"/>
        <w:ind w:left="720"/>
        <w:textAlignment w:val="baseline"/>
        <w:rPr>
          <w:lang w:val="de-DE"/>
        </w:rPr>
      </w:pPr>
      <w:r w:rsidRPr="00BB5519">
        <w:rPr>
          <w:rFonts w:cs="Tahoma"/>
          <w:szCs w:val="20"/>
          <w:lang w:val="de-DE"/>
        </w:rPr>
        <w:t xml:space="preserve">Kunden, deren Software Assurance für Visual Studio Ultimate 2012 mit MSDN abläuft, sind berechtigt, diese als Software Assurance für Folgendes zu verlängern: </w:t>
      </w:r>
    </w:p>
    <w:p w:rsidR="007A4659" w:rsidRPr="00BB5519" w:rsidRDefault="007A4659" w:rsidP="007A4659">
      <w:pPr>
        <w:adjustRightInd w:val="0"/>
        <w:ind w:left="720"/>
        <w:textAlignment w:val="baseline"/>
        <w:rPr>
          <w:lang w:val="de-DE"/>
        </w:rPr>
      </w:pP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Visual Studio Premium mit MSDN</w:t>
      </w: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Visual Studio Professional mit MSDN</w:t>
      </w: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Visual Studio Test Professional mit MSDN</w:t>
      </w:r>
    </w:p>
    <w:p w:rsidR="0032113C" w:rsidRPr="00BB5519" w:rsidRDefault="0032113C" w:rsidP="007A4659">
      <w:pPr>
        <w:numPr>
          <w:ilvl w:val="0"/>
          <w:numId w:val="6"/>
        </w:numPr>
        <w:adjustRightInd w:val="0"/>
        <w:snapToGrid w:val="0"/>
        <w:spacing w:after="60"/>
        <w:ind w:left="1440"/>
        <w:textAlignment w:val="baseline"/>
      </w:pPr>
      <w:r w:rsidRPr="00BB5519">
        <w:rPr>
          <w:rFonts w:cs="Tahoma"/>
          <w:szCs w:val="24"/>
        </w:rPr>
        <w:t>MSDN-Betriebssysteme</w:t>
      </w:r>
    </w:p>
    <w:p w:rsidR="0055611F" w:rsidRPr="00BB5519" w:rsidRDefault="0055611F" w:rsidP="007A4659">
      <w:pPr>
        <w:adjustRightInd w:val="0"/>
        <w:snapToGrid w:val="0"/>
        <w:textAlignment w:val="baseline"/>
      </w:pPr>
    </w:p>
    <w:p w:rsidR="0055611F" w:rsidRPr="00BB5519" w:rsidRDefault="009B2474" w:rsidP="00864B8A">
      <w:pPr>
        <w:spacing w:after="60"/>
        <w:ind w:left="720"/>
      </w:pPr>
      <w:r w:rsidRPr="00BB5519">
        <w:rPr>
          <w:rFonts w:cs="Tahoma"/>
          <w:b/>
        </w:rPr>
        <w:t>Abonnementdienste</w:t>
      </w:r>
    </w:p>
    <w:p w:rsidR="0055611F" w:rsidRPr="00BB5519" w:rsidRDefault="0055611F" w:rsidP="007A4659">
      <w:pPr>
        <w:pStyle w:val="FootnoteBulletLevel2"/>
        <w:tabs>
          <w:tab w:val="clear" w:pos="1260"/>
        </w:tabs>
        <w:spacing w:before="0"/>
        <w:ind w:left="720" w:firstLine="0"/>
      </w:pPr>
      <w:r w:rsidRPr="00BB5519">
        <w:rPr>
          <w:rFonts w:ascii="Tahoma" w:hAnsi="Tahoma" w:cs="Tahoma"/>
          <w:sz w:val="18"/>
        </w:rPr>
        <w:t>MSDN-Abonnementdienste, die Downloads, Product Keys, Windows Azure-Vergünstigungen, Office 365 Developer-Vergünstigungen, E-Learning, technischen Support, Windows Store-Vergünstigungen und andere Services umfassen können, sind nur verfügbar, während das Abonnement aktiv ist.</w:t>
      </w:r>
    </w:p>
    <w:p w:rsidR="0055611F" w:rsidRPr="00BB5519" w:rsidRDefault="0055611F" w:rsidP="007A4659">
      <w:pPr>
        <w:pStyle w:val="FootnoteBulletLevel1"/>
        <w:spacing w:before="0" w:after="0"/>
        <w:ind w:left="720" w:firstLine="0"/>
      </w:pPr>
    </w:p>
    <w:p w:rsidR="0055611F" w:rsidRPr="00BB5519" w:rsidRDefault="0055611F" w:rsidP="00864B8A">
      <w:pPr>
        <w:spacing w:after="60"/>
        <w:ind w:left="720"/>
        <w:rPr>
          <w:lang w:val="de-DE"/>
        </w:rPr>
      </w:pPr>
      <w:r w:rsidRPr="00BB5519">
        <w:rPr>
          <w:rFonts w:cs="Tahoma"/>
          <w:b/>
          <w:lang w:val="de-DE"/>
        </w:rPr>
        <w:t>Windows Azure Platform-Dienste</w:t>
      </w:r>
    </w:p>
    <w:p w:rsidR="00C2130B" w:rsidRPr="00BB5519" w:rsidRDefault="0055611F" w:rsidP="007A4659">
      <w:pPr>
        <w:adjustRightInd w:val="0"/>
        <w:snapToGrid w:val="0"/>
        <w:ind w:left="720"/>
        <w:textAlignment w:val="baseline"/>
        <w:rPr>
          <w:lang w:val="de-DE"/>
        </w:rPr>
      </w:pPr>
      <w:r w:rsidRPr="00BB5519">
        <w:rPr>
          <w:rFonts w:cs="Tahoma"/>
          <w:lang w:val="de-DE"/>
        </w:rPr>
        <w:t>Windows Azure-Vergünstigungen aus mehreren MSDN-Abonnements können nicht in einem Windows Azure-Account kombiniert werden. Die Verwendung von Windows Azure unterliegt den Nutzungsbestimmungen für Windows Azure.</w:t>
      </w:r>
      <w:bookmarkStart w:id="1131" w:name="Aps_19VS2010TestMSDN"/>
    </w:p>
    <w:p w:rsidR="007A4659" w:rsidRPr="00BB5519" w:rsidRDefault="007A4659" w:rsidP="007A4659">
      <w:pPr>
        <w:adjustRightInd w:val="0"/>
        <w:snapToGrid w:val="0"/>
        <w:textAlignment w:val="baseline"/>
        <w:rPr>
          <w:lang w:val="de-DE"/>
        </w:rPr>
      </w:pPr>
    </w:p>
    <w:p w:rsidR="007A4659" w:rsidRPr="00BB5519" w:rsidRDefault="007A4659" w:rsidP="007A4659">
      <w:pPr>
        <w:adjustRightInd w:val="0"/>
        <w:snapToGrid w:val="0"/>
        <w:textAlignment w:val="baseline"/>
        <w:rPr>
          <w:lang w:val="de-DE"/>
        </w:rPr>
      </w:pPr>
    </w:p>
    <w:p w:rsidR="00223A77" w:rsidRPr="00BB5519" w:rsidRDefault="004668D9" w:rsidP="00223A77">
      <w:pPr>
        <w:pStyle w:val="Heading3"/>
      </w:pPr>
      <w:bookmarkStart w:id="1132" w:name="_23_Visual_Studio"/>
      <w:bookmarkStart w:id="1133" w:name="_Toc336338279"/>
      <w:bookmarkStart w:id="1134" w:name="_Toc354054976"/>
      <w:bookmarkEnd w:id="1132"/>
      <w:r w:rsidRPr="00BB5519">
        <w:rPr>
          <w:rFonts w:ascii="Tahoma" w:hAnsi="Tahoma"/>
          <w:caps/>
          <w:color w:val="F66400"/>
          <w:sz w:val="22"/>
          <w:vertAlign w:val="superscript"/>
        </w:rPr>
        <w:t>23</w:t>
      </w:r>
      <w:r w:rsidRPr="00BB5519">
        <w:rPr>
          <w:rFonts w:ascii="Tahoma" w:hAnsi="Tahoma"/>
          <w:color w:val="F66400"/>
          <w:sz w:val="22"/>
        </w:rPr>
        <w:t xml:space="preserve"> Visual Studio Test Professional 2012 mit </w:t>
      </w:r>
      <w:bookmarkEnd w:id="1131"/>
      <w:r w:rsidRPr="00BB5519">
        <w:rPr>
          <w:rFonts w:ascii="Tahoma" w:hAnsi="Tahoma"/>
          <w:color w:val="F66400"/>
          <w:sz w:val="22"/>
        </w:rPr>
        <w:t>MSDN</w:t>
      </w:r>
      <w:bookmarkEnd w:id="1133"/>
      <w:bookmarkEnd w:id="1134"/>
      <w:r w:rsidRPr="00BB5519">
        <w:rPr>
          <w:rFonts w:ascii="Tahoma" w:hAnsi="Tahoma"/>
          <w:color w:val="F66400"/>
          <w:sz w:val="22"/>
        </w:rPr>
        <w:t xml:space="preserve"> </w:t>
      </w:r>
    </w:p>
    <w:p w:rsidR="00AC4485" w:rsidRPr="00354FEE" w:rsidRDefault="00AC4485" w:rsidP="00E7500D">
      <w:pPr>
        <w:pStyle w:val="FootnoteBulletLevel1"/>
        <w:spacing w:before="0" w:after="0"/>
        <w:rPr>
          <w:rFonts w:ascii="Tahoma" w:hAnsi="Tahoma" w:cs="Tahoma"/>
          <w:sz w:val="18"/>
          <w:szCs w:val="18"/>
        </w:rPr>
      </w:pPr>
    </w:p>
    <w:p w:rsidR="001026FD" w:rsidRPr="00BB5519" w:rsidRDefault="001026FD" w:rsidP="00864B8A">
      <w:pPr>
        <w:spacing w:after="60"/>
        <w:ind w:left="720"/>
      </w:pPr>
      <w:r w:rsidRPr="00BB5519">
        <w:rPr>
          <w:rFonts w:cs="Tahoma"/>
          <w:b/>
        </w:rPr>
        <w:t>Visual Studio Team Foundation Server 2012</w:t>
      </w:r>
    </w:p>
    <w:p w:rsidR="001026FD" w:rsidRPr="00BB5519" w:rsidRDefault="001026FD" w:rsidP="00E7500D">
      <w:pPr>
        <w:pStyle w:val="EndnoteText"/>
        <w:ind w:left="720"/>
        <w:rPr>
          <w:lang w:val="de-DE"/>
        </w:rPr>
      </w:pPr>
      <w:r w:rsidRPr="00BB5519">
        <w:rPr>
          <w:rFonts w:ascii="Tahoma" w:hAnsi="Tahoma" w:cs="Tahoma"/>
          <w:sz w:val="18"/>
          <w:lang w:val="de-DE"/>
        </w:rPr>
        <w:t>Der Abonnent ist zu einer Serverlizenz für Visual Studio Team Foundation Server 2012 und zu einer Nutzer-CAL für Team Foundation Server berechtigt.</w:t>
      </w:r>
      <w:r w:rsidR="009E4976" w:rsidRPr="00BB5519">
        <w:rPr>
          <w:rFonts w:ascii="Tahoma" w:hAnsi="Tahoma" w:cs="Tahoma"/>
          <w:sz w:val="18"/>
          <w:lang w:val="de-DE"/>
        </w:rPr>
        <w:t xml:space="preserve"> </w:t>
      </w:r>
      <w:r w:rsidRPr="00BB5519">
        <w:rPr>
          <w:rFonts w:ascii="Tahoma" w:hAnsi="Tahoma" w:cs="Tahoma"/>
          <w:sz w:val="18"/>
          <w:lang w:val="de-DE"/>
        </w:rPr>
        <w:t>Die Verwendung der CAL ist ausschließlich dem Abonnenten vorbehalten.</w:t>
      </w:r>
    </w:p>
    <w:p w:rsidR="00354FEE" w:rsidRPr="00CB1EDE" w:rsidRDefault="00354FEE" w:rsidP="00354FEE">
      <w:pPr>
        <w:pStyle w:val="FootnoteBulletLevel1"/>
        <w:spacing w:before="0" w:after="0"/>
        <w:rPr>
          <w:rFonts w:ascii="Tahoma" w:hAnsi="Tahoma" w:cs="Tahoma"/>
          <w:sz w:val="18"/>
          <w:szCs w:val="18"/>
          <w:lang w:val="de-DE"/>
        </w:rPr>
      </w:pPr>
    </w:p>
    <w:p w:rsidR="001026FD" w:rsidRPr="00CB1EDE" w:rsidRDefault="001026FD" w:rsidP="00864B8A">
      <w:pPr>
        <w:spacing w:after="60"/>
        <w:ind w:left="720"/>
        <w:rPr>
          <w:lang w:val="de-DE"/>
        </w:rPr>
      </w:pPr>
      <w:r w:rsidRPr="00CB1EDE">
        <w:rPr>
          <w:rFonts w:cs="Tahoma"/>
          <w:b/>
          <w:lang w:val="de-DE"/>
        </w:rPr>
        <w:t>SQL Server Parallel Data Warehouse Developer</w:t>
      </w:r>
    </w:p>
    <w:p w:rsidR="001026FD" w:rsidRPr="00BB5519" w:rsidRDefault="001026FD" w:rsidP="00E7500D">
      <w:pPr>
        <w:pStyle w:val="EndnoteText"/>
        <w:ind w:left="720"/>
        <w:rPr>
          <w:lang w:val="de-DE"/>
        </w:rPr>
      </w:pPr>
      <w:r w:rsidRPr="00BB5519">
        <w:rPr>
          <w:rFonts w:ascii="Tahoma" w:hAnsi="Tahoma" w:cs="Tahoma"/>
          <w:sz w:val="18"/>
          <w:lang w:val="de-DE"/>
        </w:rPr>
        <w:t>Der Abonnent ist zu einer Lizenz für SQL Server 2008 R2 Parallel Data Warehouse Developer berechtigt.</w:t>
      </w:r>
    </w:p>
    <w:p w:rsidR="00E7500D" w:rsidRPr="00354FEE" w:rsidRDefault="00E7500D" w:rsidP="00E7500D">
      <w:pPr>
        <w:pStyle w:val="FootnoteBulletLevel1"/>
        <w:tabs>
          <w:tab w:val="clear" w:pos="900"/>
        </w:tabs>
        <w:spacing w:before="0" w:after="0"/>
        <w:ind w:left="720" w:firstLine="0"/>
        <w:rPr>
          <w:rFonts w:ascii="Tahoma" w:hAnsi="Tahoma" w:cs="Tahoma"/>
          <w:sz w:val="18"/>
          <w:szCs w:val="18"/>
          <w:lang w:val="de-DE"/>
        </w:rPr>
      </w:pPr>
    </w:p>
    <w:p w:rsidR="00223A77" w:rsidRPr="00BB5519" w:rsidRDefault="00223A77" w:rsidP="00021BF7">
      <w:pPr>
        <w:keepNext/>
        <w:keepLines/>
        <w:spacing w:after="60"/>
        <w:ind w:left="720"/>
        <w:rPr>
          <w:lang w:val="de-DE"/>
        </w:rPr>
      </w:pPr>
      <w:r w:rsidRPr="00BB5519">
        <w:rPr>
          <w:rFonts w:cs="Tahoma"/>
          <w:b/>
          <w:lang w:val="de-DE"/>
        </w:rPr>
        <w:lastRenderedPageBreak/>
        <w:t>Software Assurance-Berechtigung</w:t>
      </w:r>
    </w:p>
    <w:p w:rsidR="00223A77" w:rsidRPr="00BB5519" w:rsidRDefault="00223A77" w:rsidP="00101859">
      <w:pPr>
        <w:tabs>
          <w:tab w:val="num" w:pos="1170"/>
        </w:tabs>
        <w:ind w:left="900"/>
        <w:rPr>
          <w:lang w:val="de-DE"/>
        </w:rPr>
      </w:pPr>
      <w:r w:rsidRPr="00BB5519">
        <w:rPr>
          <w:rFonts w:cs="Tahoma"/>
          <w:lang w:val="de-DE"/>
        </w:rPr>
        <w:t>Kunden, deren Software Assurance für eines der folgenden Produkte abläuft, sind berechtigt, diese als Software Assurance für Visual Studio Test Professional 2012 mit MSDN zu verlängern</w:t>
      </w:r>
      <w:r w:rsidRPr="00BB5519">
        <w:rPr>
          <w:rFonts w:cs="Tahoma"/>
          <w:szCs w:val="24"/>
          <w:lang w:val="de-DE"/>
        </w:rPr>
        <w:t xml:space="preserve">. </w:t>
      </w:r>
      <w:r w:rsidRPr="00BB5519">
        <w:rPr>
          <w:rFonts w:cs="Tahoma"/>
          <w:lang w:val="de-DE"/>
        </w:rPr>
        <w:t>Bei Verlängerung auf einer anderen MSDN-Abonnementebene ersetzen die neuen Nutzungsbestimmungen die alten, und jegliche Software, die nicht im neuen MSDN-Abonnement enthalten ist, muss entfernt werden.</w:t>
      </w:r>
    </w:p>
    <w:p w:rsidR="00223A77" w:rsidRPr="00354FEE" w:rsidRDefault="00223A77" w:rsidP="00E7500D">
      <w:pPr>
        <w:pStyle w:val="EndnoteText"/>
        <w:rPr>
          <w:rFonts w:ascii="Tahoma" w:hAnsi="Tahoma" w:cs="Tahoma"/>
          <w:sz w:val="18"/>
          <w:szCs w:val="18"/>
          <w:lang w:val="de-DE"/>
        </w:rPr>
      </w:pPr>
    </w:p>
    <w:p w:rsidR="00223A77" w:rsidRPr="00BB5519" w:rsidRDefault="00223A77" w:rsidP="00E7500D">
      <w:pPr>
        <w:pStyle w:val="FootnoteBulletLevel2"/>
        <w:numPr>
          <w:ilvl w:val="0"/>
          <w:numId w:val="5"/>
        </w:numPr>
        <w:spacing w:before="0" w:after="60"/>
        <w:ind w:left="1440"/>
      </w:pPr>
      <w:r w:rsidRPr="00BB5519">
        <w:rPr>
          <w:rFonts w:ascii="Tahoma" w:hAnsi="Tahoma" w:cs="Tahoma"/>
          <w:sz w:val="18"/>
        </w:rPr>
        <w:t>Visual Studio Ultimate mit MSDN</w:t>
      </w:r>
    </w:p>
    <w:p w:rsidR="00061A45" w:rsidRPr="00BB5519" w:rsidRDefault="00BE4D27" w:rsidP="00E7500D">
      <w:pPr>
        <w:pStyle w:val="FootnoteBulletLevel2"/>
        <w:numPr>
          <w:ilvl w:val="0"/>
          <w:numId w:val="5"/>
        </w:numPr>
        <w:spacing w:before="0" w:after="60"/>
        <w:ind w:left="1440"/>
      </w:pPr>
      <w:r w:rsidRPr="00BB5519">
        <w:rPr>
          <w:rFonts w:ascii="Tahoma" w:hAnsi="Tahoma" w:cs="Tahoma"/>
          <w:sz w:val="18"/>
        </w:rPr>
        <w:t>Visual Studio Premium mit MSDN</w:t>
      </w:r>
    </w:p>
    <w:p w:rsidR="00223A77" w:rsidRPr="00BB5519" w:rsidRDefault="00223A77" w:rsidP="00E7500D">
      <w:pPr>
        <w:pStyle w:val="FootnoteBulletLevel2"/>
        <w:numPr>
          <w:ilvl w:val="0"/>
          <w:numId w:val="5"/>
        </w:numPr>
        <w:spacing w:before="0" w:after="60"/>
        <w:ind w:left="1440"/>
      </w:pPr>
      <w:r w:rsidRPr="00BB5519">
        <w:rPr>
          <w:rFonts w:ascii="Tahoma" w:hAnsi="Tahoma" w:cs="Tahoma"/>
          <w:sz w:val="18"/>
        </w:rPr>
        <w:t>Visual Studio Test Professional mit MSDN</w:t>
      </w:r>
    </w:p>
    <w:p w:rsidR="00223A77" w:rsidRPr="00BB5519" w:rsidRDefault="00223A77" w:rsidP="00E7500D">
      <w:pPr>
        <w:pStyle w:val="FootnoteBulletLevel2"/>
        <w:numPr>
          <w:ilvl w:val="0"/>
          <w:numId w:val="5"/>
        </w:numPr>
        <w:spacing w:before="0" w:after="60"/>
        <w:ind w:left="1440"/>
        <w:rPr>
          <w:lang w:val="de-DE"/>
        </w:rPr>
      </w:pPr>
      <w:r w:rsidRPr="00BB5519">
        <w:rPr>
          <w:rFonts w:ascii="Tahoma" w:hAnsi="Tahoma" w:cs="Tahoma"/>
          <w:sz w:val="18"/>
          <w:lang w:val="de-DE"/>
        </w:rPr>
        <w:t>Aktives Einzelhandelsabonnement für eine der oben genannten Softwareversionen</w:t>
      </w:r>
    </w:p>
    <w:p w:rsidR="00223A77" w:rsidRPr="00354FEE" w:rsidRDefault="00223A77" w:rsidP="00E7500D">
      <w:pPr>
        <w:pStyle w:val="FootnoteBulletLevel1"/>
        <w:spacing w:before="0" w:after="0"/>
        <w:ind w:firstLine="0"/>
        <w:rPr>
          <w:rFonts w:ascii="Tahoma" w:hAnsi="Tahoma" w:cs="Tahoma"/>
          <w:sz w:val="18"/>
          <w:szCs w:val="18"/>
          <w:lang w:val="de-DE"/>
        </w:rPr>
      </w:pPr>
    </w:p>
    <w:p w:rsidR="00E7500D" w:rsidRPr="00354FEE" w:rsidRDefault="00223A77" w:rsidP="00E7500D">
      <w:pPr>
        <w:pStyle w:val="FootnoteBulletLevel2"/>
        <w:tabs>
          <w:tab w:val="clear" w:pos="1260"/>
        </w:tabs>
        <w:spacing w:before="0"/>
        <w:ind w:left="720" w:firstLine="0"/>
        <w:rPr>
          <w:rFonts w:ascii="Tahoma" w:hAnsi="Tahoma"/>
          <w:sz w:val="18"/>
          <w:szCs w:val="22"/>
          <w:lang w:val="de-DE" w:eastAsia="en-US"/>
        </w:rPr>
      </w:pPr>
      <w:r w:rsidRPr="00354FEE">
        <w:rPr>
          <w:rFonts w:ascii="Tahoma" w:hAnsi="Tahoma"/>
          <w:sz w:val="18"/>
          <w:szCs w:val="22"/>
          <w:lang w:val="de-DE" w:eastAsia="en-US"/>
        </w:rPr>
        <w:t xml:space="preserve">Konzern-, Select- oder Open Value-Kunden mit aktiver Software Assurance für Visual Studio Test Professional 2012 mit MSDN können </w:t>
      </w:r>
      <w:hyperlink w:anchor="Step_Up" w:history="1">
        <w:r w:rsidRPr="00354FEE">
          <w:rPr>
            <w:rFonts w:ascii="Tahoma" w:hAnsi="Tahoma"/>
            <w:sz w:val="18"/>
            <w:szCs w:val="22"/>
            <w:lang w:val="de-DE" w:eastAsia="en-US"/>
          </w:rPr>
          <w:t>Step Up-SKUs</w:t>
        </w:r>
      </w:hyperlink>
      <w:r w:rsidRPr="00354FEE">
        <w:rPr>
          <w:rFonts w:ascii="Tahoma" w:hAnsi="Tahoma"/>
          <w:sz w:val="18"/>
          <w:szCs w:val="22"/>
          <w:lang w:val="de-DE" w:eastAsia="en-US"/>
        </w:rPr>
        <w:t xml:space="preserve"> für Visual Studio Premium 2012 mit MSDN erwerben.</w:t>
      </w:r>
    </w:p>
    <w:p w:rsidR="00101859" w:rsidRPr="00BB5519" w:rsidRDefault="00101859">
      <w:pPr>
        <w:rPr>
          <w:lang w:val="de-DE"/>
        </w:rPr>
      </w:pPr>
    </w:p>
    <w:p w:rsidR="005C11D1" w:rsidRPr="00BB5519" w:rsidRDefault="009B2474" w:rsidP="00864B8A">
      <w:pPr>
        <w:spacing w:after="60"/>
        <w:ind w:left="720"/>
        <w:rPr>
          <w:lang w:val="de-DE"/>
        </w:rPr>
      </w:pPr>
      <w:r w:rsidRPr="00BB5519">
        <w:rPr>
          <w:rFonts w:cs="Tahoma"/>
          <w:b/>
          <w:lang w:val="de-DE"/>
        </w:rPr>
        <w:t>Abonnementdienste</w:t>
      </w:r>
    </w:p>
    <w:p w:rsidR="001051D1" w:rsidRPr="00BB5519" w:rsidRDefault="005C11D1" w:rsidP="00E7500D">
      <w:pPr>
        <w:ind w:left="720"/>
        <w:rPr>
          <w:lang w:val="de-DE"/>
        </w:rPr>
      </w:pPr>
      <w:r w:rsidRPr="00BB5519">
        <w:rPr>
          <w:lang w:val="de-DE"/>
        </w:rPr>
        <w:t xml:space="preserve">MSDN-Abonnementdienste, die Downloads, Product Keys, Windows Azure-Vergünstigungen, </w:t>
      </w:r>
      <w:r w:rsidRPr="00BB5519">
        <w:rPr>
          <w:rFonts w:cs="Tahoma"/>
          <w:lang w:val="de-DE"/>
        </w:rPr>
        <w:t xml:space="preserve">Office 365 Developer-Vergünstigungen, </w:t>
      </w:r>
      <w:r w:rsidRPr="00BB5519">
        <w:rPr>
          <w:lang w:val="de-DE"/>
        </w:rPr>
        <w:t>E-Learning, technischen Support, Windows Store-Vergünstigungen und andere Services umfassen können, sind nur verfügbar, während das Abonnement aktiv ist.</w:t>
      </w:r>
      <w:bookmarkStart w:id="1135" w:name="_14_Operating_System"/>
      <w:bookmarkEnd w:id="1135"/>
    </w:p>
    <w:p w:rsidR="00E03856" w:rsidRPr="00BB5519" w:rsidRDefault="001051D1">
      <w:pPr>
        <w:rPr>
          <w:lang w:val="de-DE"/>
        </w:rPr>
      </w:pPr>
      <w:r w:rsidRPr="00BB5519">
        <w:rPr>
          <w:lang w:val="de-DE"/>
        </w:rPr>
        <w:br w:type="page"/>
      </w:r>
      <w:bookmarkStart w:id="1136" w:name="_Toc336338280"/>
    </w:p>
    <w:p w:rsidR="00023FE7" w:rsidRPr="00D244F0" w:rsidRDefault="00023FE7" w:rsidP="002E57CF">
      <w:pPr>
        <w:pStyle w:val="Heading2"/>
        <w:ind w:left="0"/>
      </w:pPr>
      <w:bookmarkStart w:id="1137" w:name="_Toc354054977"/>
      <w:r w:rsidRPr="00D244F0">
        <w:rPr>
          <w:rFonts w:ascii="Tahoma" w:hAnsi="Tahoma" w:cs="Tahoma"/>
          <w:sz w:val="28"/>
        </w:rPr>
        <w:lastRenderedPageBreak/>
        <w:t>System-Pool</w:t>
      </w:r>
      <w:bookmarkEnd w:id="1136"/>
      <w:bookmarkEnd w:id="1137"/>
    </w:p>
    <w:p w:rsidR="00023FE7" w:rsidRPr="00D244F0" w:rsidRDefault="00023FE7"/>
    <w:p w:rsidR="009C2B6B" w:rsidRPr="00D244F0" w:rsidRDefault="009C2B6B"/>
    <w:p w:rsidR="00E14FF2" w:rsidRPr="00D244F0" w:rsidRDefault="004668D9" w:rsidP="00A53269">
      <w:pPr>
        <w:pStyle w:val="Heading3"/>
      </w:pPr>
      <w:bookmarkStart w:id="1138" w:name="_24_Microsoft_Desktop"/>
      <w:bookmarkStart w:id="1139" w:name="_Toc336338283"/>
      <w:bookmarkStart w:id="1140" w:name="_Toc354054978"/>
      <w:bookmarkStart w:id="1141" w:name="Sys_21MDOPforSA"/>
      <w:bookmarkStart w:id="1142" w:name="Sys_25MDOPforSA"/>
      <w:bookmarkEnd w:id="1138"/>
      <w:r w:rsidRPr="00D244F0">
        <w:rPr>
          <w:rFonts w:ascii="Tahoma" w:hAnsi="Tahoma"/>
          <w:caps/>
          <w:color w:val="F66400"/>
          <w:sz w:val="22"/>
          <w:vertAlign w:val="superscript"/>
        </w:rPr>
        <w:t>24</w:t>
      </w:r>
      <w:r w:rsidRPr="00D244F0">
        <w:rPr>
          <w:rFonts w:ascii="Tahoma" w:hAnsi="Tahoma"/>
          <w:color w:val="F66400"/>
          <w:sz w:val="22"/>
        </w:rPr>
        <w:t xml:space="preserve"> Microsoft Desktop Optimization Pack für Software Assurance</w:t>
      </w:r>
      <w:bookmarkEnd w:id="1139"/>
      <w:bookmarkEnd w:id="1140"/>
    </w:p>
    <w:bookmarkEnd w:id="1141"/>
    <w:p w:rsidR="007A73DF" w:rsidRPr="00D244F0" w:rsidRDefault="007A73DF" w:rsidP="00483B3D"/>
    <w:p w:rsidR="00475147" w:rsidRPr="00BB5519" w:rsidRDefault="0037362E" w:rsidP="00483B3D">
      <w:pPr>
        <w:ind w:left="720"/>
        <w:rPr>
          <w:lang w:val="de-DE"/>
        </w:rPr>
      </w:pPr>
      <w:r w:rsidRPr="00BB5519">
        <w:rPr>
          <w:rFonts w:eastAsia="Calibri" w:cs="Tahoma"/>
          <w:color w:val="000000"/>
          <w:szCs w:val="18"/>
          <w:lang w:val="de-DE"/>
        </w:rPr>
        <w:t>Kunden, die das Microsoft Desktop Optimization Pack für Software Assurance (MDOP) erwerben möchten, müssen zunächst eines der folgenden Produkte erwerben und ihrem Desktop zuweisen:</w:t>
      </w:r>
    </w:p>
    <w:p w:rsidR="00676723" w:rsidRPr="00BB5519" w:rsidRDefault="00676723" w:rsidP="00483B3D">
      <w:pPr>
        <w:ind w:left="720"/>
        <w:rPr>
          <w:lang w:val="de-DE"/>
        </w:rPr>
      </w:pPr>
    </w:p>
    <w:p w:rsidR="00475147" w:rsidRPr="00BB5519" w:rsidRDefault="00475147" w:rsidP="00483B3D">
      <w:pPr>
        <w:numPr>
          <w:ilvl w:val="0"/>
          <w:numId w:val="63"/>
        </w:numPr>
        <w:tabs>
          <w:tab w:val="left" w:pos="1440"/>
        </w:tabs>
        <w:ind w:left="1440" w:hanging="446"/>
        <w:rPr>
          <w:lang w:val="de-DE"/>
        </w:rPr>
      </w:pPr>
      <w:r w:rsidRPr="00BB5519">
        <w:rPr>
          <w:rFonts w:eastAsia="Calibri" w:cs="Tahoma"/>
          <w:color w:val="000000"/>
          <w:szCs w:val="18"/>
          <w:lang w:val="de-DE"/>
        </w:rPr>
        <w:t>aktive Software Assurance für das Windows Desktop-Betriebssystem oder</w:t>
      </w:r>
    </w:p>
    <w:p w:rsidR="00475147" w:rsidRPr="00BB5519" w:rsidRDefault="00475147" w:rsidP="00483B3D">
      <w:pPr>
        <w:numPr>
          <w:ilvl w:val="0"/>
          <w:numId w:val="63"/>
        </w:numPr>
        <w:tabs>
          <w:tab w:val="left" w:pos="1440"/>
        </w:tabs>
        <w:ind w:left="1440" w:hanging="446"/>
      </w:pPr>
      <w:r w:rsidRPr="00BB5519">
        <w:rPr>
          <w:rFonts w:eastAsia="Calibri" w:cs="Tahoma"/>
          <w:color w:val="000000"/>
          <w:szCs w:val="18"/>
        </w:rPr>
        <w:t>eine Windows Virtual Desktop Access-Lizenz oder</w:t>
      </w:r>
    </w:p>
    <w:p w:rsidR="00475147" w:rsidRPr="00BB5519" w:rsidRDefault="00475147" w:rsidP="00483B3D">
      <w:pPr>
        <w:numPr>
          <w:ilvl w:val="0"/>
          <w:numId w:val="63"/>
        </w:numPr>
        <w:tabs>
          <w:tab w:val="left" w:pos="1440"/>
        </w:tabs>
        <w:ind w:left="1440" w:hanging="446"/>
        <w:rPr>
          <w:lang w:val="de-DE"/>
        </w:rPr>
      </w:pPr>
      <w:r w:rsidRPr="00BB5519">
        <w:rPr>
          <w:rFonts w:eastAsia="Calibri" w:cs="Tahoma"/>
          <w:color w:val="000000"/>
          <w:szCs w:val="18"/>
          <w:lang w:val="de-DE"/>
        </w:rPr>
        <w:t xml:space="preserve">ein aktives Abonnement für Windows Intune </w:t>
      </w:r>
      <w:r w:rsidRPr="00BB5519">
        <w:rPr>
          <w:rFonts w:cs="Tahoma"/>
          <w:szCs w:val="18"/>
          <w:lang w:val="de-DE"/>
        </w:rPr>
        <w:t>(Pro Gerät)</w:t>
      </w:r>
      <w:r w:rsidRPr="00BB5519">
        <w:rPr>
          <w:rFonts w:eastAsia="Calibri" w:cs="Tahoma"/>
          <w:color w:val="000000"/>
          <w:szCs w:val="18"/>
          <w:lang w:val="de-DE"/>
        </w:rPr>
        <w:t>.</w:t>
      </w:r>
    </w:p>
    <w:p w:rsidR="00475147" w:rsidRPr="00BB5519" w:rsidRDefault="00475147" w:rsidP="00483B3D">
      <w:pPr>
        <w:spacing w:before="120"/>
        <w:ind w:left="720"/>
        <w:rPr>
          <w:lang w:val="de-DE"/>
        </w:rPr>
      </w:pPr>
      <w:r w:rsidRPr="00BB5519">
        <w:rPr>
          <w:rFonts w:eastAsia="Calibri" w:cs="Tahoma"/>
          <w:color w:val="000000"/>
          <w:szCs w:val="18"/>
          <w:lang w:val="de-DE"/>
        </w:rPr>
        <w:t>Geräte, die durch eine Windows Companion-Abonnementlizenz abgedeckt sind, sind ebenfalls zulässig.</w:t>
      </w:r>
    </w:p>
    <w:p w:rsidR="007A73DF" w:rsidRPr="00BB5519" w:rsidRDefault="007A73DF" w:rsidP="00483B3D">
      <w:pPr>
        <w:ind w:left="720"/>
        <w:rPr>
          <w:lang w:val="de-DE"/>
        </w:rPr>
      </w:pPr>
    </w:p>
    <w:p w:rsidR="00F7027D" w:rsidRPr="00BB5519" w:rsidRDefault="00F7027D" w:rsidP="00483B3D">
      <w:pPr>
        <w:ind w:left="720"/>
        <w:rPr>
          <w:lang w:val="de-DE"/>
        </w:rPr>
      </w:pPr>
      <w:r w:rsidRPr="00BB5519">
        <w:rPr>
          <w:rFonts w:eastAsia="Calibri" w:cs="Tahoma"/>
          <w:color w:val="000000"/>
          <w:szCs w:val="18"/>
          <w:lang w:val="de-DE"/>
        </w:rPr>
        <w:t>Kunden mit Volumenlizenzverträgen, die aktive Lizenzen MDOP besitzen, erhalten die folgende Software (sobald sie verfügbar ist):</w:t>
      </w:r>
    </w:p>
    <w:p w:rsidR="007A73DF" w:rsidRPr="00BB5519" w:rsidRDefault="007A73DF" w:rsidP="00483B3D">
      <w:pPr>
        <w:ind w:left="720"/>
        <w:rPr>
          <w:lang w:val="de-DE"/>
        </w:rPr>
      </w:pPr>
    </w:p>
    <w:p w:rsidR="00E52A26" w:rsidRPr="00BB5519" w:rsidRDefault="00E52A26" w:rsidP="00483B3D">
      <w:pPr>
        <w:numPr>
          <w:ilvl w:val="0"/>
          <w:numId w:val="63"/>
        </w:numPr>
        <w:tabs>
          <w:tab w:val="left" w:pos="1440"/>
        </w:tabs>
        <w:spacing w:after="60"/>
        <w:ind w:left="1440" w:hanging="446"/>
      </w:pPr>
      <w:r w:rsidRPr="00BB5519">
        <w:rPr>
          <w:rFonts w:eastAsia="Calibri" w:cs="Tahoma"/>
          <w:color w:val="000000"/>
          <w:szCs w:val="18"/>
        </w:rPr>
        <w:t>Microsoft Application Virtualization für Windows Desktops (App-V)</w:t>
      </w:r>
    </w:p>
    <w:p w:rsidR="00E52A26" w:rsidRPr="00BB5519" w:rsidRDefault="00E52A26" w:rsidP="00483B3D">
      <w:pPr>
        <w:numPr>
          <w:ilvl w:val="0"/>
          <w:numId w:val="63"/>
        </w:numPr>
        <w:tabs>
          <w:tab w:val="left" w:pos="1440"/>
        </w:tabs>
        <w:spacing w:after="60"/>
        <w:ind w:left="1440" w:hanging="446"/>
      </w:pPr>
      <w:r w:rsidRPr="00BB5519">
        <w:rPr>
          <w:rFonts w:eastAsia="Calibri" w:cs="Tahoma"/>
          <w:color w:val="000000"/>
          <w:szCs w:val="18"/>
        </w:rPr>
        <w:t>Microsoft Advanced Group Policy Management (AGPM)</w:t>
      </w:r>
    </w:p>
    <w:p w:rsidR="00E52A26" w:rsidRPr="00BB5519" w:rsidRDefault="00E52A26" w:rsidP="00483B3D">
      <w:pPr>
        <w:numPr>
          <w:ilvl w:val="0"/>
          <w:numId w:val="63"/>
        </w:numPr>
        <w:tabs>
          <w:tab w:val="left" w:pos="1440"/>
        </w:tabs>
        <w:spacing w:after="60"/>
        <w:ind w:left="1440" w:hanging="446"/>
        <w:rPr>
          <w:lang w:val="de-DE"/>
        </w:rPr>
      </w:pPr>
      <w:r w:rsidRPr="00BB5519">
        <w:rPr>
          <w:rFonts w:eastAsia="Calibri" w:cs="Tahoma"/>
          <w:color w:val="000000"/>
          <w:szCs w:val="18"/>
          <w:lang w:val="de-DE"/>
        </w:rPr>
        <w:t>Microsoft Toolset für Diagnose und Wiederherstellung (DART)</w:t>
      </w:r>
    </w:p>
    <w:p w:rsidR="00E52A26" w:rsidRPr="00BB5519" w:rsidRDefault="00E52A26" w:rsidP="00483B3D">
      <w:pPr>
        <w:numPr>
          <w:ilvl w:val="0"/>
          <w:numId w:val="63"/>
        </w:numPr>
        <w:tabs>
          <w:tab w:val="left" w:pos="1440"/>
        </w:tabs>
        <w:spacing w:after="60"/>
        <w:ind w:left="1440" w:hanging="446"/>
      </w:pPr>
      <w:r w:rsidRPr="00BB5519">
        <w:rPr>
          <w:rFonts w:eastAsia="Calibri" w:cs="Tahoma"/>
          <w:color w:val="000000"/>
          <w:szCs w:val="18"/>
        </w:rPr>
        <w:t>Microsoft Enterprise Desktop Virtualization (MED-V)</w:t>
      </w:r>
    </w:p>
    <w:p w:rsidR="00E52A26" w:rsidRPr="00BB5519" w:rsidRDefault="00E52A26" w:rsidP="00483B3D">
      <w:pPr>
        <w:numPr>
          <w:ilvl w:val="0"/>
          <w:numId w:val="63"/>
        </w:numPr>
        <w:tabs>
          <w:tab w:val="left" w:pos="1440"/>
        </w:tabs>
        <w:spacing w:after="60"/>
        <w:ind w:left="1440" w:hanging="446"/>
        <w:rPr>
          <w:lang w:val="de-DE"/>
        </w:rPr>
      </w:pPr>
      <w:r w:rsidRPr="00BB5519">
        <w:rPr>
          <w:rFonts w:eastAsia="Calibri" w:cs="Tahoma"/>
          <w:color w:val="000000"/>
          <w:szCs w:val="18"/>
          <w:lang w:val="de-DE"/>
        </w:rPr>
        <w:t>Microsoft BitLocker</w:t>
      </w:r>
      <w:r w:rsidRPr="00BB5519">
        <w:rPr>
          <w:rFonts w:eastAsia="Calibri" w:cs="Tahoma"/>
          <w:color w:val="000000"/>
          <w:szCs w:val="18"/>
          <w:vertAlign w:val="superscript"/>
          <w:lang w:val="de-DE"/>
        </w:rPr>
        <w:t>®</w:t>
      </w:r>
      <w:r w:rsidRPr="00BB5519">
        <w:rPr>
          <w:rFonts w:eastAsia="Calibri" w:cs="Tahoma"/>
          <w:color w:val="000000"/>
          <w:szCs w:val="18"/>
          <w:lang w:val="de-DE"/>
        </w:rPr>
        <w:t xml:space="preserve"> Administration und Überwachung (MBAM)</w:t>
      </w:r>
    </w:p>
    <w:p w:rsidR="00670296" w:rsidRPr="00BB5519" w:rsidRDefault="00670296" w:rsidP="00483B3D">
      <w:pPr>
        <w:numPr>
          <w:ilvl w:val="0"/>
          <w:numId w:val="63"/>
        </w:numPr>
        <w:tabs>
          <w:tab w:val="left" w:pos="1440"/>
        </w:tabs>
        <w:spacing w:after="60"/>
        <w:ind w:left="1440" w:hanging="446"/>
      </w:pPr>
      <w:r w:rsidRPr="00BB5519">
        <w:rPr>
          <w:rFonts w:eastAsia="Calibri" w:cs="Tahoma"/>
          <w:color w:val="000000"/>
          <w:szCs w:val="18"/>
        </w:rPr>
        <w:t>Microsoft User Experience Virtualization (UE-V)</w:t>
      </w:r>
    </w:p>
    <w:p w:rsidR="007A73DF" w:rsidRPr="00BB5519" w:rsidRDefault="007A73DF" w:rsidP="00483B3D">
      <w:pPr>
        <w:tabs>
          <w:tab w:val="left" w:pos="1440"/>
        </w:tabs>
        <w:ind w:left="994"/>
      </w:pPr>
    </w:p>
    <w:p w:rsidR="007045C0" w:rsidRPr="00BB5519" w:rsidRDefault="007045C0" w:rsidP="00483B3D">
      <w:pPr>
        <w:spacing w:after="60"/>
        <w:ind w:left="720"/>
      </w:pPr>
      <w:r w:rsidRPr="00BB5519">
        <w:rPr>
          <w:rFonts w:eastAsia="Calibri" w:cs="Tahoma"/>
          <w:b/>
          <w:color w:val="000000"/>
          <w:szCs w:val="18"/>
        </w:rPr>
        <w:t>Windows Companion-Abonnementlizenz (CSL) und MDOP</w:t>
      </w:r>
    </w:p>
    <w:p w:rsidR="007045C0" w:rsidRPr="00BB5519" w:rsidRDefault="007045C0" w:rsidP="00483B3D">
      <w:pPr>
        <w:tabs>
          <w:tab w:val="left" w:pos="1440"/>
        </w:tabs>
        <w:ind w:left="720"/>
        <w:rPr>
          <w:lang w:val="de-DE"/>
        </w:rPr>
      </w:pPr>
      <w:r w:rsidRPr="00BB5519">
        <w:rPr>
          <w:rFonts w:cs="Tahoma"/>
          <w:color w:val="000000"/>
          <w:szCs w:val="18"/>
          <w:lang w:val="de-DE"/>
        </w:rPr>
        <w:t>Hauptnutzer eines Geräts mit aktiver MDOP-Lizenz und CSL können über Ihre Companion-Geräte auf MDOP-Funktionalität zugreifen, ohne zusätzliche MDOP-Lizenzen für jedes Companion-Gerät erwerben zu müssen.</w:t>
      </w:r>
    </w:p>
    <w:p w:rsidR="007045C0" w:rsidRPr="00BB5519" w:rsidRDefault="007045C0" w:rsidP="00483B3D">
      <w:pPr>
        <w:tabs>
          <w:tab w:val="left" w:pos="1440"/>
        </w:tabs>
        <w:ind w:left="994"/>
        <w:rPr>
          <w:lang w:val="de-DE"/>
        </w:rPr>
      </w:pPr>
    </w:p>
    <w:p w:rsidR="0031394C" w:rsidRPr="00BB5519" w:rsidRDefault="0031394C" w:rsidP="00483B3D">
      <w:pPr>
        <w:spacing w:after="60"/>
        <w:ind w:left="720"/>
        <w:rPr>
          <w:lang w:val="de-DE"/>
        </w:rPr>
      </w:pPr>
      <w:r w:rsidRPr="00BB5519">
        <w:rPr>
          <w:rFonts w:eastAsia="Calibri" w:cs="Tahoma"/>
          <w:b/>
          <w:color w:val="000000"/>
          <w:szCs w:val="18"/>
          <w:lang w:val="de-DE"/>
        </w:rPr>
        <w:t>Windows Intune (Pro Gerät)-Angebot für Microsoft Desktop Optimization Pack (MDOP)-Kunden, die Asset Inventory Service verwenden</w:t>
      </w:r>
    </w:p>
    <w:p w:rsidR="00BB0250" w:rsidRPr="00BB5519" w:rsidRDefault="00BB0250" w:rsidP="00483B3D">
      <w:pPr>
        <w:ind w:left="720"/>
        <w:rPr>
          <w:lang w:val="de-DE"/>
        </w:rPr>
      </w:pPr>
      <w:r w:rsidRPr="00BB5519">
        <w:rPr>
          <w:rFonts w:cs="Tahoma"/>
          <w:color w:val="000000"/>
          <w:szCs w:val="18"/>
          <w:lang w:val="de-DE"/>
        </w:rPr>
        <w:t>Der Asset Inventory Service (AIS), der im Rahmen von MDOP angeboten wird, wird am 3. April 2013 eingestellt. Ab diesem Datum haben Kunden keinen Zugriff mehr auf den Service.</w:t>
      </w:r>
      <w:r w:rsidR="009E4976" w:rsidRPr="00BB5519">
        <w:rPr>
          <w:rFonts w:cs="Tahoma"/>
          <w:color w:val="000000"/>
          <w:szCs w:val="18"/>
          <w:lang w:val="de-DE"/>
        </w:rPr>
        <w:t xml:space="preserve"> </w:t>
      </w:r>
      <w:r w:rsidRPr="00BB5519">
        <w:rPr>
          <w:rFonts w:cs="Tahoma"/>
          <w:color w:val="000000"/>
          <w:szCs w:val="18"/>
          <w:lang w:val="de-DE"/>
        </w:rPr>
        <w:t xml:space="preserve">MDOP-Kunden mit aktiven AIS-Accounts, die am oder vor dem 30. April 2012 im Center für Volumenlizenz-Services aktiviert wurden, haben die Möglichkeit, auf den Windows Intune </w:t>
      </w:r>
      <w:r w:rsidRPr="00BB5519">
        <w:rPr>
          <w:rFonts w:cs="Tahoma"/>
          <w:szCs w:val="18"/>
          <w:lang w:val="de-DE"/>
        </w:rPr>
        <w:t>(Pro Gerät)</w:t>
      </w:r>
      <w:r w:rsidRPr="00BB5519">
        <w:rPr>
          <w:rFonts w:cs="Tahoma"/>
          <w:color w:val="000000"/>
          <w:szCs w:val="18"/>
          <w:lang w:val="de-DE"/>
        </w:rPr>
        <w:t xml:space="preserve">-Onlinedienst überzugehen und diesen zu verwenden, </w:t>
      </w:r>
      <w:r w:rsidRPr="00BB5519">
        <w:rPr>
          <w:color w:val="000000"/>
          <w:lang w:val="de-DE"/>
        </w:rPr>
        <w:t xml:space="preserve">sofern </w:t>
      </w:r>
      <w:r w:rsidRPr="00BB5519">
        <w:rPr>
          <w:rFonts w:cs="Tahoma"/>
          <w:color w:val="000000"/>
          <w:szCs w:val="18"/>
          <w:lang w:val="de-DE"/>
        </w:rPr>
        <w:t xml:space="preserve">Windows Intune </w:t>
      </w:r>
      <w:r w:rsidRPr="00BB5519">
        <w:rPr>
          <w:rFonts w:cs="Tahoma"/>
          <w:szCs w:val="18"/>
          <w:lang w:val="de-DE"/>
        </w:rPr>
        <w:t xml:space="preserve">(Pro Gerät) </w:t>
      </w:r>
      <w:r w:rsidRPr="00BB5519">
        <w:rPr>
          <w:color w:val="000000"/>
          <w:lang w:val="de-DE"/>
        </w:rPr>
        <w:t>im Land des Kunden kommerziell verfügbar ist.</w:t>
      </w:r>
      <w:r w:rsidR="009E4976" w:rsidRPr="00BB5519">
        <w:rPr>
          <w:color w:val="000000"/>
          <w:lang w:val="de-DE"/>
        </w:rPr>
        <w:t xml:space="preserve"> </w:t>
      </w:r>
      <w:r w:rsidRPr="00BB5519">
        <w:rPr>
          <w:color w:val="000000"/>
          <w:lang w:val="de-DE"/>
        </w:rPr>
        <w:t xml:space="preserve">Eine Liste der Länder, in denen Windows Intune </w:t>
      </w:r>
      <w:r w:rsidRPr="00BB5519">
        <w:rPr>
          <w:rFonts w:cs="Tahoma"/>
          <w:szCs w:val="18"/>
          <w:lang w:val="de-DE"/>
        </w:rPr>
        <w:t xml:space="preserve">(Pro Gerät) </w:t>
      </w:r>
      <w:r w:rsidRPr="00BB5519">
        <w:rPr>
          <w:color w:val="000000"/>
          <w:lang w:val="de-DE"/>
        </w:rPr>
        <w:t xml:space="preserve">kommerziell verfügbar ist, finden Sie hier: </w:t>
      </w:r>
      <w:hyperlink r:id="rId44" w:history="1">
        <w:r w:rsidRPr="00BB5519">
          <w:rPr>
            <w:color w:val="0000FF"/>
            <w:u w:val="single"/>
            <w:lang w:val="de-DE"/>
          </w:rPr>
          <w:t>www.microsoft.com/en-us/windows/windowsintune/faq/default.aspx</w:t>
        </w:r>
      </w:hyperlink>
      <w:r w:rsidRPr="003417E6">
        <w:rPr>
          <w:color w:val="0000FF"/>
          <w:lang w:val="de-DE"/>
        </w:rPr>
        <w:t>.</w:t>
      </w:r>
    </w:p>
    <w:p w:rsidR="007A73DF" w:rsidRPr="00BB5519" w:rsidRDefault="007A73DF" w:rsidP="00483B3D">
      <w:pPr>
        <w:ind w:left="720"/>
        <w:rPr>
          <w:lang w:val="de-DE"/>
        </w:rPr>
      </w:pPr>
    </w:p>
    <w:p w:rsidR="007A73DF" w:rsidRPr="00BB5519" w:rsidRDefault="0031394C" w:rsidP="00483B3D">
      <w:pPr>
        <w:spacing w:after="60"/>
        <w:ind w:left="720"/>
      </w:pPr>
      <w:r w:rsidRPr="00BB5519">
        <w:rPr>
          <w:rFonts w:eastAsia="Calibri" w:cs="Tahoma"/>
          <w:b/>
          <w:color w:val="000000"/>
          <w:szCs w:val="18"/>
        </w:rPr>
        <w:t>Angebotsdetails</w:t>
      </w:r>
    </w:p>
    <w:p w:rsidR="0031394C" w:rsidRPr="00BB5519" w:rsidRDefault="0031394C" w:rsidP="00483B3D">
      <w:pPr>
        <w:numPr>
          <w:ilvl w:val="1"/>
          <w:numId w:val="100"/>
        </w:numPr>
        <w:spacing w:after="60"/>
        <w:rPr>
          <w:lang w:val="de-DE"/>
        </w:rPr>
      </w:pPr>
      <w:r w:rsidRPr="00BB5519">
        <w:rPr>
          <w:rFonts w:eastAsia="Calibri" w:cs="Tahoma"/>
          <w:color w:val="000000"/>
          <w:szCs w:val="18"/>
          <w:lang w:val="de-DE"/>
        </w:rPr>
        <w:t>Dieses Angebot kann jederzeit zwischen dem 3. April 2012 und dem Ablauf des aktuellen MDOP-Abonnements des Kunden angenommen werden.</w:t>
      </w:r>
    </w:p>
    <w:p w:rsidR="0031394C" w:rsidRPr="00BB5519" w:rsidRDefault="0031394C" w:rsidP="00483B3D">
      <w:pPr>
        <w:numPr>
          <w:ilvl w:val="1"/>
          <w:numId w:val="100"/>
        </w:numPr>
        <w:spacing w:after="60"/>
        <w:rPr>
          <w:lang w:val="de-DE"/>
        </w:rPr>
      </w:pPr>
      <w:r w:rsidRPr="00BB5519">
        <w:rPr>
          <w:rFonts w:eastAsia="Calibri" w:cs="Tahoma"/>
          <w:color w:val="000000"/>
          <w:szCs w:val="18"/>
          <w:lang w:val="de-DE"/>
        </w:rPr>
        <w:t xml:space="preserve">Um dieses Angebot anzunehmen, müssen Kunden (1) ein Windows Intune </w:t>
      </w:r>
      <w:r w:rsidRPr="00BB5519">
        <w:rPr>
          <w:rFonts w:cs="Tahoma"/>
          <w:szCs w:val="18"/>
          <w:lang w:val="de-DE"/>
        </w:rPr>
        <w:t>(Pro Gerät)-</w:t>
      </w:r>
      <w:r w:rsidRPr="00BB5519">
        <w:rPr>
          <w:rFonts w:eastAsia="Calibri" w:cs="Tahoma"/>
          <w:color w:val="000000"/>
          <w:szCs w:val="18"/>
          <w:lang w:val="de-DE"/>
        </w:rPr>
        <w:t xml:space="preserve">Testaccount unter </w:t>
      </w:r>
      <w:r w:rsidRPr="00FB41A4">
        <w:rPr>
          <w:lang w:val="de-DE"/>
        </w:rPr>
        <w:t>http://www.microsoft.com/en-us/windows/windowsintune/try-and-buy.aspx</w:t>
      </w:r>
      <w:r w:rsidRPr="00FB41A4">
        <w:rPr>
          <w:rFonts w:eastAsia="Calibri" w:cs="Tahoma"/>
          <w:szCs w:val="18"/>
          <w:lang w:val="de-DE"/>
        </w:rPr>
        <w:t xml:space="preserve"> einrichten und anschließend (2) das Formblatt für die Angebotsannahme unter </w:t>
      </w:r>
      <w:r w:rsidRPr="00FB41A4">
        <w:rPr>
          <w:lang w:val="de-DE"/>
        </w:rPr>
        <w:t>http://go.microsoft.com/fwlink/?LinkID=242876</w:t>
      </w:r>
      <w:r w:rsidRPr="00033A63">
        <w:rPr>
          <w:rFonts w:eastAsia="Calibri" w:cs="Tahoma"/>
          <w:color w:val="000000"/>
          <w:szCs w:val="18"/>
          <w:lang w:val="de-DE"/>
        </w:rPr>
        <w:t xml:space="preserve"> einreichen</w:t>
      </w:r>
      <w:r w:rsidRPr="00BB5519">
        <w:rPr>
          <w:rFonts w:eastAsia="Calibri" w:cs="Tahoma"/>
          <w:color w:val="000000"/>
          <w:szCs w:val="18"/>
          <w:lang w:val="de-DE"/>
        </w:rPr>
        <w:t>.</w:t>
      </w:r>
    </w:p>
    <w:p w:rsidR="0031394C" w:rsidRPr="00BB5519" w:rsidRDefault="0031394C" w:rsidP="007A3D6F">
      <w:pPr>
        <w:numPr>
          <w:ilvl w:val="1"/>
          <w:numId w:val="100"/>
        </w:numPr>
        <w:spacing w:after="60"/>
        <w:rPr>
          <w:lang w:val="de-DE"/>
        </w:rPr>
      </w:pPr>
      <w:r w:rsidRPr="00BB5519">
        <w:rPr>
          <w:rFonts w:eastAsia="Calibri" w:cs="Tahoma"/>
          <w:color w:val="000000"/>
          <w:szCs w:val="18"/>
          <w:lang w:val="de-DE"/>
        </w:rPr>
        <w:t xml:space="preserve">Der Zugriff auf und die Verwendung von Windows Intune </w:t>
      </w:r>
      <w:r w:rsidRPr="00BB5519">
        <w:rPr>
          <w:rFonts w:cs="Tahoma"/>
          <w:szCs w:val="18"/>
          <w:lang w:val="de-DE"/>
        </w:rPr>
        <w:t xml:space="preserve">(Pro Gerät) </w:t>
      </w:r>
      <w:r w:rsidRPr="00BB5519">
        <w:rPr>
          <w:rFonts w:eastAsia="Calibri" w:cs="Tahoma"/>
          <w:color w:val="000000"/>
          <w:szCs w:val="18"/>
          <w:lang w:val="de-DE"/>
        </w:rPr>
        <w:t>im Rahmen dieses Angebots</w:t>
      </w:r>
      <w:r w:rsidR="007A3D6F">
        <w:rPr>
          <w:rFonts w:eastAsia="Calibri" w:cs="Tahoma"/>
          <w:color w:val="000000"/>
          <w:szCs w:val="18"/>
          <w:lang w:val="de-DE"/>
        </w:rPr>
        <w:t> </w:t>
      </w:r>
      <w:r w:rsidRPr="00BB5519">
        <w:rPr>
          <w:rFonts w:eastAsia="Calibri" w:cs="Tahoma"/>
          <w:color w:val="000000"/>
          <w:szCs w:val="18"/>
          <w:lang w:val="de-DE"/>
        </w:rPr>
        <w:t>enden bei Ablauf des MDOP-Abonnements des Kunden.</w:t>
      </w:r>
    </w:p>
    <w:p w:rsidR="0031394C" w:rsidRPr="00BB5519" w:rsidRDefault="0031394C" w:rsidP="007A3D6F">
      <w:pPr>
        <w:numPr>
          <w:ilvl w:val="1"/>
          <w:numId w:val="100"/>
        </w:numPr>
        <w:spacing w:after="60"/>
        <w:rPr>
          <w:lang w:val="de-DE"/>
        </w:rPr>
      </w:pPr>
      <w:r w:rsidRPr="00BB5519">
        <w:rPr>
          <w:rFonts w:eastAsia="Calibri" w:cs="Tahoma"/>
          <w:color w:val="000000"/>
          <w:szCs w:val="18"/>
          <w:lang w:val="de-DE"/>
        </w:rPr>
        <w:t>Die Verwendung dieses Dienstes wird durch die Bestimmungen der Verträge der Kunden, die</w:t>
      </w:r>
      <w:r w:rsidR="007A3D6F">
        <w:rPr>
          <w:rFonts w:eastAsia="Calibri" w:cs="Tahoma"/>
          <w:color w:val="000000"/>
          <w:szCs w:val="18"/>
          <w:lang w:val="de-DE"/>
        </w:rPr>
        <w:t> </w:t>
      </w:r>
      <w:r w:rsidRPr="00BB5519">
        <w:rPr>
          <w:rFonts w:eastAsia="Calibri" w:cs="Tahoma"/>
          <w:color w:val="000000"/>
          <w:szCs w:val="18"/>
          <w:lang w:val="de-DE"/>
        </w:rPr>
        <w:t>Universellen Lizenzbestimmungen der Produktbenutzungsrechte und die Allgemeinen Lizenzbestimmungen im Abschnitt „Onlinedienste“ der Produktbenutzungsrechte geregelt.</w:t>
      </w:r>
    </w:p>
    <w:p w:rsidR="0031394C" w:rsidRPr="00BB5519" w:rsidRDefault="0031394C" w:rsidP="00483B3D">
      <w:pPr>
        <w:numPr>
          <w:ilvl w:val="1"/>
          <w:numId w:val="100"/>
        </w:numPr>
        <w:spacing w:after="60"/>
        <w:rPr>
          <w:lang w:val="de-DE"/>
        </w:rPr>
      </w:pPr>
      <w:r w:rsidRPr="00BB5519">
        <w:rPr>
          <w:rFonts w:eastAsia="Calibri" w:cs="Tahoma"/>
          <w:color w:val="000000"/>
          <w:szCs w:val="18"/>
          <w:lang w:val="de-DE"/>
        </w:rPr>
        <w:t xml:space="preserve">Die Anzahl der Geräte, von denen ein Kunde unter diesem Angebot zum Zugriff auf Windows Intune </w:t>
      </w:r>
      <w:r w:rsidRPr="00BB5519">
        <w:rPr>
          <w:rFonts w:cs="Tahoma"/>
          <w:szCs w:val="18"/>
          <w:lang w:val="de-DE"/>
        </w:rPr>
        <w:t>(Pro Gerät)</w:t>
      </w:r>
      <w:r w:rsidRPr="00BB5519">
        <w:rPr>
          <w:rFonts w:eastAsia="Calibri" w:cs="Tahoma"/>
          <w:color w:val="000000"/>
          <w:szCs w:val="18"/>
          <w:lang w:val="de-DE"/>
        </w:rPr>
        <w:t xml:space="preserve"> berechtigt ist, entspricht der Gesamtzahl der AIS-Abonnement-Arbeitsplätze zu dem Zeitpunkt, an dem der Kunde dieses Windows Intune </w:t>
      </w:r>
      <w:r w:rsidRPr="00BB5519">
        <w:rPr>
          <w:rFonts w:cs="Tahoma"/>
          <w:szCs w:val="18"/>
          <w:lang w:val="de-DE"/>
        </w:rPr>
        <w:t>(Pro Gerät)</w:t>
      </w:r>
      <w:r w:rsidRPr="00BB5519">
        <w:rPr>
          <w:rFonts w:eastAsia="Calibri" w:cs="Tahoma"/>
          <w:color w:val="000000"/>
          <w:szCs w:val="18"/>
          <w:lang w:val="de-DE"/>
        </w:rPr>
        <w:t>-Angebot annimmt.</w:t>
      </w:r>
      <w:r w:rsidR="009E4976" w:rsidRPr="00BB5519">
        <w:rPr>
          <w:rFonts w:eastAsia="Calibri" w:cs="Tahoma"/>
          <w:color w:val="000000"/>
          <w:szCs w:val="18"/>
          <w:lang w:val="de-DE"/>
        </w:rPr>
        <w:t xml:space="preserve"> </w:t>
      </w:r>
      <w:r w:rsidRPr="00BB5519">
        <w:rPr>
          <w:rFonts w:eastAsia="Calibri" w:cs="Tahoma"/>
          <w:color w:val="000000"/>
          <w:szCs w:val="18"/>
          <w:lang w:val="de-DE"/>
        </w:rPr>
        <w:t>AIS-Arbeitsplätze, die einem aktiven Account bis zu dem Zeitpunkt hinzugefügt werden, an dem der Kunde das Windows</w:t>
      </w:r>
      <w:r w:rsidRPr="00BB5519">
        <w:rPr>
          <w:rFonts w:eastAsia="Calibri" w:cs="Tahoma"/>
          <w:color w:val="000000"/>
          <w:szCs w:val="18"/>
          <w:vertAlign w:val="superscript"/>
          <w:lang w:val="de-DE"/>
        </w:rPr>
        <w:t>®</w:t>
      </w:r>
      <w:r w:rsidRPr="00BB5519">
        <w:rPr>
          <w:rFonts w:eastAsia="Calibri" w:cs="Tahoma"/>
          <w:color w:val="000000"/>
          <w:szCs w:val="18"/>
          <w:lang w:val="de-DE"/>
        </w:rPr>
        <w:t xml:space="preserve"> Intune-Angebot annimmt, sind in der Anzahl enthalten.</w:t>
      </w:r>
    </w:p>
    <w:p w:rsidR="0031394C" w:rsidRPr="00BB5519" w:rsidRDefault="0031394C" w:rsidP="0087798C">
      <w:pPr>
        <w:numPr>
          <w:ilvl w:val="1"/>
          <w:numId w:val="100"/>
        </w:numPr>
        <w:spacing w:after="40"/>
        <w:rPr>
          <w:lang w:val="de-DE"/>
        </w:rPr>
      </w:pPr>
      <w:r w:rsidRPr="00BB5519">
        <w:rPr>
          <w:rFonts w:eastAsia="Calibri" w:cs="Tahoma"/>
          <w:color w:val="000000"/>
          <w:szCs w:val="18"/>
          <w:lang w:val="de-DE"/>
        </w:rPr>
        <w:lastRenderedPageBreak/>
        <w:t xml:space="preserve">MDOP-Arbeitsplätze, die nach Annahme dieses Windows Intune </w:t>
      </w:r>
      <w:r w:rsidRPr="00BB5519">
        <w:rPr>
          <w:rFonts w:cs="Tahoma"/>
          <w:szCs w:val="18"/>
          <w:lang w:val="de-DE"/>
        </w:rPr>
        <w:t>(Pro Gerät)</w:t>
      </w:r>
      <w:r w:rsidRPr="00BB5519">
        <w:rPr>
          <w:rFonts w:eastAsia="Calibri" w:cs="Tahoma"/>
          <w:color w:val="000000"/>
          <w:szCs w:val="18"/>
          <w:lang w:val="de-DE"/>
        </w:rPr>
        <w:t>-Angebots durch</w:t>
      </w:r>
      <w:r w:rsidR="007A3D6F">
        <w:rPr>
          <w:rFonts w:eastAsia="Calibri" w:cs="Tahoma"/>
          <w:color w:val="000000"/>
          <w:szCs w:val="18"/>
          <w:lang w:val="de-DE"/>
        </w:rPr>
        <w:t> </w:t>
      </w:r>
      <w:r w:rsidRPr="00BB5519">
        <w:rPr>
          <w:rFonts w:eastAsia="Calibri" w:cs="Tahoma"/>
          <w:color w:val="000000"/>
          <w:szCs w:val="18"/>
          <w:lang w:val="de-DE"/>
        </w:rPr>
        <w:t>den</w:t>
      </w:r>
      <w:r w:rsidR="007A3D6F">
        <w:rPr>
          <w:rFonts w:eastAsia="Calibri" w:cs="Tahoma"/>
          <w:color w:val="000000"/>
          <w:szCs w:val="18"/>
          <w:lang w:val="de-DE"/>
        </w:rPr>
        <w:t> </w:t>
      </w:r>
      <w:r w:rsidRPr="00BB5519">
        <w:rPr>
          <w:rFonts w:eastAsia="Calibri" w:cs="Tahoma"/>
          <w:color w:val="000000"/>
          <w:szCs w:val="18"/>
          <w:lang w:val="de-DE"/>
        </w:rPr>
        <w:t xml:space="preserve">Kunden erworben werden, einschließlich durch den True Up-Prozess unter dem Volumenlizenzvertrag erworbene Lizenzen, sind nicht zum Zugriff auf Windows Intune </w:t>
      </w:r>
      <w:r w:rsidRPr="00BB5519">
        <w:rPr>
          <w:rFonts w:cs="Tahoma"/>
          <w:szCs w:val="18"/>
          <w:lang w:val="de-DE"/>
        </w:rPr>
        <w:t xml:space="preserve">(Pro Gerät) </w:t>
      </w:r>
      <w:r w:rsidRPr="00BB5519">
        <w:rPr>
          <w:rFonts w:eastAsia="Calibri" w:cs="Tahoma"/>
          <w:color w:val="000000"/>
          <w:szCs w:val="18"/>
          <w:lang w:val="de-DE"/>
        </w:rPr>
        <w:t xml:space="preserve">unter diesem Angebot berechtigt. Wenn ein Kunde von einer Anzahl von Geräten auf Windows Intune </w:t>
      </w:r>
      <w:r w:rsidRPr="00BB5519">
        <w:rPr>
          <w:rFonts w:cs="Tahoma"/>
          <w:szCs w:val="18"/>
          <w:lang w:val="de-DE"/>
        </w:rPr>
        <w:t>(Pro Gerät)</w:t>
      </w:r>
      <w:r w:rsidRPr="00BB5519">
        <w:rPr>
          <w:rFonts w:eastAsia="Calibri" w:cs="Tahoma"/>
          <w:color w:val="000000"/>
          <w:szCs w:val="18"/>
          <w:lang w:val="de-DE"/>
        </w:rPr>
        <w:t xml:space="preserve"> zugreifen möchte, die die unter diesem Angebot zulässige Anzahl übersteigt, muss er zusätzliche Lizenzen separat erwerben.</w:t>
      </w:r>
    </w:p>
    <w:p w:rsidR="005403C8" w:rsidRPr="00BB5519" w:rsidRDefault="0031394C" w:rsidP="0087798C">
      <w:pPr>
        <w:numPr>
          <w:ilvl w:val="1"/>
          <w:numId w:val="100"/>
        </w:numPr>
        <w:spacing w:after="40"/>
        <w:rPr>
          <w:lang w:val="de-DE"/>
        </w:rPr>
      </w:pPr>
      <w:r w:rsidRPr="00BB5519">
        <w:rPr>
          <w:rFonts w:eastAsia="Calibri" w:cs="Tahoma"/>
          <w:color w:val="000000"/>
          <w:szCs w:val="18"/>
          <w:lang w:val="de-DE"/>
        </w:rPr>
        <w:t xml:space="preserve">Rechte für den Zugriff auf Windows Intune </w:t>
      </w:r>
      <w:r w:rsidRPr="00BB5519">
        <w:rPr>
          <w:rFonts w:cs="Tahoma"/>
          <w:szCs w:val="18"/>
          <w:lang w:val="de-DE"/>
        </w:rPr>
        <w:t>(Pro Gerät)</w:t>
      </w:r>
      <w:r w:rsidRPr="00BB5519">
        <w:rPr>
          <w:rFonts w:eastAsia="Calibri" w:cs="Tahoma"/>
          <w:color w:val="000000"/>
          <w:szCs w:val="18"/>
          <w:lang w:val="de-DE"/>
        </w:rPr>
        <w:t xml:space="preserve"> unter diesem Angebot umfassen keine Rechte zur Verwendung des Windows Desktop-Betriebssystems.</w:t>
      </w:r>
      <w:r w:rsidR="009E4976" w:rsidRPr="00BB5519">
        <w:rPr>
          <w:rFonts w:eastAsia="Calibri" w:cs="Tahoma"/>
          <w:color w:val="000000"/>
          <w:szCs w:val="18"/>
          <w:lang w:val="de-DE"/>
        </w:rPr>
        <w:t xml:space="preserve"> </w:t>
      </w:r>
      <w:bookmarkStart w:id="1143" w:name="_24_Windows®_Companion"/>
      <w:bookmarkStart w:id="1144" w:name="_24_Windows®_8"/>
      <w:bookmarkStart w:id="1145" w:name="Sys_22WindowsPartnersLearning"/>
      <w:bookmarkEnd w:id="1142"/>
      <w:bookmarkEnd w:id="1143"/>
      <w:bookmarkEnd w:id="1144"/>
    </w:p>
    <w:p w:rsidR="00810479" w:rsidRPr="0087798C" w:rsidRDefault="00810479" w:rsidP="007A73DF">
      <w:pPr>
        <w:contextualSpacing/>
        <w:rPr>
          <w:sz w:val="16"/>
          <w:szCs w:val="16"/>
          <w:lang w:val="de-DE"/>
        </w:rPr>
      </w:pPr>
    </w:p>
    <w:p w:rsidR="00483B3D" w:rsidRPr="0087798C" w:rsidRDefault="00483B3D" w:rsidP="007A73DF">
      <w:pPr>
        <w:contextualSpacing/>
        <w:rPr>
          <w:sz w:val="16"/>
          <w:szCs w:val="16"/>
          <w:lang w:val="de-DE"/>
        </w:rPr>
      </w:pPr>
    </w:p>
    <w:p w:rsidR="00483B3D" w:rsidRPr="00BB5519" w:rsidRDefault="004668D9" w:rsidP="00483B3D">
      <w:pPr>
        <w:pStyle w:val="Heading3"/>
        <w:rPr>
          <w:lang w:val="de-DE"/>
        </w:rPr>
      </w:pPr>
      <w:bookmarkStart w:id="1146" w:name="_25_Windows®_Companion-Abonnementliz"/>
      <w:bookmarkStart w:id="1147" w:name="_Toc336338281"/>
      <w:bookmarkStart w:id="1148" w:name="_Toc354054979"/>
      <w:bookmarkEnd w:id="1146"/>
      <w:r w:rsidRPr="00BB5519">
        <w:rPr>
          <w:rFonts w:ascii="Tahoma" w:hAnsi="Tahoma"/>
          <w:caps/>
          <w:color w:val="F66400"/>
          <w:sz w:val="22"/>
          <w:vertAlign w:val="superscript"/>
          <w:lang w:val="de-DE"/>
        </w:rPr>
        <w:t xml:space="preserve">25 </w:t>
      </w:r>
      <w:r w:rsidRPr="00BB5519">
        <w:rPr>
          <w:rFonts w:ascii="Tahoma" w:hAnsi="Tahoma"/>
          <w:color w:val="F66400"/>
          <w:sz w:val="22"/>
          <w:lang w:val="de-DE"/>
        </w:rPr>
        <w:t>Windows</w:t>
      </w:r>
      <w:r w:rsidRPr="00BB5519">
        <w:rPr>
          <w:rFonts w:ascii="Tahoma" w:hAnsi="Tahoma"/>
          <w:color w:val="F66400"/>
          <w:sz w:val="22"/>
          <w:vertAlign w:val="superscript"/>
          <w:lang w:val="de-DE"/>
        </w:rPr>
        <w:t>®</w:t>
      </w:r>
      <w:r w:rsidRPr="00BB5519">
        <w:rPr>
          <w:rFonts w:ascii="Tahoma" w:hAnsi="Tahoma"/>
          <w:color w:val="F66400"/>
          <w:sz w:val="22"/>
          <w:lang w:val="de-DE"/>
        </w:rPr>
        <w:t xml:space="preserve"> Companion-Abonnementlizenz</w:t>
      </w:r>
      <w:bookmarkEnd w:id="1147"/>
      <w:bookmarkEnd w:id="1148"/>
    </w:p>
    <w:p w:rsidR="00483B3D" w:rsidRPr="0087798C" w:rsidRDefault="00483B3D" w:rsidP="00483B3D">
      <w:pPr>
        <w:rPr>
          <w:sz w:val="16"/>
          <w:szCs w:val="16"/>
          <w:lang w:val="de-DE"/>
        </w:rPr>
      </w:pPr>
    </w:p>
    <w:p w:rsidR="00483B3D" w:rsidRPr="00BB5519" w:rsidRDefault="00483B3D" w:rsidP="0087798C">
      <w:pPr>
        <w:spacing w:after="40"/>
        <w:ind w:left="720"/>
        <w:rPr>
          <w:lang w:val="de-DE"/>
        </w:rPr>
      </w:pPr>
      <w:r w:rsidRPr="00BB5519">
        <w:rPr>
          <w:b/>
          <w:color w:val="000000"/>
          <w:lang w:val="de-DE"/>
        </w:rPr>
        <w:t>Einrichtungen mit einem School-Vertrag</w:t>
      </w:r>
    </w:p>
    <w:p w:rsidR="00483B3D" w:rsidRPr="00BB5519" w:rsidRDefault="00483B3D" w:rsidP="00483B3D">
      <w:pPr>
        <w:ind w:left="720"/>
        <w:rPr>
          <w:lang w:val="de-DE"/>
        </w:rPr>
      </w:pPr>
      <w:r w:rsidRPr="00BB5519">
        <w:rPr>
          <w:color w:val="000000"/>
          <w:lang w:val="de-DE"/>
        </w:rPr>
        <w:t>Einrichtungen sind berechtigt, die Windows Companion-Abonnementlizenz (CSL) zu erwerben, wenn die qualifizierenden Produkte abgedeckt sind.</w:t>
      </w:r>
      <w:r w:rsidR="009E4976" w:rsidRPr="00BB5519">
        <w:rPr>
          <w:color w:val="000000"/>
          <w:lang w:val="de-DE"/>
        </w:rPr>
        <w:t xml:space="preserve"> </w:t>
      </w:r>
      <w:r w:rsidRPr="00BB5519">
        <w:rPr>
          <w:color w:val="000000"/>
          <w:lang w:val="de-DE"/>
        </w:rPr>
        <w:t>Die maximale Anzahl von CSLs, die erworben werden dürfen, entspricht der Anzahl Berechtigter PCs der qualifizierenden Produkte.</w:t>
      </w:r>
    </w:p>
    <w:p w:rsidR="00483B3D" w:rsidRPr="0087798C" w:rsidRDefault="00483B3D" w:rsidP="00483B3D">
      <w:pPr>
        <w:rPr>
          <w:sz w:val="16"/>
          <w:szCs w:val="16"/>
          <w:lang w:val="de-DE"/>
        </w:rPr>
      </w:pPr>
    </w:p>
    <w:p w:rsidR="00483B3D" w:rsidRPr="00BB5519" w:rsidRDefault="00483B3D" w:rsidP="0087798C">
      <w:pPr>
        <w:spacing w:after="40"/>
        <w:ind w:left="720"/>
        <w:rPr>
          <w:lang w:val="de-DE"/>
        </w:rPr>
      </w:pPr>
      <w:r w:rsidRPr="00BB5519">
        <w:rPr>
          <w:b/>
          <w:color w:val="000000"/>
          <w:lang w:val="de-DE"/>
        </w:rPr>
        <w:t>Companion-Geräte und Qualifizierte Geräte</w:t>
      </w:r>
    </w:p>
    <w:p w:rsidR="00483B3D" w:rsidRPr="00BB5519" w:rsidRDefault="00483B3D" w:rsidP="00483B3D">
      <w:pPr>
        <w:ind w:left="720"/>
        <w:rPr>
          <w:lang w:val="de-DE"/>
        </w:rPr>
      </w:pPr>
      <w:r w:rsidRPr="00BB5519">
        <w:rPr>
          <w:color w:val="000000"/>
          <w:lang w:val="de-DE"/>
        </w:rPr>
        <w:t>Companion-Geräte, bei denen Nutzungsrechte angewendet werden, die von der CSL bereitgestellt werden, sind Qualifizierte Geräte. Die CSL ist ein Konzernprodukt und erfüllt daher den Systemteil einer jeden Abnahmeverpflichtung für Qualifizierte Geräte.</w:t>
      </w:r>
      <w:r w:rsidR="009E4976" w:rsidRPr="00BB5519">
        <w:rPr>
          <w:color w:val="000000"/>
          <w:lang w:val="de-DE"/>
        </w:rPr>
        <w:t xml:space="preserve"> </w:t>
      </w:r>
      <w:r w:rsidRPr="00BB5519">
        <w:rPr>
          <w:color w:val="000000"/>
          <w:lang w:val="de-DE"/>
        </w:rPr>
        <w:t xml:space="preserve">Die CSLs können in beliebiger Menge erworben werden und müssen nicht für alle Qualifizierten </w:t>
      </w:r>
      <w:r w:rsidRPr="00BB5519">
        <w:rPr>
          <w:lang w:val="de-DE"/>
        </w:rPr>
        <w:t>Geräte einer Organisation erworben werden, jedoch darf die Anzahl der CSLs in keinem Fall die Zahl der Summe aus Windows-Upgrades und VDA-Lizenzen übersteigen.</w:t>
      </w:r>
    </w:p>
    <w:p w:rsidR="00483B3D" w:rsidRPr="0087798C" w:rsidRDefault="00483B3D" w:rsidP="00483B3D">
      <w:pPr>
        <w:rPr>
          <w:sz w:val="16"/>
          <w:szCs w:val="16"/>
          <w:lang w:val="de-DE"/>
        </w:rPr>
      </w:pPr>
    </w:p>
    <w:p w:rsidR="00483B3D" w:rsidRPr="0087798C" w:rsidRDefault="00483B3D" w:rsidP="00483B3D">
      <w:pPr>
        <w:rPr>
          <w:sz w:val="16"/>
          <w:szCs w:val="16"/>
          <w:lang w:val="de-DE"/>
        </w:rPr>
      </w:pPr>
    </w:p>
    <w:p w:rsidR="00483B3D" w:rsidRPr="00BB5519" w:rsidRDefault="004668D9" w:rsidP="00483B3D">
      <w:pPr>
        <w:pStyle w:val="Heading3"/>
        <w:rPr>
          <w:lang w:val="de-DE"/>
        </w:rPr>
      </w:pPr>
      <w:bookmarkStart w:id="1149" w:name="_Toc336338282"/>
      <w:bookmarkStart w:id="1150" w:name="_Toc354054980"/>
      <w:bookmarkStart w:id="1151" w:name="Sys_24WindowsVistaDVDPack"/>
      <w:r w:rsidRPr="00BB5519">
        <w:rPr>
          <w:rFonts w:ascii="Tahoma" w:hAnsi="Tahoma"/>
          <w:caps/>
          <w:color w:val="F66400"/>
          <w:sz w:val="22"/>
          <w:vertAlign w:val="superscript"/>
          <w:lang w:val="de-DE"/>
        </w:rPr>
        <w:t>26</w:t>
      </w:r>
      <w:r w:rsidRPr="00BB5519">
        <w:rPr>
          <w:rFonts w:ascii="Tahoma" w:eastAsia="Times New Roman" w:hAnsi="Tahoma" w:cs="Tahoma"/>
          <w:bCs/>
          <w:color w:val="F66400"/>
          <w:sz w:val="22"/>
          <w:szCs w:val="22"/>
          <w:lang w:val="de-DE"/>
        </w:rPr>
        <w:t xml:space="preserve"> Windows Vista DVD Playback Pack</w:t>
      </w:r>
      <w:bookmarkEnd w:id="1149"/>
      <w:bookmarkEnd w:id="1150"/>
    </w:p>
    <w:bookmarkEnd w:id="1151"/>
    <w:p w:rsidR="00483B3D" w:rsidRPr="0087798C" w:rsidRDefault="00483B3D" w:rsidP="00483B3D">
      <w:pPr>
        <w:rPr>
          <w:sz w:val="16"/>
          <w:szCs w:val="16"/>
          <w:lang w:val="de-DE"/>
        </w:rPr>
      </w:pPr>
    </w:p>
    <w:p w:rsidR="00483B3D" w:rsidRPr="00BB5519" w:rsidRDefault="00483B3D" w:rsidP="007A3D6F">
      <w:pPr>
        <w:ind w:left="720"/>
        <w:rPr>
          <w:lang w:val="de-DE"/>
        </w:rPr>
      </w:pPr>
      <w:r w:rsidRPr="00BB5519">
        <w:rPr>
          <w:rFonts w:eastAsia="Calibri" w:cs="Tahoma"/>
          <w:color w:val="000000"/>
          <w:szCs w:val="18"/>
          <w:lang w:val="de-DE"/>
        </w:rPr>
        <w:t>Kunden mit Volumenlizenzverträgen, die Windows Vista DVD Playback Pack installieren oder nutzen, sollten</w:t>
      </w:r>
      <w:r w:rsidR="007A3D6F">
        <w:rPr>
          <w:rFonts w:eastAsia="Calibri" w:cs="Tahoma"/>
          <w:color w:val="000000"/>
          <w:szCs w:val="18"/>
          <w:lang w:val="de-DE"/>
        </w:rPr>
        <w:t> </w:t>
      </w:r>
      <w:r w:rsidRPr="00BB5519">
        <w:rPr>
          <w:rFonts w:eastAsia="Calibri" w:cs="Tahoma"/>
          <w:color w:val="000000"/>
          <w:szCs w:val="18"/>
          <w:lang w:val="de-DE"/>
        </w:rPr>
        <w:t>sich in den Microsoft Licensing-Produktbenutzungsrechten (PUR) für Dezember 2010 über die Lizenzbestimmungen informieren.</w:t>
      </w:r>
    </w:p>
    <w:p w:rsidR="00483B3D" w:rsidRPr="0087798C" w:rsidRDefault="00483B3D" w:rsidP="00483B3D">
      <w:pPr>
        <w:rPr>
          <w:sz w:val="16"/>
          <w:szCs w:val="16"/>
          <w:lang w:val="de-DE"/>
        </w:rPr>
      </w:pPr>
    </w:p>
    <w:p w:rsidR="007A73DF" w:rsidRPr="0087798C" w:rsidRDefault="007A73DF" w:rsidP="007A73DF">
      <w:pPr>
        <w:contextualSpacing/>
        <w:rPr>
          <w:sz w:val="16"/>
          <w:szCs w:val="16"/>
          <w:lang w:val="de-DE"/>
        </w:rPr>
      </w:pPr>
    </w:p>
    <w:p w:rsidR="005D4DAB" w:rsidRPr="00BB5519" w:rsidRDefault="004668D9" w:rsidP="00C646B3">
      <w:pPr>
        <w:pStyle w:val="Heading3"/>
      </w:pPr>
      <w:bookmarkStart w:id="1152" w:name="_27_Windows®_8"/>
      <w:bookmarkStart w:id="1153" w:name="_Toc336338284"/>
      <w:bookmarkStart w:id="1154" w:name="_Toc354054981"/>
      <w:bookmarkEnd w:id="1152"/>
      <w:r w:rsidRPr="00BB5519">
        <w:rPr>
          <w:rFonts w:ascii="Tahoma" w:hAnsi="Tahoma"/>
          <w:caps/>
          <w:color w:val="F66400"/>
          <w:sz w:val="22"/>
          <w:vertAlign w:val="superscript"/>
        </w:rPr>
        <w:t>27</w:t>
      </w:r>
      <w:r w:rsidRPr="00BB5519">
        <w:rPr>
          <w:rFonts w:ascii="Tahoma" w:hAnsi="Tahoma"/>
          <w:color w:val="F66400"/>
          <w:sz w:val="22"/>
        </w:rPr>
        <w:t xml:space="preserve"> Windows</w:t>
      </w:r>
      <w:r w:rsidRPr="00BB5519">
        <w:rPr>
          <w:rFonts w:ascii="Tahoma" w:hAnsi="Tahoma"/>
          <w:color w:val="F66400"/>
          <w:sz w:val="22"/>
          <w:vertAlign w:val="superscript"/>
        </w:rPr>
        <w:t>®</w:t>
      </w:r>
      <w:r w:rsidRPr="00BB5519">
        <w:rPr>
          <w:rFonts w:ascii="Tahoma" w:hAnsi="Tahoma"/>
          <w:color w:val="F66400"/>
          <w:sz w:val="22"/>
        </w:rPr>
        <w:t xml:space="preserve"> 8 Enterprise Sideloading</w:t>
      </w:r>
      <w:bookmarkEnd w:id="1153"/>
      <w:bookmarkEnd w:id="1154"/>
    </w:p>
    <w:p w:rsidR="009B2474" w:rsidRPr="0087798C" w:rsidRDefault="009B2474" w:rsidP="009B2474">
      <w:pPr>
        <w:rPr>
          <w:sz w:val="16"/>
          <w:szCs w:val="16"/>
        </w:rPr>
      </w:pPr>
    </w:p>
    <w:p w:rsidR="009B2474" w:rsidRPr="0087798C" w:rsidRDefault="009B2474" w:rsidP="009B2474">
      <w:pPr>
        <w:rPr>
          <w:sz w:val="16"/>
          <w:szCs w:val="16"/>
        </w:rPr>
      </w:pPr>
    </w:p>
    <w:tbl>
      <w:tblPr>
        <w:tblW w:w="6250" w:type="dxa"/>
        <w:tblInd w:w="780" w:type="dxa"/>
        <w:tblLayout w:type="fixed"/>
        <w:tblCellMar>
          <w:left w:w="0" w:type="dxa"/>
          <w:right w:w="0" w:type="dxa"/>
        </w:tblCellMar>
        <w:tblLook w:val="04A0" w:firstRow="1" w:lastRow="0" w:firstColumn="1" w:lastColumn="0" w:noHBand="0" w:noVBand="1"/>
      </w:tblPr>
      <w:tblGrid>
        <w:gridCol w:w="3158"/>
        <w:gridCol w:w="1382"/>
        <w:gridCol w:w="1710"/>
      </w:tblGrid>
      <w:tr w:rsidR="005D4DAB" w:rsidRPr="00BB5519" w:rsidTr="007A3D6F">
        <w:trPr>
          <w:trHeight w:val="900"/>
          <w:tblHeader/>
        </w:trPr>
        <w:tc>
          <w:tcPr>
            <w:tcW w:w="3158"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BB5519" w:rsidRDefault="00433F5F" w:rsidP="005D4DAB">
            <w:pPr>
              <w:jc w:val="center"/>
              <w:rPr>
                <w:rFonts w:eastAsia="Calibri" w:cs="Tahoma"/>
                <w:b/>
                <w:bCs/>
                <w:szCs w:val="18"/>
              </w:rPr>
            </w:pPr>
            <w:r w:rsidRPr="00BB5519">
              <w:rPr>
                <w:rFonts w:cs="Tahoma"/>
                <w:b/>
                <w:bCs/>
                <w:szCs w:val="18"/>
              </w:rPr>
              <w:t>Programmverfügbarkeit</w:t>
            </w:r>
          </w:p>
        </w:tc>
        <w:tc>
          <w:tcPr>
            <w:tcW w:w="1382" w:type="dxa"/>
            <w:tcBorders>
              <w:top w:val="single" w:sz="4" w:space="0" w:color="auto"/>
              <w:left w:val="nil"/>
              <w:bottom w:val="single" w:sz="4" w:space="0" w:color="auto"/>
              <w:right w:val="single" w:sz="4" w:space="0" w:color="auto"/>
            </w:tcBorders>
            <w:shd w:val="clear" w:color="auto" w:fill="FABF8F"/>
            <w:vAlign w:val="bottom"/>
          </w:tcPr>
          <w:p w:rsidR="005D4DAB" w:rsidRPr="00BB5519" w:rsidRDefault="005D4DAB" w:rsidP="005D4DAB">
            <w:pPr>
              <w:jc w:val="center"/>
              <w:rPr>
                <w:rFonts w:cs="Tahoma"/>
                <w:b/>
                <w:bCs/>
                <w:szCs w:val="18"/>
              </w:rPr>
            </w:pPr>
            <w:r w:rsidRPr="00BB5519">
              <w:rPr>
                <w:rFonts w:cs="Tahoma"/>
                <w:b/>
                <w:bCs/>
                <w:szCs w:val="18"/>
              </w:rPr>
              <w:t>Zum Erwerb verfügbare Lizenzen</w:t>
            </w:r>
          </w:p>
        </w:tc>
        <w:tc>
          <w:tcPr>
            <w:tcW w:w="171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BB5519" w:rsidRDefault="005D4DAB" w:rsidP="005D4DAB">
            <w:pPr>
              <w:jc w:val="center"/>
              <w:rPr>
                <w:rFonts w:eastAsia="Calibri" w:cs="Tahoma"/>
                <w:b/>
                <w:bCs/>
                <w:szCs w:val="18"/>
              </w:rPr>
            </w:pPr>
            <w:r w:rsidRPr="00BB5519">
              <w:rPr>
                <w:rFonts w:cs="Tahoma"/>
                <w:b/>
                <w:bCs/>
                <w:szCs w:val="18"/>
              </w:rPr>
              <w:t>Als SA-Vergünstigung verfügbar</w:t>
            </w:r>
          </w:p>
        </w:tc>
      </w:tr>
      <w:tr w:rsidR="005D4DAB" w:rsidRPr="00BB5519" w:rsidTr="007A3D6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BB5519" w:rsidRDefault="005D4DAB" w:rsidP="005D4DAB">
            <w:pPr>
              <w:jc w:val="center"/>
              <w:rPr>
                <w:rFonts w:eastAsia="Calibri" w:cs="Tahoma"/>
                <w:b/>
                <w:bCs/>
                <w:szCs w:val="18"/>
              </w:rPr>
            </w:pPr>
            <w:r w:rsidRPr="00BB5519">
              <w:rPr>
                <w:rFonts w:cs="Tahoma"/>
                <w:b/>
                <w:bCs/>
                <w:szCs w:val="18"/>
              </w:rPr>
              <w:t>Open-Lizenz</w:t>
            </w:r>
          </w:p>
        </w:tc>
        <w:tc>
          <w:tcPr>
            <w:tcW w:w="1382" w:type="dxa"/>
            <w:tcBorders>
              <w:top w:val="single" w:sz="4" w:space="0" w:color="auto"/>
              <w:left w:val="single" w:sz="4" w:space="0" w:color="auto"/>
              <w:bottom w:val="single" w:sz="4" w:space="0" w:color="auto"/>
              <w:right w:val="single" w:sz="4" w:space="0" w:color="auto"/>
            </w:tcBorders>
            <w:vAlign w:val="center"/>
          </w:tcPr>
          <w:p w:rsidR="005D4DAB" w:rsidRPr="00BB5519" w:rsidRDefault="005D4DAB" w:rsidP="005D4DAB">
            <w:pPr>
              <w:jc w:val="center"/>
              <w:rPr>
                <w:rFonts w:cs="Tahoma"/>
                <w:szCs w:val="18"/>
              </w:rPr>
            </w:pPr>
            <w:r w:rsidRPr="00BB5519">
              <w:rPr>
                <w:rFonts w:cs="Tahoma"/>
                <w:szCs w:val="18"/>
              </w:rPr>
              <w:t>x</w:t>
            </w:r>
          </w:p>
        </w:tc>
        <w:tc>
          <w:tcPr>
            <w:tcW w:w="17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BB5519" w:rsidRDefault="005D4DAB" w:rsidP="005D4DAB">
            <w:pPr>
              <w:jc w:val="center"/>
              <w:rPr>
                <w:rFonts w:eastAsia="Calibri" w:cs="Tahoma"/>
                <w:szCs w:val="18"/>
              </w:rPr>
            </w:pPr>
          </w:p>
        </w:tc>
      </w:tr>
      <w:tr w:rsidR="005D4DAB" w:rsidRPr="00BB5519" w:rsidTr="007A3D6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5519" w:rsidRDefault="005D4DAB" w:rsidP="005D4DAB">
            <w:pPr>
              <w:jc w:val="center"/>
              <w:rPr>
                <w:rFonts w:cs="Tahoma"/>
                <w:b/>
                <w:bCs/>
                <w:szCs w:val="18"/>
              </w:rPr>
            </w:pPr>
            <w:r w:rsidRPr="00BB5519">
              <w:rPr>
                <w:rFonts w:cs="Tahoma"/>
                <w:b/>
                <w:bCs/>
                <w:szCs w:val="18"/>
              </w:rPr>
              <w:t>Select/Select Plus</w:t>
            </w:r>
          </w:p>
        </w:tc>
        <w:tc>
          <w:tcPr>
            <w:tcW w:w="1382" w:type="dxa"/>
            <w:tcBorders>
              <w:top w:val="single" w:sz="4" w:space="0" w:color="auto"/>
              <w:left w:val="single" w:sz="4" w:space="0" w:color="auto"/>
              <w:bottom w:val="single" w:sz="4" w:space="0" w:color="auto"/>
              <w:right w:val="single" w:sz="4" w:space="0" w:color="auto"/>
            </w:tcBorders>
            <w:vAlign w:val="center"/>
          </w:tcPr>
          <w:p w:rsidR="005D4DAB" w:rsidRPr="00BB5519" w:rsidRDefault="005D4DAB" w:rsidP="005D4DAB">
            <w:pPr>
              <w:jc w:val="center"/>
              <w:rPr>
                <w:rFonts w:cs="Tahoma"/>
                <w:szCs w:val="18"/>
              </w:rPr>
            </w:pPr>
            <w:r w:rsidRPr="00BB5519">
              <w:rPr>
                <w:rFonts w:cs="Tahoma"/>
                <w:szCs w:val="18"/>
              </w:rPr>
              <w:t>x</w:t>
            </w:r>
          </w:p>
        </w:tc>
        <w:tc>
          <w:tcPr>
            <w:tcW w:w="17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5519" w:rsidRDefault="005D4DAB" w:rsidP="005D4DAB">
            <w:pPr>
              <w:jc w:val="center"/>
              <w:rPr>
                <w:rFonts w:eastAsia="Calibri" w:cs="Tahoma"/>
                <w:szCs w:val="18"/>
              </w:rPr>
            </w:pPr>
            <w:r w:rsidRPr="00BB5519">
              <w:rPr>
                <w:rFonts w:eastAsia="Calibri" w:cs="Tahoma"/>
                <w:szCs w:val="18"/>
              </w:rPr>
              <w:t>x</w:t>
            </w:r>
          </w:p>
        </w:tc>
      </w:tr>
      <w:tr w:rsidR="005D4DAB" w:rsidRPr="00BB5519" w:rsidTr="007A3D6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5519" w:rsidRDefault="005D4DAB" w:rsidP="005D4DAB">
            <w:pPr>
              <w:jc w:val="center"/>
              <w:rPr>
                <w:rFonts w:cs="Tahoma"/>
                <w:b/>
                <w:bCs/>
                <w:szCs w:val="18"/>
              </w:rPr>
            </w:pPr>
            <w:r w:rsidRPr="00BB5519">
              <w:rPr>
                <w:rFonts w:cs="Tahoma"/>
                <w:b/>
                <w:bCs/>
                <w:szCs w:val="18"/>
              </w:rPr>
              <w:t>Konzernvertrag/EAS</w:t>
            </w:r>
          </w:p>
        </w:tc>
        <w:tc>
          <w:tcPr>
            <w:tcW w:w="1382" w:type="dxa"/>
            <w:tcBorders>
              <w:top w:val="single" w:sz="4" w:space="0" w:color="auto"/>
              <w:left w:val="single" w:sz="4" w:space="0" w:color="auto"/>
              <w:bottom w:val="single" w:sz="4" w:space="0" w:color="auto"/>
              <w:right w:val="single" w:sz="4" w:space="0" w:color="auto"/>
            </w:tcBorders>
            <w:vAlign w:val="center"/>
          </w:tcPr>
          <w:p w:rsidR="005D4DAB" w:rsidRPr="00BB5519" w:rsidRDefault="005D4DAB" w:rsidP="005D4DAB">
            <w:pPr>
              <w:jc w:val="center"/>
              <w:rPr>
                <w:rFonts w:cs="Tahoma"/>
                <w:szCs w:val="18"/>
              </w:rPr>
            </w:pPr>
          </w:p>
        </w:tc>
        <w:tc>
          <w:tcPr>
            <w:tcW w:w="17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BB5519" w:rsidRDefault="005D4DAB" w:rsidP="005D4DAB">
            <w:pPr>
              <w:jc w:val="center"/>
              <w:rPr>
                <w:rFonts w:eastAsia="Calibri" w:cs="Tahoma"/>
                <w:szCs w:val="18"/>
              </w:rPr>
            </w:pPr>
            <w:r w:rsidRPr="00BB5519">
              <w:rPr>
                <w:rFonts w:eastAsia="Calibri" w:cs="Tahoma"/>
                <w:szCs w:val="18"/>
              </w:rPr>
              <w:t>x</w:t>
            </w:r>
          </w:p>
        </w:tc>
      </w:tr>
      <w:tr w:rsidR="00755633" w:rsidRPr="00BB5519" w:rsidTr="007A3D6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BB5519" w:rsidRDefault="00755633" w:rsidP="005D4DAB">
            <w:pPr>
              <w:jc w:val="center"/>
              <w:rPr>
                <w:rFonts w:cs="Tahoma"/>
                <w:b/>
                <w:bCs/>
                <w:szCs w:val="18"/>
              </w:rPr>
            </w:pPr>
            <w:r w:rsidRPr="00BB5519">
              <w:rPr>
                <w:rFonts w:cs="Tahoma"/>
                <w:b/>
                <w:bCs/>
                <w:szCs w:val="18"/>
              </w:rPr>
              <w:t>EES</w:t>
            </w:r>
          </w:p>
        </w:tc>
        <w:tc>
          <w:tcPr>
            <w:tcW w:w="1382" w:type="dxa"/>
            <w:tcBorders>
              <w:top w:val="single" w:sz="4" w:space="0" w:color="auto"/>
              <w:left w:val="single" w:sz="4" w:space="0" w:color="auto"/>
              <w:bottom w:val="single" w:sz="4" w:space="0" w:color="auto"/>
              <w:right w:val="single" w:sz="4" w:space="0" w:color="auto"/>
            </w:tcBorders>
            <w:vAlign w:val="center"/>
          </w:tcPr>
          <w:p w:rsidR="00755633" w:rsidRPr="00BB5519" w:rsidRDefault="00755633" w:rsidP="005D4DAB">
            <w:pPr>
              <w:jc w:val="center"/>
              <w:rPr>
                <w:rFonts w:cs="Tahoma"/>
                <w:szCs w:val="18"/>
              </w:rPr>
            </w:pPr>
          </w:p>
        </w:tc>
        <w:tc>
          <w:tcPr>
            <w:tcW w:w="17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BB5519" w:rsidRDefault="00755633" w:rsidP="005D4DAB">
            <w:pPr>
              <w:jc w:val="center"/>
              <w:rPr>
                <w:rFonts w:eastAsia="Calibri" w:cs="Tahoma"/>
                <w:szCs w:val="18"/>
              </w:rPr>
            </w:pPr>
            <w:r w:rsidRPr="00BB5519">
              <w:rPr>
                <w:rFonts w:eastAsia="Calibri" w:cs="Tahoma"/>
                <w:szCs w:val="18"/>
              </w:rPr>
              <w:t>x</w:t>
            </w:r>
          </w:p>
        </w:tc>
      </w:tr>
    </w:tbl>
    <w:p w:rsidR="005D4DAB" w:rsidRPr="00BB5519" w:rsidRDefault="005D4DAB" w:rsidP="00572128">
      <w:pPr>
        <w:ind w:left="900"/>
      </w:pPr>
    </w:p>
    <w:p w:rsidR="005D4DAB" w:rsidRPr="00BB5519" w:rsidRDefault="005D4DAB" w:rsidP="007A3D6F">
      <w:pPr>
        <w:ind w:left="720"/>
        <w:rPr>
          <w:lang w:val="de-DE"/>
        </w:rPr>
      </w:pPr>
      <w:r w:rsidRPr="00BB5519">
        <w:rPr>
          <w:rFonts w:cs="Tahoma"/>
          <w:szCs w:val="18"/>
          <w:lang w:val="de-DE"/>
        </w:rPr>
        <w:t>Windows Enterprise Sideloading bezeichnet die Installation neuer Windows 8-Apps, die zu Gunsten des Kunden direkt ohne Windows Store als Zwischenstation auf einem Gerät verwendet werden.</w:t>
      </w:r>
      <w:r w:rsidR="009E4976" w:rsidRPr="00BB5519">
        <w:rPr>
          <w:rFonts w:cs="Tahoma"/>
          <w:szCs w:val="18"/>
          <w:lang w:val="de-DE"/>
        </w:rPr>
        <w:t xml:space="preserve"> </w:t>
      </w:r>
      <w:r w:rsidRPr="00BB5519">
        <w:rPr>
          <w:rFonts w:cs="Tahoma"/>
          <w:szCs w:val="18"/>
          <w:lang w:val="de-DE"/>
        </w:rPr>
        <w:t>Bei Geräten mit Beitritt zur Domäne, die Windows 8 Enterprise Edition in einem beliebigen VL-Programm ausführen, sind die Features für Windows Enterprise Sideloading aktiviert.</w:t>
      </w:r>
      <w:r w:rsidR="009E4976" w:rsidRPr="00BB5519">
        <w:rPr>
          <w:rFonts w:cs="Tahoma"/>
          <w:szCs w:val="18"/>
          <w:lang w:val="de-DE"/>
        </w:rPr>
        <w:t xml:space="preserve"> </w:t>
      </w:r>
      <w:r w:rsidRPr="00BB5519">
        <w:rPr>
          <w:rFonts w:cs="Tahoma"/>
          <w:szCs w:val="18"/>
          <w:lang w:val="de-DE"/>
        </w:rPr>
        <w:t>Windows Enterprise Sideloading kann auch auf Geräten unter Windows 8 Enterprise aktiviert werden, die nicht über einen Beitritt zur Domäne verfügen, sowie auf Geräten unter Windows 8 Pro oder Windows RT über die Verwendung eines Product Key.</w:t>
      </w:r>
      <w:r w:rsidR="009E4976" w:rsidRPr="00BB5519">
        <w:rPr>
          <w:rFonts w:cs="Tahoma"/>
          <w:szCs w:val="18"/>
          <w:lang w:val="de-DE"/>
        </w:rPr>
        <w:t xml:space="preserve"> </w:t>
      </w:r>
      <w:r w:rsidRPr="00BB5519">
        <w:rPr>
          <w:rFonts w:cs="Tahoma"/>
          <w:szCs w:val="18"/>
          <w:lang w:val="de-DE"/>
        </w:rPr>
        <w:t>In jedem Fall darf Windows Enterprise Sideloading nur zur Bereitstellung von Apps verwendet werden, die zu Gunsten des Volumenlizenzkunden verwendet werden.</w:t>
      </w:r>
      <w:r w:rsidR="009E4976" w:rsidRPr="00BB5519">
        <w:rPr>
          <w:rFonts w:cs="Tahoma"/>
          <w:szCs w:val="18"/>
          <w:lang w:val="de-DE"/>
        </w:rPr>
        <w:t xml:space="preserve"> </w:t>
      </w:r>
      <w:r w:rsidRPr="00BB5519">
        <w:rPr>
          <w:rFonts w:cs="Tahoma"/>
          <w:szCs w:val="18"/>
          <w:lang w:val="de-DE"/>
        </w:rPr>
        <w:t>Die Windows Enterprise Sideloading-Funktionalität ergänzt das Windows Desktop-Betriebssystem, und daher gelten die auf das Windows Desktop-Betriebssystem anwendbaren Lizenzbestimmungen, wie hier ergänzt, für dessen Verwendung durch den</w:t>
      </w:r>
      <w:r w:rsidR="007A3D6F">
        <w:rPr>
          <w:rFonts w:cs="Tahoma"/>
          <w:szCs w:val="18"/>
          <w:lang w:val="de-DE"/>
        </w:rPr>
        <w:t> </w:t>
      </w:r>
      <w:r w:rsidRPr="00BB5519">
        <w:rPr>
          <w:rFonts w:cs="Tahoma"/>
          <w:szCs w:val="18"/>
          <w:lang w:val="de-DE"/>
        </w:rPr>
        <w:t>Kunden.</w:t>
      </w:r>
    </w:p>
    <w:p w:rsidR="005D4DAB" w:rsidRPr="00BB5519" w:rsidRDefault="005D4DAB" w:rsidP="00572128">
      <w:pPr>
        <w:ind w:left="900"/>
        <w:rPr>
          <w:lang w:val="de-DE"/>
        </w:rPr>
      </w:pPr>
    </w:p>
    <w:p w:rsidR="005D4DAB" w:rsidRPr="00BB5519" w:rsidRDefault="005D4DAB" w:rsidP="009B2474">
      <w:pPr>
        <w:spacing w:after="60"/>
        <w:ind w:left="720"/>
        <w:rPr>
          <w:lang w:val="de-DE"/>
        </w:rPr>
      </w:pPr>
      <w:r w:rsidRPr="00BB5519">
        <w:rPr>
          <w:rFonts w:cs="Tahoma"/>
          <w:b/>
          <w:szCs w:val="18"/>
          <w:lang w:val="de-DE"/>
        </w:rPr>
        <w:lastRenderedPageBreak/>
        <w:t>Software Assurance-Vergünstigung</w:t>
      </w:r>
    </w:p>
    <w:p w:rsidR="005D4DAB" w:rsidRPr="00BB5519" w:rsidRDefault="005D4DAB" w:rsidP="004211C8">
      <w:pPr>
        <w:ind w:left="720"/>
        <w:rPr>
          <w:lang w:val="de-DE"/>
        </w:rPr>
      </w:pPr>
      <w:r w:rsidRPr="00BB5519">
        <w:rPr>
          <w:rFonts w:cs="Tahoma"/>
          <w:szCs w:val="18"/>
          <w:lang w:val="de-DE"/>
        </w:rPr>
        <w:t>Ein Product Key kann zur Aktivierung von Windows Enterprise Sideloading auf folgenden Geräten verwendet</w:t>
      </w:r>
      <w:r w:rsidR="004211C8">
        <w:rPr>
          <w:rFonts w:cs="Tahoma"/>
          <w:szCs w:val="18"/>
          <w:lang w:val="de-DE"/>
        </w:rPr>
        <w:t> </w:t>
      </w:r>
      <w:r w:rsidRPr="00BB5519">
        <w:rPr>
          <w:rFonts w:cs="Tahoma"/>
          <w:szCs w:val="18"/>
          <w:lang w:val="de-DE"/>
        </w:rPr>
        <w:t>werden:</w:t>
      </w:r>
    </w:p>
    <w:p w:rsidR="009B2474" w:rsidRPr="00BB5519" w:rsidRDefault="009B2474" w:rsidP="00EE035D">
      <w:pPr>
        <w:ind w:left="720"/>
        <w:rPr>
          <w:lang w:val="de-DE"/>
        </w:rPr>
      </w:pPr>
    </w:p>
    <w:p w:rsidR="005D4DAB" w:rsidRPr="00BB5519" w:rsidRDefault="005D4DAB" w:rsidP="009B2474">
      <w:pPr>
        <w:pStyle w:val="ListParagraph"/>
        <w:numPr>
          <w:ilvl w:val="0"/>
          <w:numId w:val="101"/>
        </w:numPr>
        <w:spacing w:after="60"/>
        <w:ind w:left="1440"/>
        <w:contextualSpacing w:val="0"/>
        <w:rPr>
          <w:lang w:val="de-DE"/>
        </w:rPr>
      </w:pPr>
      <w:r w:rsidRPr="00BB5519">
        <w:rPr>
          <w:rFonts w:ascii="Tahoma" w:hAnsi="Tahoma" w:cs="Tahoma"/>
          <w:sz w:val="18"/>
          <w:szCs w:val="18"/>
          <w:lang w:val="de-DE"/>
        </w:rPr>
        <w:t>Geräte mit aktiver Windows-Software Assurance</w:t>
      </w:r>
    </w:p>
    <w:p w:rsidR="005D4DAB" w:rsidRPr="00BB5519" w:rsidRDefault="005D4DAB" w:rsidP="009B2474">
      <w:pPr>
        <w:pStyle w:val="ListParagraph"/>
        <w:numPr>
          <w:ilvl w:val="0"/>
          <w:numId w:val="101"/>
        </w:numPr>
        <w:spacing w:after="60"/>
        <w:ind w:left="1440"/>
        <w:contextualSpacing w:val="0"/>
        <w:rPr>
          <w:lang w:val="de-DE"/>
        </w:rPr>
      </w:pPr>
      <w:r w:rsidRPr="00BB5519">
        <w:rPr>
          <w:rFonts w:ascii="Tahoma" w:hAnsi="Tahoma" w:cs="Tahoma"/>
          <w:sz w:val="18"/>
          <w:szCs w:val="18"/>
          <w:lang w:val="de-DE"/>
        </w:rPr>
        <w:t>Geräte mit aktivem Windows Intune (Pro Gerät)- oder VDA-Abonnement</w:t>
      </w:r>
    </w:p>
    <w:p w:rsidR="005D4DAB" w:rsidRPr="00BB5519" w:rsidRDefault="005D4DAB" w:rsidP="009B2474">
      <w:pPr>
        <w:pStyle w:val="ListParagraph"/>
        <w:numPr>
          <w:ilvl w:val="0"/>
          <w:numId w:val="101"/>
        </w:numPr>
        <w:spacing w:after="60"/>
        <w:ind w:left="1440"/>
        <w:contextualSpacing w:val="0"/>
      </w:pPr>
      <w:r w:rsidRPr="00BB5519">
        <w:rPr>
          <w:rFonts w:ascii="Tahoma" w:hAnsi="Tahoma" w:cs="Tahoma"/>
          <w:sz w:val="18"/>
          <w:szCs w:val="18"/>
        </w:rPr>
        <w:t>Windows RT-Geräte</w:t>
      </w:r>
    </w:p>
    <w:p w:rsidR="00EB2B3F" w:rsidRPr="00BB5519" w:rsidRDefault="00EB2B3F" w:rsidP="009B2474">
      <w:pPr>
        <w:pStyle w:val="ListParagraph"/>
        <w:numPr>
          <w:ilvl w:val="0"/>
          <w:numId w:val="101"/>
        </w:numPr>
        <w:spacing w:after="60"/>
        <w:ind w:left="1440"/>
        <w:contextualSpacing w:val="0"/>
        <w:rPr>
          <w:lang w:val="de-DE"/>
        </w:rPr>
      </w:pPr>
      <w:r w:rsidRPr="00BB5519">
        <w:rPr>
          <w:rFonts w:ascii="Tahoma" w:hAnsi="Tahoma" w:cs="Tahoma"/>
          <w:sz w:val="18"/>
          <w:szCs w:val="18"/>
          <w:lang w:val="de-DE"/>
        </w:rPr>
        <w:t>Geräte, die durch die Windows Companion-Abonnementlizenz abgedeckt sind</w:t>
      </w:r>
    </w:p>
    <w:p w:rsidR="005D4DAB" w:rsidRPr="00BB5519" w:rsidRDefault="005D4DAB" w:rsidP="00572128">
      <w:pPr>
        <w:ind w:left="900"/>
        <w:rPr>
          <w:lang w:val="de-DE"/>
        </w:rPr>
      </w:pPr>
    </w:p>
    <w:p w:rsidR="005D4DAB" w:rsidRPr="00BB5519" w:rsidRDefault="005D4DAB" w:rsidP="00EE035D">
      <w:pPr>
        <w:ind w:left="720"/>
        <w:rPr>
          <w:lang w:val="de-DE"/>
        </w:rPr>
      </w:pPr>
      <w:r w:rsidRPr="00BB5519">
        <w:rPr>
          <w:rFonts w:cs="Tahoma"/>
          <w:szCs w:val="18"/>
          <w:lang w:val="de-DE"/>
        </w:rPr>
        <w:t xml:space="preserve">Windows Enterprise Sideloading darf nur auf einem zulässigen Gerät vor Ablauf der entsprechenden Software Assurance oder Abonnementlizenz aktiviert werden. </w:t>
      </w:r>
      <w:r w:rsidRPr="00BB5519">
        <w:rPr>
          <w:lang w:val="de-DE"/>
        </w:rPr>
        <w:t>Bei Programmen für Forschung &amp; Lehre darf Windows Enterprise Sideloading nur auf Geräten aktiviert werden, die Eigentum der Einrichtung sind.</w:t>
      </w:r>
    </w:p>
    <w:p w:rsidR="005D4DAB" w:rsidRPr="00BB5519" w:rsidRDefault="005D4DAB" w:rsidP="00572128">
      <w:pPr>
        <w:ind w:left="900"/>
        <w:rPr>
          <w:lang w:val="de-DE"/>
        </w:rPr>
      </w:pPr>
    </w:p>
    <w:p w:rsidR="005D4DAB" w:rsidRPr="00BB5519" w:rsidRDefault="009B2474" w:rsidP="009B2474">
      <w:pPr>
        <w:spacing w:after="60"/>
        <w:ind w:left="720"/>
        <w:rPr>
          <w:lang w:val="de-DE"/>
        </w:rPr>
      </w:pPr>
      <w:r w:rsidRPr="00BB5519">
        <w:rPr>
          <w:rFonts w:cs="Tahoma"/>
          <w:b/>
          <w:szCs w:val="18"/>
          <w:lang w:val="de-DE"/>
        </w:rPr>
        <w:t>Enterprise Sideloading-Lizenz zum Erwerb verfügbar</w:t>
      </w:r>
    </w:p>
    <w:p w:rsidR="00697E59" w:rsidRPr="00BB5519" w:rsidRDefault="005D4DAB" w:rsidP="007A3D6F">
      <w:pPr>
        <w:ind w:left="720"/>
        <w:rPr>
          <w:lang w:val="de-DE"/>
        </w:rPr>
      </w:pPr>
      <w:r w:rsidRPr="00BB5519">
        <w:rPr>
          <w:rFonts w:cs="Tahoma"/>
          <w:szCs w:val="18"/>
          <w:lang w:val="de-DE"/>
        </w:rPr>
        <w:t>Kunden sind berechtigt Enterprise Sideloading-Lizenzen zu erwerben.</w:t>
      </w:r>
      <w:r w:rsidR="009E4976" w:rsidRPr="00BB5519">
        <w:rPr>
          <w:rFonts w:cs="Tahoma"/>
          <w:szCs w:val="18"/>
          <w:lang w:val="de-DE"/>
        </w:rPr>
        <w:t xml:space="preserve"> </w:t>
      </w:r>
      <w:r w:rsidRPr="00BB5519">
        <w:rPr>
          <w:rFonts w:cs="Tahoma"/>
          <w:szCs w:val="18"/>
          <w:lang w:val="de-DE"/>
        </w:rPr>
        <w:t xml:space="preserve">Jede solche Enterprise Sideloading-Lizenz muss einem Gerät dauerhaft zugewiesen sein. </w:t>
      </w:r>
      <w:r w:rsidRPr="00BB5519">
        <w:rPr>
          <w:lang w:val="de-DE"/>
        </w:rPr>
        <w:t>Bei Programmen für Forschung &amp; Lehre darf Windows</w:t>
      </w:r>
      <w:r w:rsidR="007A3D6F">
        <w:rPr>
          <w:lang w:val="de-DE"/>
        </w:rPr>
        <w:t> </w:t>
      </w:r>
      <w:r w:rsidRPr="00BB5519">
        <w:rPr>
          <w:lang w:val="de-DE"/>
        </w:rPr>
        <w:t>Enterprise Sideloading nur auf Geräten aktiviert werden, die Eigentum der Einrichtung sind</w:t>
      </w:r>
      <w:r w:rsidRPr="00BB5519">
        <w:rPr>
          <w:rFonts w:cs="Tahoma"/>
          <w:szCs w:val="18"/>
          <w:lang w:val="de-DE"/>
        </w:rPr>
        <w:t>.</w:t>
      </w:r>
      <w:bookmarkStart w:id="1155" w:name="_Toc336338285"/>
    </w:p>
    <w:p w:rsidR="00AF3B19" w:rsidRPr="00BB5519" w:rsidRDefault="00AF3B19" w:rsidP="00B50A5B">
      <w:pPr>
        <w:spacing w:after="60"/>
        <w:rPr>
          <w:lang w:val="de-DE"/>
        </w:rPr>
      </w:pPr>
    </w:p>
    <w:p w:rsidR="005C55EB" w:rsidRPr="00BB5519" w:rsidRDefault="005C55EB" w:rsidP="00B50A5B">
      <w:pPr>
        <w:spacing w:after="60"/>
        <w:ind w:left="720"/>
        <w:rPr>
          <w:lang w:val="de-DE"/>
        </w:rPr>
      </w:pPr>
      <w:r w:rsidRPr="00BB5519">
        <w:rPr>
          <w:rFonts w:cs="Tahoma"/>
          <w:b/>
          <w:szCs w:val="18"/>
          <w:lang w:val="de-DE"/>
        </w:rPr>
        <w:t>Windows Embedded 8 Pro Sideloading</w:t>
      </w:r>
    </w:p>
    <w:p w:rsidR="005C55EB" w:rsidRPr="00BB5519" w:rsidRDefault="005C55EB" w:rsidP="005C55EB">
      <w:pPr>
        <w:ind w:left="720"/>
        <w:rPr>
          <w:lang w:val="de-DE"/>
        </w:rPr>
      </w:pPr>
      <w:r w:rsidRPr="00BB5519">
        <w:rPr>
          <w:rFonts w:cs="Tahoma"/>
          <w:szCs w:val="18"/>
          <w:lang w:val="de-DE"/>
        </w:rPr>
        <w:t xml:space="preserve">Kunden, die Windows Embedded 8 Pro-Geräte über einen OEM erwerben, </w:t>
      </w:r>
      <w:r w:rsidR="002E6EC0">
        <w:rPr>
          <w:rFonts w:cs="Tahoma"/>
          <w:szCs w:val="18"/>
          <w:lang w:val="de-DE"/>
        </w:rPr>
        <w:t>können für diese Geräte Windows</w:t>
      </w:r>
      <w:r w:rsidR="007A3D6F">
        <w:rPr>
          <w:rFonts w:cs="Tahoma"/>
          <w:szCs w:val="18"/>
          <w:lang w:val="de-DE"/>
        </w:rPr>
        <w:t> </w:t>
      </w:r>
      <w:r w:rsidRPr="00BB5519">
        <w:rPr>
          <w:rFonts w:cs="Tahoma"/>
          <w:szCs w:val="18"/>
          <w:lang w:val="de-DE"/>
        </w:rPr>
        <w:t>8 Enterprise Sideloading-Lizenzen erwerben.</w:t>
      </w:r>
    </w:p>
    <w:p w:rsidR="005C55EB" w:rsidRPr="00BB5519" w:rsidRDefault="005C55EB" w:rsidP="00AF3B19">
      <w:pPr>
        <w:rPr>
          <w:lang w:val="de-DE"/>
        </w:rPr>
      </w:pPr>
    </w:p>
    <w:p w:rsidR="00AF3B19" w:rsidRPr="00BB5519" w:rsidRDefault="00AF3B19" w:rsidP="00AF3B19">
      <w:pPr>
        <w:rPr>
          <w:lang w:val="de-DE"/>
        </w:rPr>
      </w:pPr>
    </w:p>
    <w:p w:rsidR="00C646B3" w:rsidRPr="00BB5519" w:rsidRDefault="004668D9" w:rsidP="00C646B3">
      <w:pPr>
        <w:pStyle w:val="Heading3"/>
        <w:rPr>
          <w:lang w:val="de-DE"/>
        </w:rPr>
      </w:pPr>
      <w:bookmarkStart w:id="1156" w:name="_28_Windows®_7"/>
      <w:bookmarkStart w:id="1157" w:name="Sys_25WindowsPartnersLearning"/>
      <w:bookmarkStart w:id="1158" w:name="_Toc354054982"/>
      <w:bookmarkEnd w:id="1156"/>
      <w:r w:rsidRPr="00BB5519">
        <w:rPr>
          <w:rFonts w:ascii="Tahoma" w:hAnsi="Tahoma"/>
          <w:caps/>
          <w:color w:val="F66400"/>
          <w:sz w:val="22"/>
          <w:vertAlign w:val="superscript"/>
          <w:lang w:val="de-DE"/>
        </w:rPr>
        <w:t>28</w:t>
      </w:r>
      <w:r w:rsidRPr="00BB5519">
        <w:rPr>
          <w:rFonts w:ascii="Tahoma" w:hAnsi="Tahoma"/>
          <w:color w:val="F66400"/>
          <w:sz w:val="22"/>
          <w:lang w:val="de-DE"/>
        </w:rPr>
        <w:t xml:space="preserve"> Windows</w:t>
      </w:r>
      <w:r w:rsidRPr="00BB5519">
        <w:rPr>
          <w:rFonts w:ascii="Tahoma" w:hAnsi="Tahoma"/>
          <w:color w:val="F66400"/>
          <w:sz w:val="22"/>
          <w:vertAlign w:val="superscript"/>
          <w:lang w:val="de-DE"/>
        </w:rPr>
        <w:t>®</w:t>
      </w:r>
      <w:r w:rsidRPr="00BB5519">
        <w:rPr>
          <w:rFonts w:ascii="Tahoma" w:hAnsi="Tahoma"/>
          <w:color w:val="F66400"/>
          <w:sz w:val="22"/>
          <w:lang w:val="de-DE"/>
        </w:rPr>
        <w:t xml:space="preserve"> 7 Partners in Learning</w:t>
      </w:r>
      <w:bookmarkEnd w:id="1145"/>
      <w:bookmarkEnd w:id="1155"/>
      <w:bookmarkEnd w:id="1157"/>
      <w:bookmarkEnd w:id="1158"/>
    </w:p>
    <w:p w:rsidR="00C646B3" w:rsidRPr="00BB5519" w:rsidRDefault="00C646B3" w:rsidP="00C646B3">
      <w:pPr>
        <w:rPr>
          <w:lang w:val="de-DE"/>
        </w:rPr>
      </w:pPr>
    </w:p>
    <w:p w:rsidR="00C646B3" w:rsidRPr="00BB5519" w:rsidRDefault="00C646B3" w:rsidP="00EE035D">
      <w:pPr>
        <w:ind w:left="720" w:right="-810"/>
        <w:rPr>
          <w:lang w:val="de-DE"/>
        </w:rPr>
      </w:pPr>
      <w:r w:rsidRPr="00BB5519">
        <w:rPr>
          <w:rFonts w:cs="Tahoma"/>
          <w:color w:val="000000"/>
          <w:szCs w:val="18"/>
          <w:lang w:val="de-DE"/>
        </w:rPr>
        <w:t xml:space="preserve">Informationen zur Lizenzberechtigung und zum Beitritt für Partner erhalten Sie unter </w:t>
      </w:r>
      <w:hyperlink r:id="rId45" w:history="1">
        <w:r w:rsidRPr="00BB5519">
          <w:rPr>
            <w:rStyle w:val="Hyperlink"/>
            <w:rFonts w:cs="Tahoma"/>
            <w:szCs w:val="18"/>
            <w:lang w:val="de-DE"/>
          </w:rPr>
          <w:t>http://www.microsoft.com/education/pil/partnersinlearning.aspx</w:t>
        </w:r>
      </w:hyperlink>
      <w:r w:rsidRPr="00BB5519">
        <w:rPr>
          <w:color w:val="000000"/>
          <w:lang w:val="de-DE"/>
        </w:rPr>
        <w:t xml:space="preserve"> </w:t>
      </w:r>
    </w:p>
    <w:p w:rsidR="00435C70" w:rsidRPr="00BB5519" w:rsidRDefault="00435C70" w:rsidP="00435C70">
      <w:pPr>
        <w:ind w:right="-810"/>
        <w:rPr>
          <w:lang w:val="de-DE"/>
        </w:rPr>
      </w:pPr>
    </w:p>
    <w:p w:rsidR="00435C70" w:rsidRPr="00BB5519" w:rsidRDefault="00435C70" w:rsidP="00435C70">
      <w:pPr>
        <w:ind w:right="-810"/>
        <w:rPr>
          <w:lang w:val="de-DE"/>
        </w:rPr>
      </w:pPr>
    </w:p>
    <w:p w:rsidR="00B73A46" w:rsidRPr="00BB5519" w:rsidRDefault="004668D9" w:rsidP="00B73A46">
      <w:pPr>
        <w:pStyle w:val="Heading3"/>
        <w:rPr>
          <w:lang w:val="de-DE"/>
        </w:rPr>
      </w:pPr>
      <w:bookmarkStart w:id="1159" w:name="_29_Windows®_8"/>
      <w:bookmarkStart w:id="1160" w:name="_Toc336338286"/>
      <w:bookmarkStart w:id="1161" w:name="_Toc354054983"/>
      <w:bookmarkStart w:id="1162" w:name="Sys_27Win7ProUpgradeWinIntune"/>
      <w:bookmarkStart w:id="1163" w:name="Sys_26WinVistaBizUpgrade"/>
      <w:bookmarkStart w:id="1164" w:name="Sys_23Windows7ProUpgrade"/>
      <w:bookmarkStart w:id="1165" w:name="Sys_27WindowsVistaProUpgrade"/>
      <w:bookmarkEnd w:id="1159"/>
      <w:r w:rsidRPr="00BB5519">
        <w:rPr>
          <w:rFonts w:ascii="Tahoma" w:hAnsi="Tahoma"/>
          <w:caps/>
          <w:color w:val="F66400"/>
          <w:sz w:val="22"/>
          <w:vertAlign w:val="superscript"/>
          <w:lang w:val="de-DE"/>
        </w:rPr>
        <w:t>29</w:t>
      </w:r>
      <w:r w:rsidRPr="00BB5519">
        <w:rPr>
          <w:rFonts w:ascii="Tahoma" w:hAnsi="Tahoma"/>
          <w:color w:val="F66400"/>
          <w:sz w:val="22"/>
          <w:lang w:val="de-DE"/>
        </w:rPr>
        <w:t xml:space="preserve"> </w:t>
      </w:r>
      <w:r w:rsidRPr="00BB5519">
        <w:rPr>
          <w:rFonts w:ascii="Tahoma" w:hAnsi="Tahoma"/>
          <w:color w:val="FF6D09"/>
          <w:sz w:val="22"/>
          <w:lang w:val="de-DE"/>
        </w:rPr>
        <w:t>Windows</w:t>
      </w:r>
      <w:r w:rsidRPr="00BB5519">
        <w:rPr>
          <w:rFonts w:ascii="Tahoma" w:hAnsi="Tahoma"/>
          <w:color w:val="FF6D09"/>
          <w:sz w:val="22"/>
          <w:vertAlign w:val="superscript"/>
          <w:lang w:val="de-DE"/>
        </w:rPr>
        <w:t>®</w:t>
      </w:r>
      <w:r w:rsidRPr="00BB5519">
        <w:rPr>
          <w:rFonts w:ascii="Tahoma" w:hAnsi="Tahoma"/>
          <w:color w:val="FF6D09"/>
          <w:sz w:val="22"/>
          <w:lang w:val="de-DE"/>
        </w:rPr>
        <w:t xml:space="preserve"> 8 Pro Upgrade und Windows Intune</w:t>
      </w:r>
      <w:bookmarkEnd w:id="1160"/>
      <w:r w:rsidRPr="00BB5519">
        <w:rPr>
          <w:rFonts w:ascii="Tahoma" w:hAnsi="Tahoma"/>
          <w:color w:val="FF6D09"/>
          <w:sz w:val="22"/>
          <w:lang w:val="de-DE"/>
        </w:rPr>
        <w:t xml:space="preserve"> (Pro Gerät)</w:t>
      </w:r>
      <w:bookmarkEnd w:id="1161"/>
    </w:p>
    <w:bookmarkEnd w:id="1162"/>
    <w:p w:rsidR="003C65F4" w:rsidRPr="00BB5519" w:rsidRDefault="003C65F4" w:rsidP="003C65F4">
      <w:pPr>
        <w:rPr>
          <w:lang w:val="de-DE"/>
        </w:rPr>
      </w:pPr>
    </w:p>
    <w:p w:rsidR="00B73A46" w:rsidRPr="00BB5519" w:rsidRDefault="00B73A46" w:rsidP="00435C70">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8 Pro-Upgrade</w:t>
      </w:r>
    </w:p>
    <w:p w:rsidR="00B73A46" w:rsidRPr="00BB5519" w:rsidRDefault="00B73A46" w:rsidP="00435C70">
      <w:pPr>
        <w:ind w:left="720"/>
        <w:rPr>
          <w:lang w:val="de-DE"/>
        </w:rPr>
      </w:pPr>
      <w:r w:rsidRPr="00BB5519">
        <w:rPr>
          <w:rFonts w:cs="Tahoma"/>
          <w:szCs w:val="18"/>
          <w:u w:val="single"/>
          <w:lang w:val="de-DE"/>
        </w:rPr>
        <w:t>Betriebssystem-Upgrade-Lizenz</w:t>
      </w:r>
    </w:p>
    <w:p w:rsidR="00B73A46" w:rsidRPr="00BB5519" w:rsidRDefault="00B73A46" w:rsidP="00435C70">
      <w:pPr>
        <w:pStyle w:val="FootnoteBulletLevel1"/>
        <w:tabs>
          <w:tab w:val="clear" w:pos="900"/>
        </w:tabs>
        <w:adjustRightInd/>
        <w:spacing w:before="0" w:after="0"/>
        <w:ind w:left="720" w:hanging="7"/>
        <w:textAlignment w:val="auto"/>
        <w:rPr>
          <w:lang w:val="de-DE"/>
        </w:rPr>
      </w:pPr>
      <w:r w:rsidRPr="00BB5519">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jeder Desktop, für den Sie das Windows 8 Pro-Upgrade erwerben und auf dem Sie es ausführen, zur Ausführung eines der unten genannten qualifizierenden Betriebssysteme lizenziert sein.</w:t>
      </w:r>
    </w:p>
    <w:p w:rsidR="00435C70" w:rsidRPr="00BB5519" w:rsidRDefault="00435C70" w:rsidP="00435C70">
      <w:pPr>
        <w:ind w:left="720"/>
        <w:rPr>
          <w:lang w:val="de-DE"/>
        </w:rPr>
      </w:pPr>
    </w:p>
    <w:p w:rsidR="00B24C9D" w:rsidRPr="00BB5519" w:rsidRDefault="00B73A46" w:rsidP="009C2B6B">
      <w:pPr>
        <w:ind w:left="720"/>
      </w:pPr>
      <w:r w:rsidRPr="00BB5519">
        <w:rPr>
          <w:rFonts w:cs="Tahoma"/>
          <w:szCs w:val="18"/>
          <w:u w:val="single"/>
        </w:rPr>
        <w:t>Regeln für qualifizierende Betriebssysteme</w:t>
      </w:r>
    </w:p>
    <w:p w:rsidR="00B73A46" w:rsidRPr="00BB5519" w:rsidRDefault="00B73A46" w:rsidP="00B24C9D">
      <w:pPr>
        <w:numPr>
          <w:ilvl w:val="1"/>
          <w:numId w:val="102"/>
        </w:numPr>
        <w:spacing w:after="60"/>
        <w:ind w:left="1440"/>
        <w:rPr>
          <w:lang w:val="de-DE"/>
        </w:rPr>
      </w:pPr>
      <w:r w:rsidRPr="00BB5519">
        <w:rPr>
          <w:rFonts w:cs="Tahoma"/>
          <w:szCs w:val="18"/>
          <w:lang w:val="de-DE"/>
        </w:rPr>
        <w:t>Das qualifizierende Betriebssystem muss auf dem Gerät installiert sein, dem die VL-Upgrade-Lizenz zugewiesen wird.</w:t>
      </w:r>
    </w:p>
    <w:p w:rsidR="00827F06" w:rsidRPr="00BB5519" w:rsidRDefault="00827F06" w:rsidP="00B24C9D">
      <w:pPr>
        <w:numPr>
          <w:ilvl w:val="2"/>
          <w:numId w:val="103"/>
        </w:numPr>
        <w:spacing w:after="60"/>
        <w:ind w:left="1980"/>
        <w:rPr>
          <w:lang w:val="de-DE"/>
        </w:rPr>
      </w:pPr>
      <w:r w:rsidRPr="00BB5519">
        <w:rPr>
          <w:color w:val="000000"/>
          <w:lang w:val="de-DE"/>
        </w:rPr>
        <w:t>Apple Macintosh ist nur ein qualifizierendes Betriebssystem, wenn es vom autorisierten Hersteller vor dem ersten Verkauf des Computers vorinstalliert wird.</w:t>
      </w:r>
    </w:p>
    <w:p w:rsidR="00B73A46" w:rsidRPr="00BB5519" w:rsidRDefault="00B73A46" w:rsidP="00B24C9D">
      <w:pPr>
        <w:numPr>
          <w:ilvl w:val="1"/>
          <w:numId w:val="104"/>
        </w:numPr>
        <w:spacing w:after="60"/>
        <w:ind w:left="1440"/>
        <w:rPr>
          <w:lang w:val="de-DE"/>
        </w:rPr>
      </w:pPr>
      <w:r w:rsidRPr="00BB5519">
        <w:rPr>
          <w:rFonts w:cs="Tahoma"/>
          <w:szCs w:val="18"/>
          <w:lang w:val="de-DE"/>
        </w:rPr>
        <w:t xml:space="preserve">Kunden müssen das qualifizierende Betriebssystem von dem Gerät entfernen, um die VL-Upgrade-Lizenz bereitstellen zu können, außer unten ist etwas anderes angegeben. </w:t>
      </w:r>
    </w:p>
    <w:p w:rsidR="00B31BB3" w:rsidRPr="00BB5519" w:rsidRDefault="00B73A46" w:rsidP="00A73514">
      <w:pPr>
        <w:numPr>
          <w:ilvl w:val="1"/>
          <w:numId w:val="104"/>
        </w:numPr>
        <w:spacing w:after="60"/>
        <w:ind w:left="1440"/>
        <w:rPr>
          <w:lang w:val="de-DE"/>
        </w:rPr>
      </w:pPr>
      <w:r w:rsidRPr="00BB5519">
        <w:rPr>
          <w:rFonts w:cs="Tahoma"/>
          <w:szCs w:val="18"/>
          <w:lang w:val="de-DE"/>
        </w:rPr>
        <w:t>Kunden, die mehr als ein lizenziertes Betriebssystem gleichzeitig installieren oder ausführen möchten (einschließlich des qualifizierenden Betriebssystems), sind berechtigt, Software Assurance</w:t>
      </w:r>
      <w:r w:rsidR="00A73514">
        <w:rPr>
          <w:rFonts w:cs="Tahoma"/>
          <w:szCs w:val="18"/>
          <w:lang w:val="de-DE"/>
        </w:rPr>
        <w:t> </w:t>
      </w:r>
      <w:r w:rsidRPr="00BB5519">
        <w:rPr>
          <w:rFonts w:cs="Tahoma"/>
          <w:szCs w:val="18"/>
          <w:lang w:val="de-DE"/>
        </w:rPr>
        <w:t>für ihre VL-Upgrade-Lizenz zu erwerben.</w:t>
      </w:r>
    </w:p>
    <w:p w:rsidR="00A6172F" w:rsidRPr="00A6172F" w:rsidRDefault="00B73A46" w:rsidP="00A6172F">
      <w:pPr>
        <w:numPr>
          <w:ilvl w:val="1"/>
          <w:numId w:val="104"/>
        </w:numPr>
        <w:spacing w:after="60"/>
        <w:ind w:left="1440"/>
        <w:rPr>
          <w:lang w:val="de-DE"/>
        </w:rPr>
      </w:pPr>
      <w:r w:rsidRPr="00A6172F">
        <w:rPr>
          <w:rFonts w:cs="Tahoma"/>
          <w:szCs w:val="18"/>
          <w:lang w:val="de-DE"/>
        </w:rPr>
        <w:t xml:space="preserve">Kunden mit aktiver Software Assurance müssen das qualifizierende Betriebssystem nicht deinstallieren und können dieses zusammen mit Windows 8 installieren und ausführen. </w:t>
      </w:r>
    </w:p>
    <w:p w:rsidR="002852EF" w:rsidRDefault="002852EF" w:rsidP="002A6416">
      <w:pPr>
        <w:pStyle w:val="EndnoteText"/>
        <w:ind w:left="770"/>
        <w:rPr>
          <w:rFonts w:ascii="Tahoma" w:hAnsi="Tahoma" w:cs="Tahoma"/>
          <w:sz w:val="18"/>
          <w:szCs w:val="18"/>
          <w:lang w:val="de-DE"/>
        </w:rPr>
      </w:pPr>
    </w:p>
    <w:p w:rsidR="002852EF" w:rsidRDefault="002852EF" w:rsidP="002A6416">
      <w:pPr>
        <w:pStyle w:val="EndnoteText"/>
        <w:ind w:left="770"/>
        <w:rPr>
          <w:rFonts w:ascii="Tahoma" w:hAnsi="Tahoma" w:cs="Tahoma"/>
          <w:sz w:val="18"/>
          <w:szCs w:val="18"/>
          <w:lang w:val="de-DE"/>
        </w:rPr>
      </w:pPr>
    </w:p>
    <w:p w:rsidR="002852EF" w:rsidRDefault="002852EF" w:rsidP="002A6416">
      <w:pPr>
        <w:pStyle w:val="EndnoteText"/>
        <w:ind w:left="770"/>
        <w:rPr>
          <w:rFonts w:ascii="Tahoma" w:hAnsi="Tahoma" w:cs="Tahoma"/>
          <w:sz w:val="18"/>
          <w:szCs w:val="18"/>
          <w:lang w:val="de-DE"/>
        </w:rPr>
      </w:pPr>
    </w:p>
    <w:p w:rsidR="00B73A46" w:rsidRPr="00BB5519" w:rsidRDefault="00B73A46" w:rsidP="002A6416">
      <w:pPr>
        <w:pStyle w:val="EndnoteText"/>
        <w:ind w:left="770"/>
        <w:rPr>
          <w:lang w:val="de-DE"/>
        </w:rPr>
      </w:pPr>
      <w:r w:rsidRPr="00BB5519">
        <w:rPr>
          <w:rFonts w:ascii="Tahoma" w:hAnsi="Tahoma" w:cs="Tahoma"/>
          <w:sz w:val="18"/>
          <w:szCs w:val="18"/>
          <w:lang w:val="de-DE"/>
        </w:rPr>
        <w:lastRenderedPageBreak/>
        <w:t>Die qualifizierenden Betriebssysteme nach Programmart sind:</w:t>
      </w:r>
    </w:p>
    <w:p w:rsidR="00B73A46" w:rsidRPr="00BB5519" w:rsidRDefault="00B73A46" w:rsidP="00B73A46">
      <w:pPr>
        <w:pStyle w:val="EndnoteText"/>
        <w:rPr>
          <w:lang w:val="de-DE"/>
        </w:rPr>
      </w:pPr>
    </w:p>
    <w:tbl>
      <w:tblPr>
        <w:tblW w:w="9482" w:type="dxa"/>
        <w:tblInd w:w="878" w:type="dxa"/>
        <w:tblCellMar>
          <w:left w:w="0" w:type="dxa"/>
          <w:right w:w="0" w:type="dxa"/>
        </w:tblCellMar>
        <w:tblLook w:val="04A0" w:firstRow="1" w:lastRow="0" w:firstColumn="1" w:lastColumn="0" w:noHBand="0" w:noVBand="1"/>
      </w:tblPr>
      <w:tblGrid>
        <w:gridCol w:w="3158"/>
        <w:gridCol w:w="1014"/>
        <w:gridCol w:w="1350"/>
        <w:gridCol w:w="1080"/>
        <w:gridCol w:w="1440"/>
        <w:gridCol w:w="1440"/>
      </w:tblGrid>
      <w:tr w:rsidR="00290BBF" w:rsidRPr="00D244F0" w:rsidTr="00A73514">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BB5519" w:rsidRDefault="009B3FA2" w:rsidP="00026546">
            <w:pPr>
              <w:jc w:val="center"/>
              <w:rPr>
                <w:rFonts w:eastAsia="Calibri" w:cs="Tahoma"/>
                <w:b/>
                <w:bCs/>
                <w:szCs w:val="18"/>
              </w:rPr>
            </w:pPr>
            <w:r w:rsidRPr="00BB5519">
              <w:rPr>
                <w:rFonts w:cs="Tahoma"/>
                <w:b/>
                <w:bCs/>
                <w:szCs w:val="18"/>
              </w:rPr>
              <w:t>Qualifizierende Betriebssysteme</w:t>
            </w:r>
          </w:p>
        </w:tc>
        <w:tc>
          <w:tcPr>
            <w:tcW w:w="101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9B3FA2">
            <w:pPr>
              <w:jc w:val="center"/>
              <w:rPr>
                <w:rFonts w:eastAsia="Calibri" w:cs="Tahoma"/>
                <w:b/>
                <w:bCs/>
                <w:sz w:val="16"/>
                <w:szCs w:val="18"/>
              </w:rPr>
            </w:pPr>
            <w:r w:rsidRPr="00BB5519">
              <w:rPr>
                <w:rFonts w:cs="Tahoma"/>
                <w:b/>
                <w:bCs/>
                <w:sz w:val="16"/>
                <w:szCs w:val="18"/>
              </w:rPr>
              <w:t>EA/OV-CW</w:t>
            </w:r>
            <w:r w:rsidRPr="00BB5519">
              <w:rPr>
                <w:rFonts w:cs="Tahoma"/>
                <w:b/>
                <w:bCs/>
                <w:sz w:val="16"/>
                <w:szCs w:val="18"/>
              </w:rPr>
              <w:br/>
              <w:t>(neu)</w:t>
            </w:r>
          </w:p>
        </w:tc>
        <w:tc>
          <w:tcPr>
            <w:tcW w:w="135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9B3FA2">
            <w:pPr>
              <w:jc w:val="center"/>
              <w:rPr>
                <w:rFonts w:eastAsia="Calibri" w:cs="Tahoma"/>
                <w:b/>
                <w:bCs/>
                <w:sz w:val="16"/>
                <w:szCs w:val="18"/>
              </w:rPr>
            </w:pPr>
            <w:r w:rsidRPr="00BB5519">
              <w:rPr>
                <w:rFonts w:cs="Tahoma"/>
                <w:b/>
                <w:bCs/>
                <w:sz w:val="16"/>
                <w:szCs w:val="18"/>
              </w:rPr>
              <w:t>EA/OV-CW (vorhanden)</w:t>
            </w:r>
          </w:p>
        </w:tc>
        <w:tc>
          <w:tcPr>
            <w:tcW w:w="108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9B3FA2">
            <w:pPr>
              <w:jc w:val="center"/>
              <w:rPr>
                <w:rFonts w:eastAsia="Calibri" w:cs="Tahoma"/>
                <w:b/>
                <w:bCs/>
                <w:sz w:val="16"/>
                <w:szCs w:val="18"/>
                <w:lang w:val="de-DE"/>
              </w:rPr>
            </w:pPr>
            <w:r w:rsidRPr="00BB5519">
              <w:rPr>
                <w:rFonts w:cs="Tahoma"/>
                <w:b/>
                <w:bCs/>
                <w:sz w:val="16"/>
                <w:szCs w:val="18"/>
                <w:lang w:val="de-DE"/>
              </w:rPr>
              <w:t>Select (alle außer Forschung &amp; Lehre</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1B15A5">
            <w:pPr>
              <w:jc w:val="center"/>
              <w:rPr>
                <w:rFonts w:eastAsia="Calibri" w:cs="Tahoma"/>
                <w:b/>
                <w:bCs/>
                <w:sz w:val="16"/>
                <w:szCs w:val="18"/>
                <w:lang w:val="de-DE"/>
              </w:rPr>
            </w:pPr>
            <w:r w:rsidRPr="00BB5519">
              <w:rPr>
                <w:rFonts w:cs="Tahoma"/>
                <w:b/>
                <w:bCs/>
                <w:sz w:val="16"/>
                <w:szCs w:val="18"/>
                <w:lang w:val="de-DE"/>
              </w:rPr>
              <w:t>Open (alle außer Forschung &amp; Lehre und gemeinnützige Einrichtungen und OV-CW)</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50116B">
            <w:pPr>
              <w:jc w:val="center"/>
              <w:rPr>
                <w:rFonts w:eastAsia="Calibri" w:cs="Tahoma"/>
                <w:b/>
                <w:bCs/>
                <w:sz w:val="16"/>
                <w:szCs w:val="18"/>
                <w:lang w:val="de-DE"/>
              </w:rPr>
            </w:pPr>
            <w:r w:rsidRPr="00BB5519">
              <w:rPr>
                <w:rFonts w:cs="Tahoma"/>
                <w:b/>
                <w:bCs/>
                <w:sz w:val="16"/>
                <w:szCs w:val="18"/>
                <w:lang w:val="de-DE"/>
              </w:rPr>
              <w:t>Forschung &amp; Lehre und gemeinnützige Einrichtungen</w:t>
            </w:r>
          </w:p>
        </w:tc>
      </w:tr>
      <w:tr w:rsidR="008643A3"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rPr>
                <w:rFonts w:cs="Tahoma"/>
                <w:b/>
                <w:bCs/>
                <w:szCs w:val="18"/>
              </w:rPr>
            </w:pPr>
            <w:r w:rsidRPr="00BB5519">
              <w:rPr>
                <w:rFonts w:cs="Tahoma"/>
                <w:b/>
                <w:bCs/>
                <w:szCs w:val="18"/>
              </w:rPr>
              <w:t>Windows 8 (32-Bit oder 64-Bit)</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r>
      <w:tr w:rsidR="008643A3"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EF7CDD">
            <w:pPr>
              <w:ind w:left="522"/>
              <w:rPr>
                <w:rFonts w:cs="Tahoma"/>
                <w:b/>
                <w:bCs/>
                <w:szCs w:val="18"/>
              </w:rPr>
            </w:pPr>
            <w:r w:rsidRPr="00BB5519">
              <w:rPr>
                <w:rFonts w:cs="Tahoma"/>
                <w:szCs w:val="18"/>
              </w:rPr>
              <w:t>Enterprise (N, K, KN)</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335B9" w:rsidP="00713A6C">
            <w:pPr>
              <w:jc w:val="center"/>
              <w:rPr>
                <w:rFonts w:cs="Tahoma"/>
                <w:szCs w:val="18"/>
              </w:rPr>
            </w:pPr>
            <w:r w:rsidRPr="00BB5519">
              <w:rPr>
                <w:rFonts w:cs="Tahoma"/>
                <w:szCs w:val="18"/>
              </w:rPr>
              <w:t>x</w:t>
            </w:r>
          </w:p>
        </w:tc>
      </w:tr>
      <w:tr w:rsidR="008643A3"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394D71">
            <w:pPr>
              <w:ind w:left="522"/>
              <w:rPr>
                <w:rFonts w:cs="Tahoma"/>
                <w:b/>
                <w:bCs/>
                <w:szCs w:val="18"/>
              </w:rPr>
            </w:pPr>
            <w:r w:rsidRPr="00BB5519">
              <w:rPr>
                <w:rFonts w:cs="Tahoma"/>
                <w:szCs w:val="18"/>
              </w:rPr>
              <w:t>Pro (N, K, KN)</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335B9" w:rsidP="00713A6C">
            <w:pPr>
              <w:jc w:val="center"/>
              <w:rPr>
                <w:rFonts w:cs="Tahoma"/>
                <w:szCs w:val="18"/>
              </w:rPr>
            </w:pPr>
            <w:r w:rsidRPr="00BB5519">
              <w:rPr>
                <w:rFonts w:cs="Tahoma"/>
                <w:szCs w:val="18"/>
              </w:rPr>
              <w:t>x</w:t>
            </w:r>
          </w:p>
        </w:tc>
      </w:tr>
      <w:tr w:rsidR="008643A3"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EF7CDD">
            <w:pPr>
              <w:ind w:left="522"/>
              <w:rPr>
                <w:rFonts w:cs="Tahoma"/>
                <w:b/>
                <w:bCs/>
                <w:szCs w:val="18"/>
              </w:rPr>
            </w:pPr>
            <w:r w:rsidRPr="00BB5519">
              <w:rPr>
                <w:rFonts w:cs="Tahoma"/>
                <w:szCs w:val="18"/>
              </w:rPr>
              <w:t>Windows 8</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BB5519" w:rsidRDefault="006C2A69" w:rsidP="00713A6C">
            <w:pPr>
              <w:jc w:val="center"/>
              <w:rPr>
                <w:rFonts w:cs="Tahoma"/>
                <w:szCs w:val="18"/>
              </w:rPr>
            </w:pPr>
            <w:r w:rsidRPr="00BB5519">
              <w:rPr>
                <w:rFonts w:cs="Tahoma"/>
                <w:szCs w:val="18"/>
              </w:rPr>
              <w:t>x</w:t>
            </w:r>
          </w:p>
        </w:tc>
      </w:tr>
      <w:tr w:rsidR="00EF7CDD"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BB5519" w:rsidRDefault="00EF7CDD" w:rsidP="00EF7CDD">
            <w:pPr>
              <w:ind w:left="522"/>
              <w:rPr>
                <w:rFonts w:cs="Tahoma"/>
                <w:szCs w:val="18"/>
              </w:rPr>
            </w:pPr>
            <w:r w:rsidRPr="00BB5519">
              <w:rPr>
                <w:rFonts w:cs="Tahoma"/>
                <w:szCs w:val="18"/>
              </w:rPr>
              <w:t>Windows 8 Single Language</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5519" w:rsidRDefault="00EF7CDD" w:rsidP="00713A6C">
            <w:pPr>
              <w:jc w:val="center"/>
              <w:rPr>
                <w:rFonts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5519" w:rsidRDefault="00EF7CDD" w:rsidP="00713A6C">
            <w:pPr>
              <w:jc w:val="center"/>
              <w:rPr>
                <w:rFonts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5519" w:rsidRDefault="00EF7CDD"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5519" w:rsidRDefault="00EF7CDD"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BB5519" w:rsidRDefault="00EF7CDD" w:rsidP="00713A6C">
            <w:pPr>
              <w:jc w:val="center"/>
              <w:rPr>
                <w:rFonts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rPr>
                <w:rFonts w:eastAsia="Calibri" w:cs="Tahoma"/>
                <w:b/>
                <w:bCs/>
                <w:szCs w:val="18"/>
              </w:rPr>
            </w:pPr>
            <w:r w:rsidRPr="00BB5519">
              <w:rPr>
                <w:rFonts w:cs="Tahoma"/>
                <w:b/>
                <w:bCs/>
                <w:szCs w:val="18"/>
              </w:rPr>
              <w:t>Windows 7 (32-Bit oder 64-Bit)</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Enterprise (N, K, KN)</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D47417">
            <w:pPr>
              <w:ind w:left="522" w:firstLine="18"/>
              <w:rPr>
                <w:rFonts w:eastAsia="Calibri" w:cs="Tahoma"/>
                <w:szCs w:val="18"/>
                <w:lang w:val="pt-BR"/>
              </w:rPr>
            </w:pPr>
            <w:r w:rsidRPr="00BB5519">
              <w:rPr>
                <w:rFonts w:cs="Tahoma"/>
                <w:szCs w:val="18"/>
                <w:lang w:val="pt-BR"/>
              </w:rPr>
              <w:t>Professional (N, K, KN, Diskless)</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Ultimate</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Home Premium</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Home Basic</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EF7CDD">
            <w:pPr>
              <w:ind w:left="522"/>
              <w:rPr>
                <w:rFonts w:eastAsia="Calibri" w:cs="Tahoma"/>
                <w:szCs w:val="18"/>
              </w:rPr>
            </w:pPr>
            <w:r w:rsidRPr="00BB5519">
              <w:rPr>
                <w:rFonts w:cs="Tahoma"/>
                <w:szCs w:val="18"/>
              </w:rPr>
              <w:t>Starter Edition</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D244F0"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rPr>
                <w:rFonts w:eastAsia="Calibri" w:cs="Tahoma"/>
                <w:b/>
                <w:bCs/>
                <w:szCs w:val="18"/>
                <w:lang w:val="de-DE"/>
              </w:rPr>
            </w:pPr>
            <w:r w:rsidRPr="00E0271A">
              <w:rPr>
                <w:rFonts w:cs="Tahoma"/>
                <w:b/>
                <w:bCs/>
                <w:szCs w:val="18"/>
                <w:lang w:val="de-DE"/>
              </w:rPr>
              <w:t xml:space="preserve">Windows Vista </w:t>
            </w:r>
            <w:r w:rsidR="003417E6" w:rsidRPr="00E0271A">
              <w:rPr>
                <w:rFonts w:cs="Tahoma"/>
                <w:b/>
                <w:bCs/>
                <w:szCs w:val="18"/>
                <w:lang w:val="de-DE"/>
              </w:rPr>
              <w:br/>
            </w:r>
            <w:r w:rsidRPr="00E0271A">
              <w:rPr>
                <w:rFonts w:cs="Tahoma"/>
                <w:b/>
                <w:bCs/>
                <w:szCs w:val="18"/>
                <w:lang w:val="de-DE"/>
              </w:rPr>
              <w:t>(32-Bit oder 64-Bit)</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Enterprise (N, K, KN)</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Business (N, K, KN, Blade)</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Ultimate</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Home Premium</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Home Basic</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4C3222">
            <w:pPr>
              <w:ind w:left="522"/>
              <w:rPr>
                <w:rFonts w:eastAsia="Calibri" w:cs="Tahoma"/>
                <w:bCs/>
                <w:szCs w:val="18"/>
              </w:rPr>
            </w:pPr>
            <w:r w:rsidRPr="00BB5519">
              <w:rPr>
                <w:rFonts w:cs="Tahoma"/>
                <w:szCs w:val="18"/>
              </w:rPr>
              <w:t>Starter Edition</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D244F0"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rPr>
                <w:rFonts w:eastAsia="Calibri" w:cs="Tahoma"/>
                <w:b/>
                <w:szCs w:val="18"/>
                <w:lang w:val="de-DE"/>
              </w:rPr>
            </w:pPr>
            <w:r w:rsidRPr="00E0271A">
              <w:rPr>
                <w:rFonts w:cs="Tahoma"/>
                <w:b/>
                <w:bCs/>
                <w:szCs w:val="18"/>
                <w:lang w:val="de-DE"/>
              </w:rPr>
              <w:t xml:space="preserve">Windows XP </w:t>
            </w:r>
            <w:r w:rsidR="003417E6" w:rsidRPr="00E0271A">
              <w:rPr>
                <w:rFonts w:cs="Tahoma"/>
                <w:b/>
                <w:bCs/>
                <w:szCs w:val="18"/>
                <w:lang w:val="de-DE"/>
              </w:rPr>
              <w:br/>
            </w:r>
            <w:r w:rsidRPr="00E0271A">
              <w:rPr>
                <w:rFonts w:cs="Tahoma"/>
                <w:b/>
                <w:bCs/>
                <w:szCs w:val="18"/>
                <w:lang w:val="de-DE"/>
              </w:rPr>
              <w:t>(32-Bit oder 64-Bit)</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0271A" w:rsidRDefault="00B73A46" w:rsidP="00713A6C">
            <w:pPr>
              <w:jc w:val="center"/>
              <w:rPr>
                <w:rFonts w:eastAsia="Calibri" w:cs="Tahoma"/>
                <w:szCs w:val="18"/>
                <w:lang w:val="de-DE"/>
              </w:rPr>
            </w:pPr>
            <w:r w:rsidRPr="00E0271A">
              <w:rPr>
                <w:rFonts w:cs="Tahoma"/>
                <w:szCs w:val="18"/>
                <w:lang w:val="de-DE"/>
              </w:rPr>
              <w:t xml:space="preserve"> </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244F0" w:rsidRDefault="00B73A46" w:rsidP="00713A6C">
            <w:pPr>
              <w:ind w:left="564"/>
              <w:rPr>
                <w:rFonts w:eastAsia="Calibri" w:cs="Tahoma"/>
                <w:szCs w:val="18"/>
                <w:lang w:val="pt-BR"/>
              </w:rPr>
            </w:pPr>
            <w:r w:rsidRPr="00D244F0">
              <w:rPr>
                <w:rFonts w:cs="Tahoma"/>
                <w:szCs w:val="18"/>
                <w:lang w:val="pt-BR"/>
              </w:rPr>
              <w:t>Professional (N, K, KN, Blade)</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D244F0" w:rsidRDefault="00B73A46" w:rsidP="00713A6C">
            <w:pPr>
              <w:ind w:left="564"/>
              <w:rPr>
                <w:rFonts w:eastAsia="Calibri" w:cs="Tahoma"/>
                <w:szCs w:val="18"/>
                <w:lang w:val="da-DK"/>
              </w:rPr>
            </w:pPr>
            <w:r w:rsidRPr="00D244F0">
              <w:rPr>
                <w:rFonts w:cs="Tahoma"/>
                <w:szCs w:val="18"/>
                <w:lang w:val="da-DK"/>
              </w:rPr>
              <w:t xml:space="preserve">Tablet Edition </w:t>
            </w:r>
            <w:r w:rsidR="003417E6" w:rsidRPr="00D244F0">
              <w:rPr>
                <w:rFonts w:cs="Tahoma"/>
                <w:szCs w:val="18"/>
                <w:lang w:val="da-DK"/>
              </w:rPr>
              <w:br/>
            </w:r>
            <w:r w:rsidRPr="00D244F0">
              <w:rPr>
                <w:rFonts w:cs="Tahoma"/>
                <w:szCs w:val="18"/>
                <w:lang w:val="da-DK"/>
              </w:rPr>
              <w:t>(N, K, KN, Blade)</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left="564"/>
              <w:rPr>
                <w:rFonts w:eastAsia="Calibri" w:cs="Tahoma"/>
                <w:szCs w:val="18"/>
              </w:rPr>
            </w:pPr>
            <w:r w:rsidRPr="00BB5519">
              <w:rPr>
                <w:rFonts w:cs="Tahoma"/>
                <w:szCs w:val="18"/>
              </w:rPr>
              <w:t>XP Pro N</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left="564"/>
              <w:rPr>
                <w:rFonts w:eastAsia="Calibri" w:cs="Tahoma"/>
                <w:szCs w:val="18"/>
              </w:rPr>
            </w:pPr>
            <w:r w:rsidRPr="00BB5519">
              <w:rPr>
                <w:rFonts w:cs="Tahoma"/>
                <w:szCs w:val="18"/>
              </w:rPr>
              <w:t>XP Pro Blade PC</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BB5519" w:rsidRDefault="00B73A46" w:rsidP="00713A6C">
            <w:pPr>
              <w:jc w:val="center"/>
              <w:rPr>
                <w:rFonts w:eastAsia="Calibri"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left="564"/>
              <w:rPr>
                <w:rFonts w:eastAsia="Calibri" w:cs="Tahoma"/>
                <w:szCs w:val="18"/>
              </w:rPr>
            </w:pPr>
            <w:r w:rsidRPr="00BB5519">
              <w:rPr>
                <w:rFonts w:cs="Tahoma"/>
                <w:szCs w:val="18"/>
              </w:rPr>
              <w:t>Home Edition, Starter Edition</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B5519" w:rsidRDefault="00B73A46" w:rsidP="00713A6C">
            <w:pPr>
              <w:rPr>
                <w:rFonts w:eastAsia="Calibri" w:cs="Tahoma"/>
                <w:b/>
                <w:szCs w:val="18"/>
              </w:rPr>
            </w:pPr>
            <w:r w:rsidRPr="00BB5519">
              <w:rPr>
                <w:rFonts w:cs="Tahoma"/>
                <w:b/>
                <w:bCs/>
                <w:szCs w:val="18"/>
              </w:rPr>
              <w:t>Windows 2000 Professional</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B5519" w:rsidRDefault="00B73A46" w:rsidP="003417E6">
            <w:pPr>
              <w:rPr>
                <w:rFonts w:eastAsia="Calibri" w:cs="Tahoma"/>
                <w:b/>
                <w:bCs/>
                <w:szCs w:val="18"/>
              </w:rPr>
            </w:pPr>
            <w:r w:rsidRPr="00BB5519">
              <w:rPr>
                <w:rFonts w:cs="Tahoma"/>
                <w:b/>
                <w:bCs/>
                <w:szCs w:val="18"/>
              </w:rPr>
              <w:t>Windows NT Workstation 4</w:t>
            </w:r>
            <w:r w:rsidR="003417E6">
              <w:rPr>
                <w:rFonts w:cs="Tahoma"/>
                <w:b/>
                <w:bCs/>
                <w:szCs w:val="18"/>
              </w:rPr>
              <w:t>,</w:t>
            </w:r>
            <w:r w:rsidRPr="00BB5519">
              <w:rPr>
                <w:rFonts w:cs="Tahoma"/>
                <w:b/>
                <w:bCs/>
                <w:szCs w:val="18"/>
              </w:rPr>
              <w:t>0</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B5519" w:rsidRDefault="00B73A46" w:rsidP="003417E6">
            <w:pPr>
              <w:rPr>
                <w:rFonts w:eastAsia="Calibri" w:cs="Tahoma"/>
                <w:b/>
                <w:bCs/>
                <w:szCs w:val="18"/>
              </w:rPr>
            </w:pPr>
            <w:r w:rsidRPr="00BB5519">
              <w:rPr>
                <w:rFonts w:cs="Tahoma"/>
                <w:b/>
                <w:bCs/>
                <w:szCs w:val="18"/>
              </w:rPr>
              <w:t>Windows 98 (einschl. Zweiter</w:t>
            </w:r>
            <w:r w:rsidR="003417E6">
              <w:rPr>
                <w:rFonts w:cs="Tahoma"/>
                <w:b/>
                <w:bCs/>
                <w:szCs w:val="18"/>
              </w:rPr>
              <w:t> </w:t>
            </w:r>
            <w:r w:rsidRPr="00BB5519">
              <w:rPr>
                <w:rFonts w:cs="Tahoma"/>
                <w:b/>
                <w:bCs/>
                <w:szCs w:val="18"/>
              </w:rPr>
              <w:t>Ausgabe)</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r w:rsidR="00290BBF" w:rsidRPr="00BB5519" w:rsidTr="00A73514">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BB5519" w:rsidRDefault="00B73A46" w:rsidP="00713A6C">
            <w:pPr>
              <w:rPr>
                <w:rFonts w:eastAsia="Calibri" w:cs="Tahoma"/>
                <w:b/>
                <w:bCs/>
                <w:szCs w:val="18"/>
              </w:rPr>
            </w:pPr>
            <w:r w:rsidRPr="00BB5519">
              <w:rPr>
                <w:rFonts w:cs="Tahoma"/>
                <w:b/>
                <w:bCs/>
                <w:szCs w:val="18"/>
              </w:rPr>
              <w:t>Apple Macintosh</w:t>
            </w:r>
          </w:p>
        </w:tc>
        <w:tc>
          <w:tcPr>
            <w:tcW w:w="10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rPr>
                <w:rFonts w:eastAsia="Times New Roman" w:cs="Tahoma"/>
                <w:szCs w:val="18"/>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r>
    </w:tbl>
    <w:p w:rsidR="00B73A46" w:rsidRPr="00BB5519" w:rsidRDefault="00B73A46" w:rsidP="002A6416">
      <w:pPr>
        <w:ind w:left="770"/>
      </w:pPr>
      <w:r w:rsidRPr="00BB5519">
        <w:rPr>
          <w:rFonts w:cs="Tahoma"/>
          <w:bCs/>
          <w:i/>
          <w:iCs/>
          <w:sz w:val="14"/>
          <w:szCs w:val="14"/>
          <w:u w:val="single"/>
        </w:rPr>
        <w:t>Anmerkung</w:t>
      </w:r>
      <w:r w:rsidRPr="00BB5519">
        <w:rPr>
          <w:rFonts w:cs="Tahoma"/>
          <w:i/>
          <w:iCs/>
          <w:sz w:val="14"/>
          <w:szCs w:val="14"/>
        </w:rPr>
        <w:t xml:space="preserve">: </w:t>
      </w:r>
      <w:r w:rsidRPr="00BB5519">
        <w:rPr>
          <w:rFonts w:cs="Tahoma"/>
          <w:i/>
          <w:iCs/>
          <w:sz w:val="14"/>
          <w:szCs w:val="14"/>
        </w:rPr>
        <w:br/>
        <w:t>Forschung &amp; Lehre umfasst den Campus- und School-Vertrag, die Programme Open Value Subscription – Bildungslösungen, Select – Forschung &amp; Lehre sowie Open – Forschung &amp; Lehre</w:t>
      </w:r>
      <w:r w:rsidRPr="00BB5519">
        <w:rPr>
          <w:rFonts w:cs="Tahoma"/>
          <w:i/>
          <w:iCs/>
          <w:sz w:val="14"/>
          <w:szCs w:val="14"/>
        </w:rPr>
        <w:br/>
        <w:t>EA = Enterprise Agreement (Konzernvertrag)</w:t>
      </w:r>
      <w:r w:rsidRPr="00BB5519">
        <w:rPr>
          <w:rFonts w:cs="Tahoma"/>
          <w:i/>
          <w:iCs/>
          <w:sz w:val="14"/>
          <w:szCs w:val="14"/>
        </w:rPr>
        <w:br/>
        <w:t>OV-CW = Open Value - unternehmensweite Option</w:t>
      </w:r>
    </w:p>
    <w:p w:rsidR="00B73A46" w:rsidRPr="00BB5519" w:rsidRDefault="00B73A46" w:rsidP="002A6416">
      <w:pPr>
        <w:ind w:left="770"/>
        <w:rPr>
          <w:lang w:val="de-DE"/>
        </w:rPr>
      </w:pPr>
      <w:r w:rsidRPr="00BB5519">
        <w:rPr>
          <w:rFonts w:cs="Tahoma"/>
          <w:i/>
          <w:iCs/>
          <w:sz w:val="14"/>
          <w:szCs w:val="14"/>
          <w:lang w:val="de-DE"/>
        </w:rPr>
        <w:t>N, K und KN sind Spezialversionen, die nur in bestimmten Märkten verfügbar sind.</w:t>
      </w:r>
    </w:p>
    <w:p w:rsidR="002512D3" w:rsidRDefault="002512D3">
      <w:pPr>
        <w:rPr>
          <w:lang w:val="de-DE"/>
        </w:rPr>
      </w:pPr>
    </w:p>
    <w:p w:rsidR="00A6172F" w:rsidRDefault="00A6172F">
      <w:pPr>
        <w:rPr>
          <w:lang w:val="de-DE"/>
        </w:rPr>
      </w:pPr>
    </w:p>
    <w:p w:rsidR="00A6172F" w:rsidRDefault="00A6172F">
      <w:pPr>
        <w:rPr>
          <w:lang w:val="de-DE"/>
        </w:rPr>
      </w:pPr>
    </w:p>
    <w:p w:rsidR="00A6172F" w:rsidRPr="00BB5519" w:rsidRDefault="00A6172F">
      <w:pPr>
        <w:rPr>
          <w:lang w:val="de-DE"/>
        </w:rPr>
      </w:pPr>
    </w:p>
    <w:p w:rsidR="00B73A46" w:rsidRPr="00BB5519" w:rsidRDefault="00B73A46" w:rsidP="00B24C9D">
      <w:pPr>
        <w:ind w:left="720"/>
        <w:rPr>
          <w:lang w:val="de-DE"/>
        </w:rPr>
      </w:pPr>
      <w:r w:rsidRPr="00BB5519">
        <w:rPr>
          <w:rFonts w:cs="Tahoma"/>
          <w:szCs w:val="18"/>
          <w:lang w:val="de-DE"/>
        </w:rPr>
        <w:lastRenderedPageBreak/>
        <w:t>Folgende Bedingungen gelten für Windows XP Starter Edition (SE) und Windows Vista Starter Edition (SE) und Windows 7 Starter Edition:</w:t>
      </w:r>
    </w:p>
    <w:p w:rsidR="00B73A46" w:rsidRPr="00A6172F" w:rsidRDefault="00B73A46" w:rsidP="00B24C9D">
      <w:pPr>
        <w:ind w:left="720"/>
        <w:rPr>
          <w:sz w:val="16"/>
          <w:szCs w:val="16"/>
          <w:lang w:val="de-DE"/>
        </w:rPr>
      </w:pPr>
    </w:p>
    <w:p w:rsidR="00B73A46" w:rsidRPr="00BB5519" w:rsidRDefault="00B73A46" w:rsidP="00021BF7">
      <w:pPr>
        <w:pStyle w:val="ColorfulList-Accent11"/>
        <w:keepNext/>
        <w:keepLines/>
        <w:numPr>
          <w:ilvl w:val="0"/>
          <w:numId w:val="42"/>
        </w:numPr>
        <w:ind w:left="1440"/>
        <w:rPr>
          <w:lang w:val="de-DE"/>
        </w:rPr>
      </w:pPr>
      <w:r w:rsidRPr="00BB5519">
        <w:rPr>
          <w:rFonts w:ascii="Tahoma" w:hAnsi="Tahoma" w:cs="Tahoma"/>
          <w:sz w:val="18"/>
          <w:szCs w:val="18"/>
          <w:lang w:val="de-DE"/>
        </w:rPr>
        <w:t xml:space="preserve">Kunden aus Forschung &amp; Lehre (Select für Forschung &amp; Lehre, Open für Forschung &amp; Lehre, Campus- und School-Vertrag, Open Value Subscription – Bildungslösungen) dürfen eine </w:t>
      </w:r>
      <w:r w:rsidR="00A73514">
        <w:rPr>
          <w:rFonts w:ascii="Tahoma" w:hAnsi="Tahoma" w:cs="Tahoma"/>
          <w:sz w:val="18"/>
          <w:szCs w:val="18"/>
          <w:lang w:val="de-DE"/>
        </w:rPr>
        <w:br/>
      </w:r>
      <w:r w:rsidRPr="00BB5519">
        <w:rPr>
          <w:rFonts w:ascii="Tahoma" w:hAnsi="Tahoma" w:cs="Tahoma"/>
          <w:sz w:val="18"/>
          <w:szCs w:val="18"/>
          <w:lang w:val="de-DE"/>
        </w:rPr>
        <w:t>Windows-Upgrade-Lizenz mit Windows XP Starter Edition, Windows Vista Starter Edition oder</w:t>
      </w:r>
      <w:r w:rsidR="00A73514">
        <w:rPr>
          <w:rFonts w:ascii="Tahoma" w:hAnsi="Tahoma" w:cs="Tahoma"/>
          <w:sz w:val="18"/>
          <w:szCs w:val="18"/>
          <w:lang w:val="de-DE"/>
        </w:rPr>
        <w:t> </w:t>
      </w:r>
      <w:r w:rsidRPr="00BB5519">
        <w:rPr>
          <w:rFonts w:ascii="Tahoma" w:hAnsi="Tahoma" w:cs="Tahoma"/>
          <w:sz w:val="18"/>
          <w:szCs w:val="18"/>
          <w:lang w:val="de-DE"/>
        </w:rPr>
        <w:t xml:space="preserve">Windows 7 Starter Edition als qualifizierendes Betriebssystem erwerben. </w:t>
      </w:r>
    </w:p>
    <w:p w:rsidR="00B73A46" w:rsidRPr="00A6172F" w:rsidRDefault="00B73A46" w:rsidP="00B24C9D">
      <w:pPr>
        <w:pStyle w:val="ColorfulList-Accent11"/>
        <w:rPr>
          <w:rFonts w:ascii="Tahoma" w:hAnsi="Tahoma" w:cs="Tahoma"/>
          <w:sz w:val="16"/>
          <w:szCs w:val="16"/>
          <w:lang w:val="de-DE"/>
        </w:rPr>
      </w:pPr>
    </w:p>
    <w:p w:rsidR="00B73A46" w:rsidRPr="00BB5519" w:rsidRDefault="00B73A46" w:rsidP="00A73514">
      <w:pPr>
        <w:pStyle w:val="ColorfulList-Accent11"/>
        <w:rPr>
          <w:lang w:val="de-DE"/>
        </w:rPr>
      </w:pPr>
      <w:r w:rsidRPr="00BB5519">
        <w:rPr>
          <w:rFonts w:ascii="Tahoma" w:hAnsi="Tahoma" w:cs="Tahoma"/>
          <w:sz w:val="18"/>
          <w:szCs w:val="18"/>
          <w:lang w:val="de-DE"/>
        </w:rPr>
        <w:t>Kunden, die das Upgrade auf dieser Grundlage erwerben, verzichten auf das Recht, diese Lizenz außerhalb</w:t>
      </w:r>
      <w:r w:rsidR="00A73514">
        <w:rPr>
          <w:rFonts w:ascii="Tahoma" w:hAnsi="Tahoma" w:cs="Tahoma"/>
          <w:sz w:val="18"/>
          <w:szCs w:val="18"/>
          <w:lang w:val="de-DE"/>
        </w:rPr>
        <w:t> </w:t>
      </w:r>
      <w:r w:rsidRPr="00BB5519">
        <w:rPr>
          <w:rFonts w:ascii="Tahoma" w:hAnsi="Tahoma" w:cs="Tahoma"/>
          <w:sz w:val="18"/>
          <w:szCs w:val="18"/>
          <w:lang w:val="de-DE"/>
        </w:rPr>
        <w:t xml:space="preserve">des Landes, in dem sie erworben wurde, zu nutzen. </w:t>
      </w:r>
    </w:p>
    <w:p w:rsidR="00B73A46" w:rsidRPr="00A6172F" w:rsidRDefault="00B73A46" w:rsidP="00B24C9D">
      <w:pPr>
        <w:pStyle w:val="EndnoteText"/>
        <w:ind w:left="360"/>
        <w:rPr>
          <w:rFonts w:ascii="Tahoma" w:hAnsi="Tahoma" w:cs="Tahoma"/>
          <w:sz w:val="16"/>
          <w:szCs w:val="16"/>
          <w:lang w:val="de-DE"/>
        </w:rPr>
      </w:pPr>
    </w:p>
    <w:p w:rsidR="00B73A46" w:rsidRPr="00BB5519" w:rsidRDefault="00B73A46" w:rsidP="00B24C9D">
      <w:pPr>
        <w:pStyle w:val="FootnoteBulletLevel1"/>
        <w:tabs>
          <w:tab w:val="clear" w:pos="900"/>
        </w:tabs>
        <w:spacing w:before="0" w:after="0"/>
        <w:ind w:left="720" w:firstLine="0"/>
        <w:rPr>
          <w:lang w:val="de-DE"/>
        </w:rPr>
      </w:pPr>
      <w:r w:rsidRPr="00BB5519">
        <w:rPr>
          <w:rFonts w:ascii="Tahoma" w:hAnsi="Tahoma" w:cs="Tahoma"/>
          <w:sz w:val="18"/>
          <w:szCs w:val="18"/>
          <w:lang w:val="de-DE"/>
        </w:rPr>
        <w:t>Oben nicht aufgeführte Betriebssysteme sind nicht qualifiziert, z. B.:</w:t>
      </w:r>
    </w:p>
    <w:p w:rsidR="00B24C9D" w:rsidRPr="00A6172F" w:rsidRDefault="00B24C9D" w:rsidP="00B24C9D">
      <w:pPr>
        <w:pStyle w:val="FootnoteBulletLevel1"/>
        <w:tabs>
          <w:tab w:val="clear" w:pos="900"/>
        </w:tabs>
        <w:spacing w:before="0" w:after="0"/>
        <w:ind w:left="720" w:firstLine="0"/>
        <w:rPr>
          <w:rFonts w:ascii="Tahoma" w:hAnsi="Tahoma" w:cs="Tahoma"/>
          <w:sz w:val="16"/>
          <w:szCs w:val="16"/>
          <w:lang w:val="de-DE"/>
        </w:rPr>
      </w:pPr>
    </w:p>
    <w:p w:rsidR="00B73A46" w:rsidRPr="00BB5519" w:rsidRDefault="00B73A46" w:rsidP="00B24C9D">
      <w:pPr>
        <w:pStyle w:val="FootnoteBulletLevel2"/>
        <w:numPr>
          <w:ilvl w:val="0"/>
          <w:numId w:val="43"/>
        </w:numPr>
        <w:adjustRightInd/>
        <w:spacing w:before="0" w:after="60"/>
        <w:ind w:left="1440"/>
        <w:textAlignment w:val="auto"/>
        <w:rPr>
          <w:lang w:val="de-DE"/>
        </w:rPr>
      </w:pPr>
      <w:r w:rsidRPr="00BB5519">
        <w:rPr>
          <w:rFonts w:ascii="Tahoma" w:hAnsi="Tahoma" w:cs="Tahoma"/>
          <w:sz w:val="18"/>
          <w:szCs w:val="18"/>
          <w:lang w:val="de-DE"/>
        </w:rPr>
        <w:t>Eingebettete Systeme (z. B. Windows 9.x Embedded, Windows XP Embedded) sind nicht für das Windows 8 Pro-Upgrade qualifiziert.</w:t>
      </w:r>
    </w:p>
    <w:p w:rsidR="00B73A46" w:rsidRPr="00BB5519" w:rsidRDefault="00B73A46" w:rsidP="00B24C9D">
      <w:pPr>
        <w:pStyle w:val="FootnoteBulletLevel2"/>
        <w:numPr>
          <w:ilvl w:val="0"/>
          <w:numId w:val="43"/>
        </w:numPr>
        <w:adjustRightInd/>
        <w:spacing w:before="0" w:after="60"/>
        <w:ind w:left="1440"/>
        <w:textAlignment w:val="auto"/>
        <w:rPr>
          <w:lang w:val="de-DE"/>
        </w:rPr>
      </w:pPr>
      <w:r w:rsidRPr="00BB5519">
        <w:rPr>
          <w:rFonts w:ascii="Tahoma" w:hAnsi="Tahoma" w:cs="Tahoma"/>
          <w:sz w:val="18"/>
          <w:szCs w:val="18"/>
          <w:lang w:val="de-DE"/>
        </w:rPr>
        <w:t>Linux oder OS/2 sind nicht für das Windows 8 Pro-Upgrade qualifiziert.</w:t>
      </w:r>
    </w:p>
    <w:p w:rsidR="00B73A46" w:rsidRPr="00BB5519" w:rsidRDefault="00B73A46" w:rsidP="00B24C9D">
      <w:pPr>
        <w:pStyle w:val="FootnoteBulletLevel2"/>
        <w:numPr>
          <w:ilvl w:val="0"/>
          <w:numId w:val="43"/>
        </w:numPr>
        <w:adjustRightInd/>
        <w:spacing w:before="0" w:after="60"/>
        <w:ind w:left="1440"/>
        <w:textAlignment w:val="auto"/>
        <w:rPr>
          <w:lang w:val="de-DE"/>
        </w:rPr>
      </w:pPr>
      <w:r w:rsidRPr="00BB5519">
        <w:rPr>
          <w:rFonts w:ascii="Tahoma" w:hAnsi="Tahoma" w:cs="Tahoma"/>
          <w:sz w:val="18"/>
          <w:szCs w:val="18"/>
          <w:lang w:val="de-DE"/>
        </w:rPr>
        <w:t>Die Client-Zugriffslizenz für Windows Terminal Services ist nicht für das Windows 8 Pro-Upgrade qualifiziert.</w:t>
      </w:r>
    </w:p>
    <w:p w:rsidR="00B24C9D" w:rsidRPr="00A6172F" w:rsidRDefault="00B24C9D" w:rsidP="00B24C9D">
      <w:pPr>
        <w:pStyle w:val="FootnoteBulletLevel2"/>
        <w:tabs>
          <w:tab w:val="clear" w:pos="1260"/>
        </w:tabs>
        <w:adjustRightInd/>
        <w:spacing w:before="0"/>
        <w:ind w:left="1080" w:firstLine="0"/>
        <w:textAlignment w:val="auto"/>
        <w:rPr>
          <w:rFonts w:ascii="Tahoma" w:hAnsi="Tahoma" w:cs="Tahoma"/>
          <w:sz w:val="16"/>
          <w:szCs w:val="16"/>
          <w:lang w:val="de-DE"/>
        </w:rPr>
      </w:pPr>
    </w:p>
    <w:p w:rsidR="00B24C9D" w:rsidRPr="00BB5519" w:rsidRDefault="00B73A46" w:rsidP="00B24C9D">
      <w:pPr>
        <w:pStyle w:val="FootnoteBulletLevel2"/>
        <w:tabs>
          <w:tab w:val="clear" w:pos="1260"/>
        </w:tabs>
        <w:spacing w:before="0"/>
        <w:ind w:left="720" w:firstLine="0"/>
        <w:rPr>
          <w:lang w:val="de-DE"/>
        </w:rPr>
      </w:pPr>
      <w:r w:rsidRPr="00BB5519">
        <w:rPr>
          <w:rFonts w:ascii="Tahoma" w:hAnsi="Tahoma" w:cs="Tahoma"/>
          <w:sz w:val="18"/>
          <w:szCs w:val="18"/>
          <w:lang w:val="de-DE"/>
        </w:rPr>
        <w:t>Für das Re-imaging von Windows gelten die folgenden Anforderungen:</w:t>
      </w:r>
    </w:p>
    <w:p w:rsidR="00B73A46" w:rsidRPr="00A6172F" w:rsidRDefault="00B73A46" w:rsidP="00B24C9D">
      <w:pPr>
        <w:pStyle w:val="FootnoteBulletLevel2"/>
        <w:tabs>
          <w:tab w:val="clear" w:pos="1260"/>
        </w:tabs>
        <w:spacing w:before="0"/>
        <w:ind w:left="720" w:firstLine="0"/>
        <w:rPr>
          <w:rFonts w:ascii="Tahoma" w:hAnsi="Tahoma" w:cs="Tahoma"/>
          <w:sz w:val="16"/>
          <w:szCs w:val="16"/>
          <w:lang w:val="de-DE"/>
        </w:rPr>
      </w:pPr>
    </w:p>
    <w:p w:rsidR="00B73A46" w:rsidRPr="00A6172F" w:rsidRDefault="00B73A46" w:rsidP="00A73514">
      <w:pPr>
        <w:pStyle w:val="FootnoteBulletLevel2"/>
        <w:tabs>
          <w:tab w:val="clear" w:pos="1260"/>
        </w:tabs>
        <w:spacing w:before="0"/>
        <w:ind w:left="720" w:firstLine="0"/>
        <w:rPr>
          <w:lang w:val="de-DE"/>
        </w:rPr>
      </w:pPr>
      <w:r w:rsidRPr="00A6172F">
        <w:rPr>
          <w:rFonts w:ascii="Tahoma" w:hAnsi="Tahoma" w:cs="Tahoma"/>
          <w:sz w:val="18"/>
          <w:szCs w:val="18"/>
          <w:lang w:val="de-DE"/>
        </w:rPr>
        <w:t>Wenn ein Dritter ein Re-imaging von Windows auf PCs eines Kunden durchführen möchte, muss der Kunde</w:t>
      </w:r>
      <w:r w:rsidR="00A73514" w:rsidRPr="00A6172F">
        <w:rPr>
          <w:rFonts w:ascii="Tahoma" w:hAnsi="Tahoma" w:cs="Tahoma"/>
          <w:sz w:val="18"/>
          <w:szCs w:val="18"/>
          <w:lang w:val="de-DE"/>
        </w:rPr>
        <w:t> </w:t>
      </w:r>
      <w:r w:rsidRPr="00A6172F">
        <w:rPr>
          <w:rFonts w:ascii="Tahoma" w:hAnsi="Tahoma" w:cs="Tahoma"/>
          <w:sz w:val="18"/>
          <w:szCs w:val="18"/>
          <w:lang w:val="de-DE"/>
        </w:rPr>
        <w:t>diesem Dritten zunächst entweder (a) ein ausgefülltes Formular mit dem Titel „Microsoft Customer</w:t>
      </w:r>
      <w:r w:rsidR="00A73514" w:rsidRPr="00A6172F">
        <w:rPr>
          <w:rFonts w:ascii="Tahoma" w:hAnsi="Tahoma" w:cs="Tahoma"/>
          <w:sz w:val="18"/>
          <w:szCs w:val="18"/>
          <w:lang w:val="de-DE"/>
        </w:rPr>
        <w:t> </w:t>
      </w:r>
      <w:r w:rsidRPr="00A6172F">
        <w:rPr>
          <w:rFonts w:ascii="Tahoma" w:hAnsi="Tahoma" w:cs="Tahoma"/>
          <w:sz w:val="18"/>
          <w:szCs w:val="18"/>
          <w:lang w:val="de-DE"/>
        </w:rPr>
        <w:t>License Verification for Upgrade Installation Services of Microsoft Windows Operating System Software by Third</w:t>
      </w:r>
      <w:r w:rsidR="00A73514" w:rsidRPr="00A6172F">
        <w:rPr>
          <w:rFonts w:ascii="Tahoma" w:hAnsi="Tahoma" w:cs="Tahoma"/>
          <w:sz w:val="18"/>
          <w:szCs w:val="18"/>
          <w:lang w:val="de-DE"/>
        </w:rPr>
        <w:t> </w:t>
      </w:r>
      <w:r w:rsidRPr="00A6172F">
        <w:rPr>
          <w:rFonts w:ascii="Tahoma" w:hAnsi="Tahoma" w:cs="Tahoma"/>
          <w:sz w:val="18"/>
          <w:szCs w:val="18"/>
          <w:lang w:val="de-DE"/>
        </w:rPr>
        <w:t>Parties“ (Microsoft-Kundenlizenzüberprüfung für Upgrade-Installationsservices für die Betriebssystemsoftware Microsoft Windows durch Dritte) oder (b) Kopien des Formblattes für Unterschriften von dem Microsoft-Volumenlizenzvertrag, der auf die zu installierende Upgradesoftware für das Microsoft-Betriebssystem anwendbar ist, bereitstellen.</w:t>
      </w:r>
      <w:r w:rsidR="009E4976" w:rsidRPr="00A6172F">
        <w:rPr>
          <w:rFonts w:ascii="Tahoma" w:hAnsi="Tahoma" w:cs="Tahoma"/>
          <w:sz w:val="18"/>
          <w:szCs w:val="18"/>
          <w:lang w:val="de-DE"/>
        </w:rPr>
        <w:t xml:space="preserve"> </w:t>
      </w:r>
      <w:r w:rsidRPr="00A6172F">
        <w:rPr>
          <w:rFonts w:ascii="Tahoma" w:hAnsi="Tahoma" w:cs="Tahoma"/>
          <w:sz w:val="18"/>
          <w:szCs w:val="18"/>
          <w:lang w:val="de-DE"/>
        </w:rPr>
        <w:t xml:space="preserve">Das Formular „Microsoft License Verification for Third Party Imaging/Installing Microsoft Operating System Software“ finden Sie unter </w:t>
      </w:r>
      <w:hyperlink r:id="rId46" w:history="1">
        <w:r w:rsidRPr="003C6A04">
          <w:rPr>
            <w:rStyle w:val="Hyperlink"/>
            <w:rFonts w:ascii="Tahoma" w:hAnsi="Tahoma"/>
            <w:color w:val="auto"/>
            <w:sz w:val="18"/>
            <w:szCs w:val="22"/>
            <w:u w:val="none"/>
            <w:lang w:val="de-DE" w:eastAsia="en-US"/>
          </w:rPr>
          <w:t>www.microsoft.com/licensing/contracts</w:t>
        </w:r>
      </w:hyperlink>
      <w:r w:rsidRPr="00A6172F">
        <w:rPr>
          <w:rFonts w:ascii="Tahoma" w:hAnsi="Tahoma" w:cs="Tahoma"/>
          <w:sz w:val="18"/>
          <w:szCs w:val="18"/>
          <w:lang w:val="de-DE"/>
        </w:rPr>
        <w:t>.</w:t>
      </w:r>
    </w:p>
    <w:p w:rsidR="00B24C9D" w:rsidRPr="00A6172F" w:rsidRDefault="00B24C9D" w:rsidP="00B24C9D">
      <w:pPr>
        <w:pStyle w:val="FootnoteBulletLevel1"/>
        <w:tabs>
          <w:tab w:val="clear" w:pos="900"/>
        </w:tabs>
        <w:adjustRightInd/>
        <w:spacing w:before="0" w:after="0"/>
        <w:ind w:left="720" w:firstLine="0"/>
        <w:textAlignment w:val="auto"/>
        <w:rPr>
          <w:rFonts w:ascii="Tahoma" w:hAnsi="Tahoma" w:cs="Tahoma"/>
          <w:sz w:val="16"/>
          <w:szCs w:val="16"/>
          <w:lang w:val="de-DE"/>
        </w:rPr>
      </w:pPr>
    </w:p>
    <w:p w:rsidR="00B73A46" w:rsidRPr="00CB1EDE" w:rsidRDefault="005D46BA" w:rsidP="00B24C9D">
      <w:pPr>
        <w:pStyle w:val="FootnoteBulletLevel1"/>
        <w:tabs>
          <w:tab w:val="clear" w:pos="900"/>
        </w:tabs>
        <w:adjustRightInd/>
        <w:spacing w:before="0" w:after="60"/>
        <w:ind w:left="720" w:firstLine="0"/>
        <w:textAlignment w:val="auto"/>
        <w:rPr>
          <w:rFonts w:ascii="Tahoma" w:hAnsi="Tahoma" w:cs="Tahoma"/>
          <w:b/>
          <w:bCs/>
          <w:sz w:val="18"/>
          <w:szCs w:val="18"/>
          <w:lang w:val="de-DE"/>
        </w:rPr>
      </w:pPr>
      <w:r w:rsidRPr="00CB1EDE">
        <w:rPr>
          <w:rFonts w:ascii="Tahoma" w:hAnsi="Tahoma" w:cs="Tahoma"/>
          <w:b/>
          <w:bCs/>
          <w:sz w:val="18"/>
          <w:szCs w:val="18"/>
          <w:lang w:val="de-DE"/>
        </w:rPr>
        <w:t>Windows Intune (Pro Gerät)</w:t>
      </w:r>
    </w:p>
    <w:p w:rsidR="00B24C9D" w:rsidRPr="00BB5519" w:rsidRDefault="0071258F" w:rsidP="00B24C9D">
      <w:pPr>
        <w:ind w:left="720"/>
        <w:rPr>
          <w:lang w:val="de-DE"/>
        </w:rPr>
      </w:pPr>
      <w:r w:rsidRPr="00BB5519">
        <w:rPr>
          <w:rFonts w:cs="Tahoma"/>
          <w:szCs w:val="18"/>
          <w:lang w:val="de-DE"/>
        </w:rPr>
        <w:t>Windows Intune (Pro Gerät) ist unter einer Abonnementlizenz verfügbar. Es umfasst Rechte für ein Upgrade auf das und zur Verwendung des Windows Desktop-Betriebssystems.</w:t>
      </w:r>
      <w:r w:rsidR="009E4976" w:rsidRPr="00BB5519">
        <w:rPr>
          <w:rFonts w:cs="Tahoma"/>
          <w:szCs w:val="18"/>
          <w:lang w:val="de-DE"/>
        </w:rPr>
        <w:t xml:space="preserve"> </w:t>
      </w:r>
      <w:r w:rsidRPr="00BB5519">
        <w:rPr>
          <w:rFonts w:cs="Tahoma"/>
          <w:szCs w:val="18"/>
          <w:lang w:val="de-DE"/>
        </w:rPr>
        <w:t>Daher muss wie beim Windows Pro-Upgrade jeder Desktop, für den Sie Windows Intune (Pro Gerät) erwerben und auf dem Sie es ausführen, zur Ausführung eines der oben genannten anwendbaren, qualifizierenden Betriebssysteme lizenziert sein.</w:t>
      </w:r>
    </w:p>
    <w:p w:rsidR="00A6172F" w:rsidRPr="00A6172F" w:rsidRDefault="00A6172F" w:rsidP="00A6172F">
      <w:pPr>
        <w:pStyle w:val="FootnoteBulletLevel1"/>
        <w:tabs>
          <w:tab w:val="clear" w:pos="900"/>
        </w:tabs>
        <w:adjustRightInd/>
        <w:spacing w:before="0" w:after="0"/>
        <w:ind w:left="720" w:firstLine="0"/>
        <w:textAlignment w:val="auto"/>
        <w:rPr>
          <w:rFonts w:ascii="Tahoma" w:hAnsi="Tahoma" w:cs="Tahoma"/>
          <w:sz w:val="16"/>
          <w:szCs w:val="16"/>
          <w:lang w:val="de-DE"/>
        </w:rPr>
      </w:pPr>
    </w:p>
    <w:p w:rsidR="00B73A46" w:rsidRPr="00BB5519" w:rsidRDefault="00B73A46" w:rsidP="00B24C9D">
      <w:pPr>
        <w:ind w:left="720"/>
        <w:rPr>
          <w:lang w:val="de-DE"/>
        </w:rPr>
      </w:pPr>
      <w:r w:rsidRPr="00BB5519">
        <w:rPr>
          <w:rFonts w:cs="Tahoma"/>
          <w:szCs w:val="18"/>
          <w:lang w:val="de-DE"/>
        </w:rPr>
        <w:t>Die auf den Erwerb der Windows Pro-Upgrade-Lizenz anwendbaren Bedingungen, wie oben im Abschnitt „Regeln für qualifizierende Betriebssysteme“ beschrieben, gelten für den Erwerb von Windows Intune (Pro Gerät)-Lizenzen.</w:t>
      </w:r>
    </w:p>
    <w:p w:rsidR="00A6172F" w:rsidRPr="00A6172F" w:rsidRDefault="00A6172F" w:rsidP="00A6172F">
      <w:pPr>
        <w:pStyle w:val="FootnoteBulletLevel1"/>
        <w:tabs>
          <w:tab w:val="clear" w:pos="900"/>
        </w:tabs>
        <w:adjustRightInd/>
        <w:spacing w:before="0" w:after="0"/>
        <w:ind w:left="720" w:firstLine="0"/>
        <w:textAlignment w:val="auto"/>
        <w:rPr>
          <w:rFonts w:ascii="Tahoma" w:hAnsi="Tahoma" w:cs="Tahoma"/>
          <w:sz w:val="16"/>
          <w:szCs w:val="16"/>
          <w:lang w:val="de-DE"/>
        </w:rPr>
      </w:pPr>
    </w:p>
    <w:p w:rsidR="00B24C9D" w:rsidRPr="00BB5519" w:rsidRDefault="0085061F" w:rsidP="00B24C9D">
      <w:pPr>
        <w:keepNext/>
        <w:ind w:left="720"/>
        <w:rPr>
          <w:lang w:val="de-DE"/>
        </w:rPr>
      </w:pPr>
      <w:r w:rsidRPr="00BB5519">
        <w:rPr>
          <w:rFonts w:eastAsia="Calibri" w:cs="Tahoma"/>
          <w:szCs w:val="18"/>
          <w:lang w:val="de-DE"/>
        </w:rPr>
        <w:t>Für Windows Intune (Pro Gerät), das als Konzern-Onlinedienst erworben wurde, um den Anforderungen für Konzernprodukte zu entsprechen: Die bei Unterzeichnung erworbenen Lizenzen entnehmen Sie der Spalte „EA/OV-CW (neu)“ in der Tabelle oben, und die zu einem anderen Zeitpunkt erworbenen oder wie unten im Abschnitt „Neuzuweisung von Lizenzen“ gestattet neu zugewiesenen Lizenzen entnehmen Sie der Spalte „EA/OV-CW (vorhanden)“ in der Tabelle oben.</w:t>
      </w:r>
    </w:p>
    <w:p w:rsidR="00A6172F" w:rsidRPr="00A6172F" w:rsidRDefault="00A6172F" w:rsidP="00A6172F">
      <w:pPr>
        <w:pStyle w:val="FootnoteBulletLevel1"/>
        <w:tabs>
          <w:tab w:val="clear" w:pos="900"/>
        </w:tabs>
        <w:adjustRightInd/>
        <w:spacing w:before="0" w:after="0"/>
        <w:ind w:left="720" w:firstLine="0"/>
        <w:textAlignment w:val="auto"/>
        <w:rPr>
          <w:rFonts w:ascii="Tahoma" w:hAnsi="Tahoma" w:cs="Tahoma"/>
          <w:sz w:val="16"/>
          <w:szCs w:val="16"/>
          <w:lang w:val="de-DE"/>
        </w:rPr>
      </w:pPr>
    </w:p>
    <w:p w:rsidR="0053437B" w:rsidRPr="00BB5519" w:rsidRDefault="0053437B" w:rsidP="003417E6">
      <w:pPr>
        <w:ind w:left="720"/>
        <w:rPr>
          <w:lang w:val="de-DE"/>
        </w:rPr>
      </w:pPr>
      <w:r w:rsidRPr="00BB5519">
        <w:rPr>
          <w:rFonts w:eastAsia="Calibri" w:cs="Tahoma"/>
          <w:szCs w:val="18"/>
          <w:lang w:val="de-DE"/>
        </w:rPr>
        <w:t>Als Ausnahme von der obigen Regel gilt Folgendes für Windows Intune (Pro Gerät), das als Konzern-Onlinedienst erworben wurde, aber nicht um den Anforderungen für Konzernprodukte zu entsprechen: Die</w:t>
      </w:r>
      <w:r w:rsidR="003417E6">
        <w:rPr>
          <w:rFonts w:eastAsia="Calibri" w:cs="Tahoma"/>
          <w:szCs w:val="18"/>
          <w:lang w:val="de-DE"/>
        </w:rPr>
        <w:t> </w:t>
      </w:r>
      <w:r w:rsidRPr="00BB5519">
        <w:rPr>
          <w:rFonts w:eastAsia="Calibri" w:cs="Tahoma"/>
          <w:szCs w:val="18"/>
          <w:lang w:val="de-DE"/>
        </w:rPr>
        <w:t>neuen Lizenzen entnehmen Sie der Spalte „EA/OV-CW (neu)“ in der Tabelle oben.</w:t>
      </w:r>
    </w:p>
    <w:p w:rsidR="00A6172F" w:rsidRPr="00A6172F" w:rsidRDefault="00A6172F" w:rsidP="00A6172F">
      <w:pPr>
        <w:pStyle w:val="FootnoteBulletLevel1"/>
        <w:tabs>
          <w:tab w:val="clear" w:pos="900"/>
        </w:tabs>
        <w:adjustRightInd/>
        <w:spacing w:before="0" w:after="0"/>
        <w:ind w:left="720" w:firstLine="0"/>
        <w:textAlignment w:val="auto"/>
        <w:rPr>
          <w:rFonts w:ascii="Tahoma" w:hAnsi="Tahoma" w:cs="Tahoma"/>
          <w:sz w:val="16"/>
          <w:szCs w:val="16"/>
          <w:lang w:val="de-DE"/>
        </w:rPr>
      </w:pPr>
    </w:p>
    <w:p w:rsidR="00B73A46" w:rsidRPr="00BB5519" w:rsidRDefault="00B73A46" w:rsidP="00B24C9D">
      <w:pPr>
        <w:pStyle w:val="FootnoteBulletLevel2"/>
        <w:spacing w:before="0"/>
        <w:ind w:left="720" w:firstLine="0"/>
        <w:rPr>
          <w:lang w:val="de-DE"/>
        </w:rPr>
      </w:pPr>
      <w:r w:rsidRPr="00BB5519">
        <w:rPr>
          <w:rFonts w:ascii="Tahoma" w:hAnsi="Tahoma" w:cs="Tahoma"/>
          <w:sz w:val="18"/>
          <w:szCs w:val="18"/>
          <w:lang w:val="de-DE"/>
        </w:rPr>
        <w:t xml:space="preserve">Kunden mit aktiven Windows Intune (Pro Gerät)-Abonnements müssen das qualifizierende Betriebssystem auf ihrem lizenzierten Gerät nicht deinstallieren und können dieses zusammen mit dem Windows Desktop-Betriebssystem installieren und ausführen. </w:t>
      </w:r>
    </w:p>
    <w:p w:rsidR="00A6172F" w:rsidRPr="00A6172F" w:rsidRDefault="00A6172F" w:rsidP="00A6172F">
      <w:pPr>
        <w:pStyle w:val="FootnoteBulletLevel1"/>
        <w:tabs>
          <w:tab w:val="clear" w:pos="900"/>
        </w:tabs>
        <w:adjustRightInd/>
        <w:spacing w:before="0" w:after="0"/>
        <w:ind w:left="720" w:firstLine="0"/>
        <w:textAlignment w:val="auto"/>
        <w:rPr>
          <w:rFonts w:ascii="Tahoma" w:hAnsi="Tahoma" w:cs="Tahoma"/>
          <w:sz w:val="16"/>
          <w:szCs w:val="16"/>
          <w:lang w:val="de-DE"/>
        </w:rPr>
      </w:pPr>
    </w:p>
    <w:p w:rsidR="00B24C9D" w:rsidRPr="00BB5519" w:rsidRDefault="00B24C9D" w:rsidP="00B24C9D">
      <w:pPr>
        <w:tabs>
          <w:tab w:val="left" w:pos="900"/>
        </w:tabs>
        <w:ind w:left="720"/>
        <w:rPr>
          <w:lang w:val="de-DE"/>
        </w:rPr>
      </w:pPr>
      <w:r w:rsidRPr="00BB5519">
        <w:rPr>
          <w:rFonts w:cs="Tahoma"/>
          <w:szCs w:val="18"/>
          <w:u w:val="single"/>
          <w:lang w:val="de-DE"/>
        </w:rPr>
        <w:t>Zuweisen der Lizenz</w:t>
      </w:r>
      <w:r w:rsidRPr="00BB5519">
        <w:rPr>
          <w:rFonts w:cs="Tahoma"/>
          <w:szCs w:val="18"/>
          <w:lang w:val="de-DE"/>
        </w:rPr>
        <w:t xml:space="preserve"> </w:t>
      </w:r>
    </w:p>
    <w:p w:rsidR="00B73A46" w:rsidRPr="00BB5519" w:rsidRDefault="00B73A46" w:rsidP="00B24C9D">
      <w:pPr>
        <w:tabs>
          <w:tab w:val="left" w:pos="900"/>
        </w:tabs>
        <w:ind w:left="720"/>
        <w:rPr>
          <w:lang w:val="de-DE"/>
        </w:rPr>
      </w:pPr>
      <w:r w:rsidRPr="00BB5519">
        <w:rPr>
          <w:rFonts w:cs="Tahoma"/>
          <w:szCs w:val="18"/>
          <w:lang w:val="de-DE"/>
        </w:rPr>
        <w:t xml:space="preserve">Kunden müssen ihre Windows Intune (Pro Gerät)-Abonnementlizenz dem Gerät zuweisen, auf dem das qualifizierende Betriebssystem installiert ist. </w:t>
      </w:r>
    </w:p>
    <w:p w:rsidR="00B73A46" w:rsidRPr="00BB5519" w:rsidRDefault="00B73A46" w:rsidP="00A6172F">
      <w:pPr>
        <w:pStyle w:val="FootnoteBulletLevel2"/>
        <w:spacing w:before="0"/>
        <w:ind w:left="0" w:firstLine="0"/>
        <w:rPr>
          <w:lang w:val="de-DE"/>
        </w:rPr>
      </w:pPr>
    </w:p>
    <w:p w:rsidR="00B73A46" w:rsidRPr="00BB5519" w:rsidRDefault="00B73A46" w:rsidP="00A73514">
      <w:pPr>
        <w:pStyle w:val="FootnoteBulletLevel1"/>
        <w:keepNext/>
        <w:keepLines/>
        <w:tabs>
          <w:tab w:val="clear" w:pos="900"/>
        </w:tabs>
        <w:spacing w:before="0" w:after="60"/>
        <w:ind w:left="720" w:firstLine="0"/>
        <w:rPr>
          <w:lang w:val="de-DE"/>
        </w:rPr>
      </w:pPr>
      <w:r w:rsidRPr="00BB5519">
        <w:rPr>
          <w:rFonts w:ascii="Tahoma" w:hAnsi="Tahoma" w:cs="Tahoma"/>
          <w:b/>
          <w:sz w:val="18"/>
          <w:szCs w:val="18"/>
          <w:lang w:val="de-DE"/>
        </w:rPr>
        <w:lastRenderedPageBreak/>
        <w:t>Neuzuweisung von Lizenzen</w:t>
      </w:r>
      <w:r w:rsidRPr="00BB5519">
        <w:rPr>
          <w:rFonts w:ascii="Tahoma" w:hAnsi="Tahoma" w:cs="Tahoma"/>
          <w:b/>
          <w:bCs/>
          <w:sz w:val="18"/>
          <w:szCs w:val="18"/>
          <w:lang w:val="de-DE"/>
        </w:rPr>
        <w:t xml:space="preserve"> für Windows Intune (Pro Gerät)</w:t>
      </w:r>
    </w:p>
    <w:p w:rsidR="00B73A46" w:rsidRPr="00BB5519" w:rsidRDefault="00B73A46" w:rsidP="00A73514">
      <w:pPr>
        <w:pStyle w:val="BodyText"/>
        <w:spacing w:before="0" w:after="0" w:line="240" w:lineRule="auto"/>
        <w:ind w:left="720"/>
        <w:rPr>
          <w:lang w:val="de-DE"/>
        </w:rPr>
      </w:pPr>
      <w:r w:rsidRPr="00BB5519">
        <w:rPr>
          <w:rFonts w:ascii="Tahoma" w:hAnsi="Tahoma" w:cs="Tahoma"/>
          <w:color w:val="auto"/>
          <w:sz w:val="18"/>
          <w:szCs w:val="18"/>
          <w:lang w:val="de-DE"/>
        </w:rPr>
        <w:t>Kunden sind berechtigt, Lizenzen für Windows Intune (Pro Gerät) neu zuzuweisen, jedoch nicht nur kurzzeitig (d. h. nicht innerhalb von 90 Tagen nach der letzten Zuweisung).</w:t>
      </w:r>
      <w:r w:rsidR="009E4976" w:rsidRPr="00BB5519">
        <w:rPr>
          <w:rFonts w:ascii="Tahoma" w:hAnsi="Tahoma" w:cs="Tahoma"/>
          <w:color w:val="auto"/>
          <w:sz w:val="18"/>
          <w:szCs w:val="18"/>
          <w:lang w:val="de-DE"/>
        </w:rPr>
        <w:t xml:space="preserve"> </w:t>
      </w:r>
      <w:r w:rsidRPr="00BB5519">
        <w:rPr>
          <w:rFonts w:ascii="Tahoma" w:hAnsi="Tahoma" w:cs="Tahoma"/>
          <w:color w:val="auto"/>
          <w:sz w:val="18"/>
          <w:szCs w:val="18"/>
          <w:lang w:val="de-DE"/>
        </w:rPr>
        <w:t>Kunden sind berechtigt, eine Lizenz für Windows Intune (Pro Gerät) früher neu zuzuweisen, wenn sie das vorhandene lizenzierte Gerät aufgrund eines Hardwarefehlers außer Dienst stellen.</w:t>
      </w:r>
      <w:r w:rsidR="009E4976" w:rsidRPr="00BB5519">
        <w:rPr>
          <w:rFonts w:ascii="Tahoma" w:hAnsi="Tahoma" w:cs="Tahoma"/>
          <w:color w:val="auto"/>
          <w:sz w:val="18"/>
          <w:szCs w:val="18"/>
          <w:lang w:val="de-DE"/>
        </w:rPr>
        <w:t xml:space="preserve"> </w:t>
      </w:r>
      <w:r w:rsidRPr="00BB5519">
        <w:rPr>
          <w:rFonts w:ascii="Tahoma" w:hAnsi="Tahoma" w:cs="Tahoma"/>
          <w:color w:val="auto"/>
          <w:sz w:val="18"/>
          <w:szCs w:val="18"/>
          <w:lang w:val="de-DE"/>
        </w:rPr>
        <w:t>Das Gerät, dem eine Lizenz für Windows Intune (Pro</w:t>
      </w:r>
      <w:r w:rsidR="00A73514">
        <w:rPr>
          <w:rFonts w:ascii="Tahoma" w:hAnsi="Tahoma" w:cs="Tahoma"/>
          <w:color w:val="auto"/>
          <w:sz w:val="18"/>
          <w:szCs w:val="18"/>
          <w:lang w:val="de-DE"/>
        </w:rPr>
        <w:t> </w:t>
      </w:r>
      <w:r w:rsidRPr="00BB5519">
        <w:rPr>
          <w:rFonts w:ascii="Tahoma" w:hAnsi="Tahoma" w:cs="Tahoma"/>
          <w:color w:val="auto"/>
          <w:sz w:val="18"/>
          <w:szCs w:val="18"/>
          <w:lang w:val="de-DE"/>
        </w:rPr>
        <w:t>Gerät) neu zugewiesen wird, muss den oben beschriebenen Anforderungen für ein qualifizierendes Betriebssystem entsprechen.</w:t>
      </w:r>
      <w:r w:rsidR="009E4976" w:rsidRPr="00BB5519">
        <w:rPr>
          <w:rFonts w:ascii="Tahoma" w:hAnsi="Tahoma" w:cs="Tahoma"/>
          <w:color w:val="auto"/>
          <w:sz w:val="18"/>
          <w:szCs w:val="18"/>
          <w:lang w:val="de-DE"/>
        </w:rPr>
        <w:t xml:space="preserve"> </w:t>
      </w:r>
      <w:r w:rsidRPr="00BB5519">
        <w:rPr>
          <w:rFonts w:ascii="Tahoma" w:hAnsi="Tahoma" w:cs="Tahoma"/>
          <w:color w:val="auto"/>
          <w:sz w:val="18"/>
          <w:szCs w:val="18"/>
          <w:lang w:val="de-DE"/>
        </w:rPr>
        <w:t>Von dem Gerät, von dem die Lizenz neu zugewiesen wird, muss die Software entfernt werden, und der Zugriff auf den Windows Intune (Pro Gerät)-Dienst muss eingestellt werden.</w:t>
      </w:r>
    </w:p>
    <w:p w:rsidR="00B24C9D" w:rsidRPr="00BB5519" w:rsidRDefault="00B24C9D" w:rsidP="00B24C9D">
      <w:pPr>
        <w:pStyle w:val="BodyText"/>
        <w:spacing w:before="0" w:after="0" w:line="240" w:lineRule="auto"/>
        <w:ind w:left="720"/>
        <w:rPr>
          <w:lang w:val="de-DE"/>
        </w:rPr>
      </w:pPr>
    </w:p>
    <w:p w:rsidR="00B73A46" w:rsidRPr="00BB5519" w:rsidRDefault="00B73A46" w:rsidP="00A73514">
      <w:pPr>
        <w:autoSpaceDN w:val="0"/>
        <w:ind w:left="720"/>
        <w:rPr>
          <w:lang w:val="de-DE"/>
        </w:rPr>
      </w:pPr>
      <w:r w:rsidRPr="00BB5519">
        <w:rPr>
          <w:rFonts w:cs="Tahoma"/>
          <w:szCs w:val="18"/>
          <w:lang w:val="de-DE"/>
        </w:rPr>
        <w:t>Als Ausnahme von den Anforderungen für ein qualifizierendes Betriebssystem für Windows Intune (Pro</w:t>
      </w:r>
      <w:r w:rsidR="00A73514">
        <w:rPr>
          <w:rFonts w:cs="Tahoma"/>
          <w:szCs w:val="18"/>
          <w:lang w:val="de-DE"/>
        </w:rPr>
        <w:t> </w:t>
      </w:r>
      <w:r w:rsidRPr="00BB5519">
        <w:rPr>
          <w:rFonts w:cs="Tahoma"/>
          <w:szCs w:val="18"/>
          <w:lang w:val="de-DE"/>
        </w:rPr>
        <w:t>Gerät), das als Konzern-Onlinedienst lizenziert wurde, um den Anforderungen für Ko</w:t>
      </w:r>
      <w:r w:rsidRPr="00BB5519">
        <w:rPr>
          <w:lang w:val="de-DE"/>
        </w:rPr>
        <w:t>nzernprodukte zu</w:t>
      </w:r>
      <w:r w:rsidR="00A73514">
        <w:rPr>
          <w:lang w:val="de-DE"/>
        </w:rPr>
        <w:t> </w:t>
      </w:r>
      <w:r w:rsidRPr="00BB5519">
        <w:rPr>
          <w:lang w:val="de-DE"/>
        </w:rPr>
        <w:t xml:space="preserve">entsprechen, sind </w:t>
      </w:r>
      <w:r w:rsidRPr="00BB5519">
        <w:rPr>
          <w:rFonts w:cs="Tahoma"/>
          <w:szCs w:val="18"/>
          <w:lang w:val="de-DE"/>
        </w:rPr>
        <w:t>Kunden</w:t>
      </w:r>
      <w:r w:rsidR="009E4976" w:rsidRPr="00BB5519">
        <w:rPr>
          <w:rFonts w:cs="Tahoma"/>
          <w:strike/>
          <w:szCs w:val="18"/>
          <w:lang w:val="de-DE"/>
        </w:rPr>
        <w:t xml:space="preserve"> </w:t>
      </w:r>
      <w:r w:rsidRPr="00BB5519">
        <w:rPr>
          <w:rFonts w:cs="Tahoma"/>
          <w:szCs w:val="18"/>
          <w:lang w:val="de-DE"/>
        </w:rPr>
        <w:t>berechtigt, Lizenzen für Windows Intune (Pro Gerät) folgenden Geräten neu</w:t>
      </w:r>
      <w:r w:rsidR="00A73514">
        <w:rPr>
          <w:rFonts w:cs="Tahoma"/>
          <w:szCs w:val="18"/>
          <w:lang w:val="de-DE"/>
        </w:rPr>
        <w:t> </w:t>
      </w:r>
      <w:r w:rsidRPr="00BB5519">
        <w:rPr>
          <w:rFonts w:cs="Tahoma"/>
          <w:szCs w:val="18"/>
          <w:lang w:val="de-DE"/>
        </w:rPr>
        <w:t>zuzuweisen, sofern die Geräte für eines der in der Spalte „EA/OV-CW (neu)“ der Tabelle oben genannten qualifizierenden Betriebssysteme lizenziert sind und dieses qualifizierende Betriebssystem darauf</w:t>
      </w:r>
      <w:r w:rsidR="00A73514">
        <w:rPr>
          <w:rFonts w:cs="Tahoma"/>
          <w:szCs w:val="18"/>
          <w:lang w:val="de-DE"/>
        </w:rPr>
        <w:t> </w:t>
      </w:r>
      <w:r w:rsidRPr="00BB5519">
        <w:rPr>
          <w:rFonts w:cs="Tahoma"/>
          <w:szCs w:val="18"/>
          <w:lang w:val="de-DE"/>
        </w:rPr>
        <w:t xml:space="preserve">installiert ist: </w:t>
      </w:r>
    </w:p>
    <w:p w:rsidR="00B24C9D" w:rsidRPr="00BB5519" w:rsidRDefault="00B24C9D" w:rsidP="00B24C9D">
      <w:pPr>
        <w:autoSpaceDN w:val="0"/>
        <w:ind w:left="720"/>
        <w:rPr>
          <w:lang w:val="de-DE"/>
        </w:rPr>
      </w:pPr>
    </w:p>
    <w:p w:rsidR="00B73A46" w:rsidRPr="00BB5519" w:rsidRDefault="00B73A46" w:rsidP="00B24C9D">
      <w:pPr>
        <w:numPr>
          <w:ilvl w:val="3"/>
          <w:numId w:val="30"/>
        </w:numPr>
        <w:autoSpaceDN w:val="0"/>
        <w:spacing w:after="60"/>
        <w:ind w:left="1440"/>
        <w:rPr>
          <w:lang w:val="de-DE"/>
        </w:rPr>
      </w:pPr>
      <w:r w:rsidRPr="00BB5519">
        <w:rPr>
          <w:rFonts w:cs="Tahoma"/>
          <w:szCs w:val="18"/>
          <w:lang w:val="de-DE"/>
        </w:rPr>
        <w:t xml:space="preserve">Geräte, die Sie in Verbindung mit einer Unternehmensverschmelzung oder einem Unternehmenskauf erwerben, und </w:t>
      </w:r>
    </w:p>
    <w:p w:rsidR="00DA7284" w:rsidRPr="00BB5519" w:rsidRDefault="00B73A46" w:rsidP="00B24C9D">
      <w:pPr>
        <w:numPr>
          <w:ilvl w:val="3"/>
          <w:numId w:val="30"/>
        </w:numPr>
        <w:autoSpaceDN w:val="0"/>
        <w:spacing w:after="60"/>
        <w:ind w:left="1440"/>
        <w:rPr>
          <w:lang w:val="de-DE"/>
        </w:rPr>
      </w:pPr>
      <w:r w:rsidRPr="00BB5519">
        <w:rPr>
          <w:rFonts w:cs="Tahoma"/>
          <w:szCs w:val="18"/>
          <w:lang w:val="de-DE"/>
        </w:rPr>
        <w:t>Geräte, die Eigentum von Vertragspartnern oder Mitarbeitern sind.</w:t>
      </w:r>
    </w:p>
    <w:p w:rsidR="00A84DF7" w:rsidRPr="00BB5519" w:rsidRDefault="00A84DF7" w:rsidP="00A84DF7">
      <w:pPr>
        <w:autoSpaceDN w:val="0"/>
        <w:spacing w:after="60"/>
        <w:rPr>
          <w:lang w:val="de-DE"/>
        </w:rPr>
      </w:pPr>
    </w:p>
    <w:p w:rsidR="00B73A46" w:rsidRPr="00BB5519" w:rsidRDefault="00B73A46" w:rsidP="00A84DF7">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Software Assurance für</w:t>
      </w:r>
      <w:r w:rsidRPr="00BB5519">
        <w:rPr>
          <w:rFonts w:ascii="Tahoma" w:hAnsi="Tahoma" w:cs="Tahoma"/>
          <w:b/>
          <w:bCs/>
          <w:i/>
          <w:iCs/>
          <w:sz w:val="18"/>
          <w:szCs w:val="18"/>
          <w:lang w:val="de-DE"/>
        </w:rPr>
        <w:t xml:space="preserve"> </w:t>
      </w:r>
      <w:r w:rsidRPr="00BB5519">
        <w:rPr>
          <w:rFonts w:ascii="Tahoma" w:hAnsi="Tahoma" w:cs="Tahoma"/>
          <w:b/>
          <w:bCs/>
          <w:sz w:val="18"/>
          <w:szCs w:val="18"/>
          <w:lang w:val="de-DE"/>
        </w:rPr>
        <w:t>Windows 8 Pro</w:t>
      </w:r>
      <w:r w:rsidRPr="00BB5519">
        <w:rPr>
          <w:rFonts w:ascii="Tahoma" w:hAnsi="Tahoma" w:cs="Tahoma"/>
          <w:b/>
          <w:sz w:val="18"/>
          <w:szCs w:val="18"/>
          <w:u w:val="single"/>
          <w:lang w:val="de-DE"/>
        </w:rPr>
        <w:t xml:space="preserve"> </w:t>
      </w:r>
    </w:p>
    <w:p w:rsidR="00B73A46" w:rsidRPr="00BB5519" w:rsidRDefault="00B73A46" w:rsidP="00127291">
      <w:pPr>
        <w:pStyle w:val="FootnoteBulletLevel1"/>
        <w:spacing w:before="0" w:after="0"/>
        <w:ind w:left="720" w:firstLine="0"/>
        <w:rPr>
          <w:lang w:val="de-DE"/>
        </w:rPr>
      </w:pPr>
      <w:r w:rsidRPr="00BB5519">
        <w:rPr>
          <w:rFonts w:ascii="Tahoma" w:hAnsi="Tahoma" w:cs="Tahoma"/>
          <w:sz w:val="18"/>
          <w:szCs w:val="18"/>
          <w:lang w:val="de-DE"/>
        </w:rPr>
        <w:t>Kunden, die Interesse an Software Assurance für Windows 8 Pro haben, stehen folgende Möglichkeiten</w:t>
      </w:r>
      <w:r w:rsidR="00127291">
        <w:rPr>
          <w:rFonts w:ascii="Tahoma" w:hAnsi="Tahoma" w:cs="Tahoma"/>
          <w:sz w:val="18"/>
          <w:szCs w:val="18"/>
          <w:lang w:val="de-DE"/>
        </w:rPr>
        <w:t> </w:t>
      </w:r>
      <w:r w:rsidRPr="00BB5519">
        <w:rPr>
          <w:rFonts w:ascii="Tahoma" w:hAnsi="Tahoma" w:cs="Tahoma"/>
          <w:sz w:val="18"/>
          <w:szCs w:val="18"/>
          <w:lang w:val="de-DE"/>
        </w:rPr>
        <w:t>offen:</w:t>
      </w:r>
    </w:p>
    <w:p w:rsidR="00A84DF7" w:rsidRPr="00BB5519" w:rsidRDefault="00A84DF7" w:rsidP="00A84DF7">
      <w:pPr>
        <w:pStyle w:val="FootnoteBulletLevel1"/>
        <w:spacing w:before="0" w:after="0"/>
        <w:ind w:left="720" w:firstLine="0"/>
        <w:rPr>
          <w:lang w:val="de-DE"/>
        </w:rPr>
      </w:pPr>
    </w:p>
    <w:p w:rsidR="00A84DF7" w:rsidRPr="00BB5519" w:rsidRDefault="00B73A46" w:rsidP="00A84DF7">
      <w:pPr>
        <w:pStyle w:val="FootnoteBulletLevel1"/>
        <w:numPr>
          <w:ilvl w:val="0"/>
          <w:numId w:val="33"/>
        </w:numPr>
        <w:adjustRightInd/>
        <w:spacing w:before="0" w:after="60"/>
        <w:textAlignment w:val="auto"/>
        <w:rPr>
          <w:lang w:val="de-DE"/>
        </w:rPr>
      </w:pPr>
      <w:r w:rsidRPr="00BB5519">
        <w:rPr>
          <w:rFonts w:ascii="Tahoma" w:hAnsi="Tahoma" w:cs="Tahoma"/>
          <w:sz w:val="18"/>
          <w:szCs w:val="18"/>
          <w:lang w:val="de-DE"/>
        </w:rPr>
        <w:t xml:space="preserve">Select. Open Value- (nicht unternehmensweit) und Open-Lizenzprogramm </w:t>
      </w:r>
    </w:p>
    <w:p w:rsidR="00B73A46" w:rsidRPr="00BB5519" w:rsidRDefault="00B73A46" w:rsidP="00737AED">
      <w:pPr>
        <w:numPr>
          <w:ilvl w:val="0"/>
          <w:numId w:val="34"/>
        </w:numPr>
        <w:spacing w:after="60"/>
        <w:ind w:left="1800"/>
      </w:pPr>
      <w:r w:rsidRPr="00BB5519">
        <w:rPr>
          <w:rFonts w:cs="Tahoma"/>
          <w:szCs w:val="18"/>
          <w:bdr w:val="none" w:sz="0" w:space="0" w:color="auto" w:frame="1"/>
          <w:lang w:val="de-DE"/>
        </w:rPr>
        <w:t xml:space="preserve">Sie können Software Assurance für über OEM, Einzelhändler oder Get Genuine Windows-Vertrag (GGWA) (in manchen Ländern auch unter dem Namen „Get Genuine Solution“ bekannt) lizenziertes Windows 8 Pro oder Windows 7 Professional (32-Bit oder 64-Bit; N-, K- oder KN-Edition) innerhalb von 90 Tagen nach dem Kaufdatum der OEM-, Einzelhändler- oder GGWA-Lizenz erwerben. </w:t>
      </w:r>
      <w:r w:rsidRPr="00BB5519">
        <w:rPr>
          <w:rFonts w:cs="Tahoma"/>
          <w:szCs w:val="18"/>
          <w:bdr w:val="none" w:sz="0" w:space="0" w:color="auto" w:frame="1"/>
        </w:rPr>
        <w:t>(Gültig ab dem 1. September 2009)</w:t>
      </w:r>
    </w:p>
    <w:p w:rsidR="00B73A46" w:rsidRPr="00BB5519" w:rsidRDefault="00B73A46" w:rsidP="00737AED">
      <w:pPr>
        <w:pStyle w:val="Footnotedash"/>
        <w:numPr>
          <w:ilvl w:val="0"/>
          <w:numId w:val="34"/>
        </w:numPr>
        <w:adjustRightInd/>
        <w:spacing w:before="0"/>
        <w:ind w:left="1800"/>
        <w:textAlignment w:val="auto"/>
        <w:rPr>
          <w:lang w:val="de-DE"/>
        </w:rPr>
      </w:pPr>
      <w:r w:rsidRPr="00BB5519">
        <w:rPr>
          <w:rFonts w:ascii="Tahoma" w:hAnsi="Tahoma" w:cs="Tahoma"/>
          <w:sz w:val="18"/>
          <w:szCs w:val="18"/>
          <w:lang w:val="de-DE"/>
        </w:rPr>
        <w:t xml:space="preserve">Sie können Software Assurance für das Desktop-Betriebssystem nach Ablauf der Software Assurance für Windows 8 Pro oder Windows 7 verlängern. </w:t>
      </w:r>
    </w:p>
    <w:p w:rsidR="00B73A46" w:rsidRPr="00BB5519" w:rsidRDefault="00B73A46" w:rsidP="00A84DF7">
      <w:pPr>
        <w:pStyle w:val="Footnotedash"/>
        <w:spacing w:before="0" w:after="0"/>
        <w:ind w:left="720" w:firstLine="0"/>
      </w:pPr>
      <w:r w:rsidRPr="00BB5519">
        <w:rPr>
          <w:rFonts w:ascii="Tahoma" w:hAnsi="Tahoma" w:cs="Tahoma"/>
          <w:sz w:val="18"/>
          <w:szCs w:val="18"/>
          <w:lang w:val="de-DE"/>
        </w:rPr>
        <w:t xml:space="preserve">Die oben genannte Frist kann zu Werbezwecken für einen begrenzten Zeitraum verlängert werden. </w:t>
      </w:r>
      <w:r w:rsidRPr="00BB5519">
        <w:rPr>
          <w:rFonts w:ascii="Tahoma" w:hAnsi="Tahoma" w:cs="Tahoma"/>
          <w:sz w:val="18"/>
          <w:szCs w:val="18"/>
        </w:rPr>
        <w:t xml:space="preserve">Weitere Informationen finden Sie in </w:t>
      </w:r>
      <w:hyperlink w:anchor="_SECTION_3_–" w:history="1">
        <w:r w:rsidRPr="00BB5519">
          <w:rPr>
            <w:rStyle w:val="Hyperlink"/>
            <w:rFonts w:ascii="Tahoma" w:hAnsi="Tahoma" w:cs="Tahoma"/>
            <w:color w:val="auto"/>
            <w:sz w:val="18"/>
            <w:szCs w:val="18"/>
            <w:u w:val="none"/>
          </w:rPr>
          <w:t>Abschnitt 3</w:t>
        </w:r>
      </w:hyperlink>
      <w:r w:rsidRPr="00BB5519">
        <w:rPr>
          <w:rFonts w:ascii="Tahoma" w:hAnsi="Tahoma" w:cs="Tahoma"/>
          <w:sz w:val="18"/>
          <w:szCs w:val="18"/>
        </w:rPr>
        <w:t>.</w:t>
      </w:r>
    </w:p>
    <w:p w:rsidR="00A84DF7" w:rsidRPr="00BB5519" w:rsidRDefault="00A84DF7" w:rsidP="00A84DF7">
      <w:pPr>
        <w:pStyle w:val="Footnotedash"/>
        <w:spacing w:before="0" w:after="0"/>
        <w:ind w:left="720" w:firstLine="0"/>
      </w:pPr>
    </w:p>
    <w:p w:rsidR="00B73A46" w:rsidRPr="00BB5519" w:rsidRDefault="00B73A46" w:rsidP="00A84DF7">
      <w:pPr>
        <w:pStyle w:val="FootnoteBulletLevel2"/>
        <w:numPr>
          <w:ilvl w:val="0"/>
          <w:numId w:val="28"/>
        </w:numPr>
        <w:adjustRightInd/>
        <w:spacing w:before="0"/>
        <w:ind w:left="1440"/>
        <w:textAlignment w:val="auto"/>
        <w:rPr>
          <w:lang w:val="de-DE"/>
        </w:rPr>
      </w:pPr>
      <w:r w:rsidRPr="00BB5519">
        <w:rPr>
          <w:rFonts w:ascii="Tahoma" w:hAnsi="Tahoma" w:cs="Tahoma"/>
          <w:sz w:val="18"/>
          <w:szCs w:val="18"/>
          <w:lang w:val="de-DE"/>
        </w:rPr>
        <w:t>Konzernbeitritte: Nach Ablauf eines bestehenden Konzernbeitritts für das Windows Desktop-Betriebssystem können die Kunden diesen durch einen neuen Konzernbeitritt für das Windows Desktop-Betriebssystem verlängern.</w:t>
      </w:r>
    </w:p>
    <w:p w:rsidR="00A84DF7" w:rsidRPr="00BB5519" w:rsidRDefault="00A84DF7" w:rsidP="00A84DF7">
      <w:pPr>
        <w:pStyle w:val="FootnoteBulletLevel2"/>
        <w:tabs>
          <w:tab w:val="clear" w:pos="1260"/>
        </w:tabs>
        <w:adjustRightInd/>
        <w:spacing w:before="0"/>
        <w:ind w:left="0" w:firstLine="0"/>
        <w:textAlignment w:val="auto"/>
        <w:rPr>
          <w:lang w:val="de-DE"/>
        </w:rPr>
      </w:pPr>
    </w:p>
    <w:p w:rsidR="002F7FB8" w:rsidRPr="00BB5519" w:rsidRDefault="002F7FB8" w:rsidP="00846611">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Upgrade und Software Assurance für Windows 8 Pro</w:t>
      </w:r>
    </w:p>
    <w:p w:rsidR="002F7FB8" w:rsidRPr="00BB5519" w:rsidRDefault="002F7FB8" w:rsidP="00846611">
      <w:pPr>
        <w:pStyle w:val="FootnoteBulletLevel1"/>
        <w:spacing w:before="0" w:after="0"/>
        <w:ind w:left="720" w:firstLine="0"/>
        <w:rPr>
          <w:lang w:val="de-DE"/>
        </w:rPr>
      </w:pPr>
      <w:r w:rsidRPr="00BB5519">
        <w:rPr>
          <w:rFonts w:ascii="Tahoma" w:hAnsi="Tahoma" w:cs="Tahoma"/>
          <w:sz w:val="18"/>
          <w:szCs w:val="18"/>
          <w:u w:val="single"/>
          <w:lang w:val="de-DE"/>
        </w:rPr>
        <w:t>Betriebssystem-Upgrade-Lizenz</w:t>
      </w:r>
    </w:p>
    <w:p w:rsidR="002F7FB8" w:rsidRPr="00BB5519" w:rsidRDefault="002F7FB8" w:rsidP="00846611">
      <w:pPr>
        <w:pStyle w:val="FootnoteBulletLevel2"/>
        <w:tabs>
          <w:tab w:val="clear" w:pos="1260"/>
        </w:tabs>
        <w:adjustRightInd/>
        <w:spacing w:before="0"/>
        <w:ind w:left="720" w:firstLine="0"/>
        <w:textAlignment w:val="auto"/>
        <w:rPr>
          <w:lang w:val="de-DE"/>
        </w:rPr>
      </w:pPr>
      <w:r w:rsidRPr="00BB5519">
        <w:rPr>
          <w:rFonts w:ascii="Tahoma" w:hAnsi="Tahoma" w:cs="Tahoma"/>
          <w:sz w:val="18"/>
          <w:szCs w:val="18"/>
          <w:lang w:val="de-DE"/>
        </w:rPr>
        <w:t>Die unter diesen Programmen gewährten Desktop-Betriebssystemlizenzen sind ausschließlich Upgrade-Lizenzen. Es sind keine Lizenzen für Vollversionen von Desktop-Betriebssystemen im Rahmen dieser Programme erhältlich. Daher muss der Kunde eines der in der Tabelle oben genannten anwendbaren, qualifizierenden Betriebssysteme lizenziert und auf jedem Desktop, für den er das Windows 8 Pro-Upgrade erwirbt und auf dem er es ausführt, installiert haben.</w:t>
      </w:r>
    </w:p>
    <w:p w:rsidR="00846611" w:rsidRPr="00BB5519" w:rsidRDefault="00846611" w:rsidP="00846611">
      <w:pPr>
        <w:pStyle w:val="FootnoteBulletLevel2"/>
        <w:tabs>
          <w:tab w:val="clear" w:pos="1260"/>
        </w:tabs>
        <w:adjustRightInd/>
        <w:spacing w:before="0"/>
        <w:ind w:left="720" w:firstLine="0"/>
        <w:textAlignment w:val="auto"/>
        <w:rPr>
          <w:lang w:val="de-DE"/>
        </w:rPr>
      </w:pPr>
    </w:p>
    <w:p w:rsidR="002F7FB8" w:rsidRPr="00BB5519" w:rsidRDefault="002F7FB8" w:rsidP="00846611">
      <w:pPr>
        <w:pStyle w:val="FootnoteBulletLevel2"/>
        <w:tabs>
          <w:tab w:val="clear" w:pos="1260"/>
        </w:tabs>
        <w:adjustRightInd/>
        <w:spacing w:before="0"/>
        <w:ind w:left="720" w:firstLine="0"/>
        <w:textAlignment w:val="auto"/>
        <w:rPr>
          <w:lang w:val="de-DE"/>
        </w:rPr>
      </w:pPr>
      <w:r w:rsidRPr="00BB5519">
        <w:rPr>
          <w:rFonts w:ascii="Tahoma" w:hAnsi="Tahoma" w:cs="Tahoma"/>
          <w:sz w:val="18"/>
          <w:szCs w:val="18"/>
          <w:lang w:val="de-DE"/>
        </w:rPr>
        <w:t>Kunden, die Windows 8 Pro-Upgrades und Software Assurance zusammen erwerben möchten, stehen folgende Möglichkeiten offen:</w:t>
      </w:r>
    </w:p>
    <w:p w:rsidR="00B04B81" w:rsidRPr="00BB5519" w:rsidRDefault="00B04B81" w:rsidP="00846611">
      <w:pPr>
        <w:pStyle w:val="FootnoteBulletLevel2"/>
        <w:tabs>
          <w:tab w:val="clear" w:pos="1260"/>
        </w:tabs>
        <w:adjustRightInd/>
        <w:spacing w:before="0"/>
        <w:ind w:left="720" w:firstLine="0"/>
        <w:textAlignment w:val="auto"/>
        <w:rPr>
          <w:lang w:val="de-DE"/>
        </w:rPr>
      </w:pPr>
    </w:p>
    <w:p w:rsidR="002F7FB8" w:rsidRPr="00BB5519" w:rsidRDefault="002F7FB8" w:rsidP="00B04B81">
      <w:pPr>
        <w:pStyle w:val="FootnoteBulletLevel2"/>
        <w:numPr>
          <w:ilvl w:val="0"/>
          <w:numId w:val="28"/>
        </w:numPr>
        <w:adjustRightInd/>
        <w:spacing w:before="0" w:after="60"/>
        <w:ind w:left="1440"/>
        <w:textAlignment w:val="auto"/>
        <w:rPr>
          <w:lang w:val="de-DE"/>
        </w:rPr>
      </w:pPr>
      <w:r w:rsidRPr="00BB5519">
        <w:rPr>
          <w:rFonts w:ascii="Tahoma" w:hAnsi="Tahoma" w:cs="Tahoma"/>
          <w:sz w:val="18"/>
          <w:szCs w:val="18"/>
          <w:lang w:val="de-DE"/>
        </w:rPr>
        <w:t>Select-, Open Value- (nicht unternehmensweit) und Open-Lizenzprogramm:</w:t>
      </w:r>
    </w:p>
    <w:p w:rsidR="002F7FB8" w:rsidRPr="00BB5519" w:rsidRDefault="002F7FB8" w:rsidP="00127291">
      <w:pPr>
        <w:pStyle w:val="Footnotedash"/>
        <w:numPr>
          <w:ilvl w:val="1"/>
          <w:numId w:val="36"/>
        </w:numPr>
        <w:spacing w:before="0"/>
        <w:ind w:left="1800"/>
        <w:rPr>
          <w:lang w:val="de-DE"/>
        </w:rPr>
      </w:pPr>
      <w:r w:rsidRPr="00BB5519">
        <w:rPr>
          <w:rFonts w:ascii="Tahoma" w:eastAsia="Calibri" w:hAnsi="Tahoma" w:cs="Tahoma"/>
          <w:color w:val="000000"/>
          <w:sz w:val="18"/>
          <w:szCs w:val="18"/>
          <w:lang w:val="de-DE"/>
        </w:rPr>
        <w:t>Kunden können Windows 8 Pro-Upgrades und Software Assurance für Desktops erwerben, auf</w:t>
      </w:r>
      <w:r w:rsidR="00127291">
        <w:rPr>
          <w:rFonts w:ascii="Tahoma" w:eastAsia="Calibri" w:hAnsi="Tahoma" w:cs="Tahoma"/>
          <w:color w:val="000000"/>
          <w:sz w:val="18"/>
          <w:szCs w:val="18"/>
          <w:lang w:val="de-DE"/>
        </w:rPr>
        <w:t> </w:t>
      </w:r>
      <w:r w:rsidRPr="00BB5519">
        <w:rPr>
          <w:rFonts w:ascii="Tahoma" w:eastAsia="Calibri" w:hAnsi="Tahoma" w:cs="Tahoma"/>
          <w:color w:val="000000"/>
          <w:sz w:val="18"/>
          <w:szCs w:val="18"/>
          <w:lang w:val="de-DE"/>
        </w:rPr>
        <w:t>denen der Kunde eines der in der Windows-Upgrade-Tabelle genannten qualifizierenden Betriebssysteme lizenziert und installiert hat.</w:t>
      </w:r>
    </w:p>
    <w:p w:rsidR="002F7FB8" w:rsidRPr="00BB5519" w:rsidRDefault="002F7FB8" w:rsidP="00021BF7">
      <w:pPr>
        <w:pStyle w:val="Footnotedash"/>
        <w:keepNext/>
        <w:keepLines/>
        <w:numPr>
          <w:ilvl w:val="2"/>
          <w:numId w:val="103"/>
        </w:numPr>
        <w:spacing w:before="0"/>
        <w:ind w:left="1800"/>
        <w:rPr>
          <w:lang w:val="de-DE"/>
        </w:rPr>
      </w:pPr>
      <w:r w:rsidRPr="00BB5519">
        <w:rPr>
          <w:rFonts w:ascii="Tahoma" w:eastAsia="Calibri" w:hAnsi="Tahoma" w:cs="Tahoma"/>
          <w:color w:val="000000"/>
          <w:sz w:val="18"/>
          <w:szCs w:val="18"/>
          <w:lang w:val="de-DE"/>
        </w:rPr>
        <w:lastRenderedPageBreak/>
        <w:t>Der Kunde ist berechtigt, Software Assurance für Desktop-Betriebssystem-Upgrades vom ursprünglichen Desktop einem Ersatzdesktop neu zuzuweisen, jedoch nicht kurzzeitig (d. h. nicht innerhalb von 90 Tagen nach der letzten Zuweisung), solange (1) der Kunde die neueste Version dieses Betriebssystems lizenziert und auf dem Ersatzdesktop installiert hat und (2) der Kunde von dem ursprünglichen Desktop alle zugehörigen Desktop-Betriebssystem-Upgrades entfernt.</w:t>
      </w:r>
    </w:p>
    <w:p w:rsidR="00A84DF7" w:rsidRPr="00BB5519" w:rsidRDefault="002F7FB8" w:rsidP="00B04B81">
      <w:pPr>
        <w:pStyle w:val="FootnoteBulletLevel2"/>
        <w:numPr>
          <w:ilvl w:val="0"/>
          <w:numId w:val="28"/>
        </w:numPr>
        <w:adjustRightInd/>
        <w:spacing w:before="0" w:after="60"/>
        <w:ind w:left="1440"/>
        <w:textAlignment w:val="auto"/>
        <w:rPr>
          <w:lang w:val="de-DE"/>
        </w:rPr>
      </w:pPr>
      <w:r w:rsidRPr="00BB5519">
        <w:rPr>
          <w:rFonts w:ascii="Tahoma" w:hAnsi="Tahoma" w:cs="Tahoma"/>
          <w:sz w:val="18"/>
          <w:szCs w:val="18"/>
          <w:lang w:val="de-DE"/>
        </w:rPr>
        <w:t>Konzernbeitritte und unternehmensweite Open Value-Verträge (zeitlich unbeschränkt und Abonnement):</w:t>
      </w:r>
    </w:p>
    <w:p w:rsidR="00A84DF7" w:rsidRPr="00BB5519" w:rsidRDefault="002F7FB8" w:rsidP="00B04B81">
      <w:pPr>
        <w:pStyle w:val="Footnotedash"/>
        <w:numPr>
          <w:ilvl w:val="1"/>
          <w:numId w:val="36"/>
        </w:numPr>
        <w:spacing w:before="0"/>
        <w:ind w:left="1800"/>
        <w:rPr>
          <w:lang w:val="de-DE"/>
        </w:rPr>
      </w:pPr>
      <w:r w:rsidRPr="00BB5519">
        <w:rPr>
          <w:rFonts w:ascii="Tahoma" w:eastAsia="Calibri" w:hAnsi="Tahoma" w:cs="Tahoma"/>
          <w:color w:val="000000"/>
          <w:sz w:val="18"/>
          <w:szCs w:val="18"/>
          <w:lang w:val="de-DE"/>
        </w:rPr>
        <w:t xml:space="preserve">Erste Konzernbeitritte oder Open Value-Verträge (installierte Basis): </w:t>
      </w:r>
    </w:p>
    <w:p w:rsidR="00A84DF7" w:rsidRPr="00BB5519" w:rsidRDefault="002F7FB8" w:rsidP="00B04B81">
      <w:pPr>
        <w:pStyle w:val="Footnotedash"/>
        <w:numPr>
          <w:ilvl w:val="1"/>
          <w:numId w:val="36"/>
        </w:numPr>
        <w:spacing w:before="0"/>
        <w:ind w:left="1800"/>
        <w:rPr>
          <w:lang w:val="de-DE"/>
        </w:rPr>
      </w:pPr>
      <w:r w:rsidRPr="00BB5519">
        <w:rPr>
          <w:rFonts w:ascii="Tahoma" w:eastAsia="Calibri" w:hAnsi="Tahoma" w:cs="Tahoma"/>
          <w:color w:val="000000"/>
          <w:sz w:val="18"/>
          <w:szCs w:val="18"/>
          <w:lang w:val="de-DE"/>
        </w:rPr>
        <w:t>Kunden können Windows 8 Pro-Upgrade und Software Assurance für alle qualifizierten Desktops der installierten Basis erwerben.</w:t>
      </w:r>
      <w:r w:rsidR="009E4976" w:rsidRPr="00BB5519">
        <w:rPr>
          <w:rFonts w:ascii="Tahoma" w:eastAsia="Calibri" w:hAnsi="Tahoma" w:cs="Tahoma"/>
          <w:color w:val="000000"/>
          <w:sz w:val="18"/>
          <w:szCs w:val="18"/>
          <w:lang w:val="de-DE"/>
        </w:rPr>
        <w:t xml:space="preserve"> </w:t>
      </w:r>
      <w:r w:rsidRPr="00BB5519">
        <w:rPr>
          <w:rFonts w:ascii="Tahoma" w:eastAsia="Calibri" w:hAnsi="Tahoma" w:cs="Tahoma"/>
          <w:color w:val="000000"/>
          <w:sz w:val="18"/>
          <w:szCs w:val="18"/>
          <w:lang w:val="de-DE"/>
        </w:rPr>
        <w:t>Alle qualifizierten Desktops des Kunden und der verbundenen Unternehmen des Kunden zum Wirksamkeitsdatum des Beitritts oder Vertrages bilden die „installierte Basis“.</w:t>
      </w:r>
      <w:r w:rsidR="009E4976" w:rsidRPr="00BB5519">
        <w:rPr>
          <w:rFonts w:ascii="Tahoma" w:eastAsia="Calibri" w:hAnsi="Tahoma" w:cs="Tahoma"/>
          <w:color w:val="000000"/>
          <w:sz w:val="18"/>
          <w:szCs w:val="18"/>
          <w:lang w:val="de-DE"/>
        </w:rPr>
        <w:t xml:space="preserve"> </w:t>
      </w:r>
      <w:r w:rsidRPr="00BB5519">
        <w:rPr>
          <w:rFonts w:ascii="Tahoma" w:eastAsia="Calibri" w:hAnsi="Tahoma" w:cs="Tahoma"/>
          <w:color w:val="000000"/>
          <w:sz w:val="18"/>
          <w:szCs w:val="18"/>
          <w:lang w:val="de-DE"/>
        </w:rPr>
        <w:t>Der Kunde muss für alle qualifizierten Desktops der installierten Basis, auf denen das Windows-Betriebssystem ausgeführt werden soll, eines der in der Windows-Upgrade-Tabelle in der Spalte „EA/OV-CW (neu)“ genannten qualifizierenden Betriebssysteme lizenziert und auf diesen installiert haben.</w:t>
      </w:r>
    </w:p>
    <w:p w:rsidR="002F7FB8" w:rsidRPr="00BB5519" w:rsidRDefault="002F7FB8" w:rsidP="00B04B81">
      <w:pPr>
        <w:pStyle w:val="Footnotedash"/>
        <w:numPr>
          <w:ilvl w:val="1"/>
          <w:numId w:val="36"/>
        </w:numPr>
        <w:spacing w:before="0"/>
        <w:ind w:left="1800"/>
        <w:rPr>
          <w:lang w:val="de-DE"/>
        </w:rPr>
      </w:pPr>
      <w:r w:rsidRPr="00BB5519">
        <w:rPr>
          <w:rFonts w:ascii="Tahoma" w:eastAsia="Calibri" w:hAnsi="Tahoma" w:cs="Tahoma"/>
          <w:color w:val="000000"/>
          <w:sz w:val="18"/>
          <w:szCs w:val="18"/>
          <w:lang w:val="de-DE"/>
        </w:rPr>
        <w:t>Bestehende Konzernbeitritte oder Open Value-Verträge (True Up und Ersatz):</w:t>
      </w:r>
    </w:p>
    <w:p w:rsidR="002F7FB8" w:rsidRPr="00BB5519" w:rsidRDefault="002F7FB8" w:rsidP="00B04B81">
      <w:pPr>
        <w:pStyle w:val="Footnotedash"/>
        <w:numPr>
          <w:ilvl w:val="1"/>
          <w:numId w:val="36"/>
        </w:numPr>
        <w:spacing w:before="0"/>
        <w:ind w:left="1800"/>
        <w:rPr>
          <w:lang w:val="de-DE"/>
        </w:rPr>
      </w:pPr>
      <w:r w:rsidRPr="00BB5519">
        <w:rPr>
          <w:rFonts w:ascii="Tahoma" w:eastAsia="Calibri" w:hAnsi="Tahoma" w:cs="Tahoma"/>
          <w:color w:val="000000"/>
          <w:sz w:val="18"/>
          <w:szCs w:val="18"/>
          <w:lang w:val="de-DE"/>
        </w:rPr>
        <w:t>Kunden können Windows 8 Pro-Upgrades und Software Assurance für alle neuen qualifizierten Desktops oder Geräte erwerben, auf denen das Windows-Betriebssystem ausgeführt wird.</w:t>
      </w:r>
      <w:r w:rsidR="009E4976" w:rsidRPr="00BB5519">
        <w:rPr>
          <w:rFonts w:ascii="Tahoma" w:eastAsia="Calibri" w:hAnsi="Tahoma" w:cs="Tahoma"/>
          <w:color w:val="000000"/>
          <w:sz w:val="18"/>
          <w:szCs w:val="18"/>
          <w:lang w:val="de-DE"/>
        </w:rPr>
        <w:t xml:space="preserve"> </w:t>
      </w:r>
      <w:r w:rsidRPr="00BB5519">
        <w:rPr>
          <w:rFonts w:ascii="Tahoma" w:eastAsia="Calibri" w:hAnsi="Tahoma" w:cs="Tahoma"/>
          <w:color w:val="000000"/>
          <w:sz w:val="18"/>
          <w:szCs w:val="18"/>
          <w:lang w:val="de-DE"/>
        </w:rPr>
        <w:t>Der Kunde muss eines der in der Windows-Upgrade-Tabelle in der Spalte „EA/OV-CW (vorhanden)“ genannten qualifizierenden Betriebssysteme lizenziert und auf all diesen qualifizierten Neu- und Ersatzdesktops oder -geräten, die von einer anderen Quelle als durch eine Unternehmensverschmelzung oder einen Unternehmenskauf erworben werden, installiert haben. Der Kunde muss eines der in der Windows-Upgrade-Tabelle in der Spalte „EA/OV-CW (neu)“ genannten qualifizierenden Betriebssysteme lizenziert und auf all diesen qualifizierten Neu- oder Ersatzdesktops, die durch eine Unternehmensverschmelzung oder einen Unternehmenskauf erworben werden, installiert haben.</w:t>
      </w:r>
    </w:p>
    <w:p w:rsidR="002F7FB8" w:rsidRPr="00BB5519" w:rsidRDefault="002F7FB8" w:rsidP="00B04B81">
      <w:pPr>
        <w:pStyle w:val="FootnoteBulletLevel2"/>
        <w:numPr>
          <w:ilvl w:val="0"/>
          <w:numId w:val="28"/>
        </w:numPr>
        <w:adjustRightInd/>
        <w:spacing w:before="0" w:after="60"/>
        <w:ind w:left="1440"/>
        <w:textAlignment w:val="auto"/>
        <w:rPr>
          <w:lang w:val="de-DE"/>
        </w:rPr>
      </w:pPr>
      <w:r w:rsidRPr="00BB5519">
        <w:rPr>
          <w:rFonts w:ascii="Tahoma" w:hAnsi="Tahoma" w:cs="Tahoma"/>
          <w:sz w:val="18"/>
          <w:szCs w:val="18"/>
          <w:lang w:val="de-DE"/>
        </w:rPr>
        <w:t xml:space="preserve">Kunden mit Campus- und School-Vertrag und Open Value Subscription – Bildungslösungen: </w:t>
      </w:r>
    </w:p>
    <w:p w:rsidR="002F7FB8" w:rsidRPr="00BB5519" w:rsidRDefault="002F7FB8" w:rsidP="00B04B81">
      <w:pPr>
        <w:pStyle w:val="Footnotedash"/>
        <w:numPr>
          <w:ilvl w:val="1"/>
          <w:numId w:val="36"/>
        </w:numPr>
        <w:spacing w:before="0"/>
        <w:ind w:left="1800"/>
        <w:rPr>
          <w:lang w:val="de-DE"/>
        </w:rPr>
      </w:pPr>
      <w:r w:rsidRPr="00BB5519">
        <w:rPr>
          <w:rFonts w:ascii="Tahoma" w:eastAsia="Calibri" w:hAnsi="Tahoma" w:cs="Tahoma"/>
          <w:color w:val="000000"/>
          <w:sz w:val="18"/>
          <w:szCs w:val="18"/>
          <w:lang w:val="de-DE"/>
        </w:rPr>
        <w:t>Das Windows-Betriebssystem wird nur als Upgrade lizenziert.</w:t>
      </w:r>
      <w:r w:rsidR="009E4976" w:rsidRPr="00BB5519">
        <w:rPr>
          <w:rFonts w:ascii="Tahoma" w:eastAsia="Calibri" w:hAnsi="Tahoma" w:cs="Tahoma"/>
          <w:color w:val="000000"/>
          <w:sz w:val="18"/>
          <w:szCs w:val="18"/>
          <w:lang w:val="de-DE"/>
        </w:rPr>
        <w:t xml:space="preserve"> </w:t>
      </w:r>
      <w:r w:rsidRPr="00BB5519">
        <w:rPr>
          <w:rFonts w:ascii="Tahoma" w:eastAsia="Calibri" w:hAnsi="Tahoma" w:cs="Tahoma"/>
          <w:color w:val="000000"/>
          <w:sz w:val="18"/>
          <w:szCs w:val="18"/>
          <w:lang w:val="de-DE"/>
        </w:rPr>
        <w:t xml:space="preserve">Daher müssen Kunden, die das Windows-Betriebssystem ausführen möchten, zunächst ein qualifizierendes Betriebssystem lizenziert und auf ihrem Desktop installiert haben. Hierbei handelt es sich um die in der Windows-Upgrade-Tabelle in der Spalte „Forschung &amp; Lehre“ genannten qualifizierenden Betriebssysteme. </w:t>
      </w:r>
    </w:p>
    <w:p w:rsidR="00B47893" w:rsidRPr="00BB5519" w:rsidRDefault="002F7FB8" w:rsidP="00AF3B19">
      <w:pPr>
        <w:pStyle w:val="Footnotedash"/>
        <w:numPr>
          <w:ilvl w:val="1"/>
          <w:numId w:val="36"/>
        </w:numPr>
        <w:spacing w:before="0" w:after="0"/>
        <w:ind w:left="1800"/>
        <w:rPr>
          <w:lang w:val="de-DE"/>
        </w:rPr>
      </w:pPr>
      <w:r w:rsidRPr="00BB5519">
        <w:rPr>
          <w:rFonts w:ascii="Tahoma" w:eastAsia="Calibri" w:hAnsi="Tahoma" w:cs="Tahoma"/>
          <w:color w:val="000000"/>
          <w:sz w:val="18"/>
          <w:szCs w:val="18"/>
          <w:lang w:val="de-DE"/>
        </w:rPr>
        <w:t>Trotz gegenteiliger Bestimmungen in den Produktbenutzungsrechten (PUR) wird Einrichtungen, die sich für die Studentenoption entscheiden, maximal eine Windows To Go-Instanz pro lizenziertem Studentengerät erlaubt.</w:t>
      </w:r>
      <w:r w:rsidR="009E4976" w:rsidRPr="00BB5519">
        <w:rPr>
          <w:rFonts w:ascii="Tahoma" w:eastAsia="Calibri" w:hAnsi="Tahoma" w:cs="Tahoma"/>
          <w:color w:val="000000"/>
          <w:sz w:val="18"/>
          <w:szCs w:val="18"/>
          <w:lang w:val="de-DE"/>
        </w:rPr>
        <w:t xml:space="preserve"> </w:t>
      </w:r>
      <w:r w:rsidRPr="00BB5519">
        <w:rPr>
          <w:rFonts w:ascii="Tahoma" w:eastAsia="Calibri" w:hAnsi="Tahoma" w:cs="Tahoma"/>
          <w:color w:val="000000"/>
          <w:sz w:val="18"/>
          <w:szCs w:val="18"/>
          <w:lang w:val="de-DE"/>
        </w:rPr>
        <w:t>Einrichtungen müssen sicherstellen, dass Studenten, die nicht mehr bei der Einrichtung eingeschrieben sind, ihre Nutzung von Windows To Go einstellen und USB-Geräte mit einer Windows To Go-Instanz an die Einrichtung zurückgeben.</w:t>
      </w:r>
      <w:r w:rsidR="009E4976" w:rsidRPr="00BB5519">
        <w:rPr>
          <w:rFonts w:ascii="Tahoma" w:eastAsia="Calibri" w:hAnsi="Tahoma" w:cs="Tahoma"/>
          <w:color w:val="000000"/>
          <w:sz w:val="18"/>
          <w:szCs w:val="18"/>
          <w:lang w:val="de-DE"/>
        </w:rPr>
        <w:t xml:space="preserve"> </w:t>
      </w:r>
      <w:r w:rsidRPr="00BB5519">
        <w:rPr>
          <w:rFonts w:ascii="Tahoma" w:hAnsi="Tahoma" w:cs="Tahoma"/>
          <w:sz w:val="18"/>
          <w:szCs w:val="18"/>
          <w:lang w:val="de-DE"/>
        </w:rPr>
        <w:t>Einrichtungen, die sich für die Studentenoption entscheiden, sind nicht berechtigt, Windows Enterprise auf Geräten im Besitz von Studenten zu installieren.</w:t>
      </w:r>
    </w:p>
    <w:p w:rsidR="00973A93" w:rsidRPr="00BB5519" w:rsidRDefault="00973A93" w:rsidP="00AF3B19">
      <w:pPr>
        <w:rPr>
          <w:lang w:val="de-DE"/>
        </w:rPr>
      </w:pPr>
    </w:p>
    <w:p w:rsidR="00B73A46" w:rsidRPr="00BB5519" w:rsidRDefault="00B73A46" w:rsidP="00F64DEA">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Microsoft Windows XP Professional N (ohne Windows Media Player)</w:t>
      </w:r>
    </w:p>
    <w:p w:rsidR="00B73A46" w:rsidRPr="00BB5519" w:rsidRDefault="00B73A46" w:rsidP="00F64DEA">
      <w:pPr>
        <w:pStyle w:val="FootnoteBulletLevel2"/>
        <w:tabs>
          <w:tab w:val="clear" w:pos="1260"/>
          <w:tab w:val="num" w:pos="900"/>
        </w:tabs>
        <w:spacing w:before="0"/>
        <w:ind w:left="720" w:firstLine="0"/>
        <w:rPr>
          <w:lang w:val="de-DE"/>
        </w:rPr>
      </w:pPr>
      <w:r w:rsidRPr="00BB5519">
        <w:rPr>
          <w:rFonts w:ascii="Tahoma" w:hAnsi="Tahoma" w:cs="Tahoma"/>
          <w:sz w:val="18"/>
          <w:szCs w:val="18"/>
          <w:u w:val="single"/>
          <w:lang w:val="de-DE"/>
        </w:rPr>
        <w:t>Berechtigung</w:t>
      </w:r>
      <w:r w:rsidRPr="00BB5519">
        <w:rPr>
          <w:rFonts w:ascii="Tahoma" w:hAnsi="Tahoma" w:cs="Tahoma"/>
          <w:sz w:val="18"/>
          <w:szCs w:val="18"/>
          <w:lang w:val="de-DE"/>
        </w:rPr>
        <w:br/>
        <w:t>Kunden mit Volumenlizenzverträgen, die folgende Kriterien erfüllen, sind berechtigt, Medien für Microsoft Windows XP Professional N zu erwerben.</w:t>
      </w:r>
    </w:p>
    <w:p w:rsidR="00F64DEA" w:rsidRPr="00BB5519" w:rsidRDefault="00F64DEA" w:rsidP="00F64DEA">
      <w:pPr>
        <w:pStyle w:val="FootnoteBulletLevel2"/>
        <w:tabs>
          <w:tab w:val="clear" w:pos="1260"/>
          <w:tab w:val="num" w:pos="900"/>
        </w:tabs>
        <w:spacing w:before="0"/>
        <w:ind w:left="720" w:firstLine="0"/>
        <w:rPr>
          <w:lang w:val="de-DE"/>
        </w:rPr>
      </w:pPr>
    </w:p>
    <w:p w:rsidR="00B73A46" w:rsidRPr="00BB5519" w:rsidRDefault="00B73A46" w:rsidP="00F64DEA">
      <w:pPr>
        <w:pStyle w:val="Footnotedash"/>
        <w:tabs>
          <w:tab w:val="clear" w:pos="1620"/>
          <w:tab w:val="num" w:pos="2160"/>
        </w:tabs>
        <w:spacing w:before="0" w:after="0"/>
        <w:ind w:left="720" w:firstLine="7"/>
        <w:rPr>
          <w:lang w:val="de-DE"/>
        </w:rPr>
      </w:pPr>
      <w:r w:rsidRPr="00BB5519">
        <w:rPr>
          <w:rFonts w:ascii="Tahoma" w:hAnsi="Tahoma" w:cs="Tahoma"/>
          <w:sz w:val="18"/>
          <w:szCs w:val="18"/>
          <w:lang w:val="de-DE"/>
        </w:rPr>
        <w:t xml:space="preserve">Sie müssen über mindestens einen der folgenden aktiven Verträge oder Beitritte mit Microsoft Ireland Operations Ltd verfügen: </w:t>
      </w:r>
    </w:p>
    <w:p w:rsidR="00F64DEA" w:rsidRPr="00BB5519" w:rsidRDefault="00F64DEA" w:rsidP="00F64DEA">
      <w:pPr>
        <w:pStyle w:val="Footnotedash"/>
        <w:tabs>
          <w:tab w:val="clear" w:pos="1620"/>
          <w:tab w:val="num" w:pos="2160"/>
        </w:tabs>
        <w:spacing w:before="0" w:after="0"/>
        <w:ind w:left="720" w:firstLine="7"/>
        <w:rPr>
          <w:lang w:val="de-DE"/>
        </w:rPr>
      </w:pP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Select-, Konzern- oder Konzern-Abonnement-Beitritt</w:t>
      </w: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 xml:space="preserve">Open-Lizenz*, Open Value, Campus- und School-Vertrag, Open Value Subscription – Bildungslösungen </w:t>
      </w:r>
    </w:p>
    <w:p w:rsidR="00B73A46" w:rsidRPr="00BB5519" w:rsidRDefault="00B73A46" w:rsidP="00F64DEA">
      <w:pPr>
        <w:pStyle w:val="Footnotedash"/>
        <w:spacing w:before="0"/>
        <w:ind w:left="1440" w:firstLine="0"/>
        <w:rPr>
          <w:lang w:val="de-DE"/>
        </w:rPr>
      </w:pPr>
      <w:r w:rsidRPr="00BB5519">
        <w:rPr>
          <w:rFonts w:ascii="Tahoma" w:hAnsi="Tahoma" w:cs="Tahoma"/>
          <w:sz w:val="18"/>
          <w:szCs w:val="18"/>
          <w:lang w:val="de-DE"/>
        </w:rPr>
        <w:t>(*Bei einer Open-Lizenz ist ein „aktiver Vertrag“ einer, der mit einer aktiven Open-Lizenz-Autorisierungsnummer verknüpft ist.)</w:t>
      </w:r>
    </w:p>
    <w:p w:rsidR="00F64DEA" w:rsidRPr="00BB5519" w:rsidRDefault="00F64DEA" w:rsidP="00F64DEA">
      <w:pPr>
        <w:pStyle w:val="Footnotedash"/>
        <w:spacing w:before="0" w:after="0"/>
        <w:ind w:left="1440" w:firstLine="0"/>
        <w:rPr>
          <w:lang w:val="de-DE"/>
        </w:rPr>
      </w:pPr>
    </w:p>
    <w:p w:rsidR="00B73A46" w:rsidRPr="00BB5519" w:rsidRDefault="00B73A46" w:rsidP="00127291">
      <w:pPr>
        <w:pStyle w:val="Footnotedash"/>
        <w:tabs>
          <w:tab w:val="left" w:pos="1620"/>
        </w:tabs>
        <w:spacing w:before="0" w:after="0"/>
        <w:ind w:left="720" w:firstLine="7"/>
        <w:rPr>
          <w:lang w:val="de-DE"/>
        </w:rPr>
      </w:pPr>
      <w:r w:rsidRPr="00BB5519">
        <w:rPr>
          <w:rFonts w:ascii="Tahoma" w:hAnsi="Tahoma" w:cs="Tahoma"/>
          <w:sz w:val="18"/>
          <w:szCs w:val="18"/>
          <w:lang w:val="de-DE"/>
        </w:rPr>
        <w:lastRenderedPageBreak/>
        <w:t>Sie müssen über aktive Software Assurance für das Windows Desktop-Betriebssystem oder über Windows</w:t>
      </w:r>
      <w:r w:rsidR="00127291">
        <w:rPr>
          <w:rFonts w:ascii="Tahoma" w:hAnsi="Tahoma" w:cs="Tahoma"/>
          <w:sz w:val="18"/>
          <w:szCs w:val="18"/>
          <w:lang w:val="de-DE"/>
        </w:rPr>
        <w:t> </w:t>
      </w:r>
      <w:r w:rsidRPr="00BB5519">
        <w:rPr>
          <w:rFonts w:ascii="Tahoma" w:hAnsi="Tahoma" w:cs="Tahoma"/>
          <w:sz w:val="18"/>
          <w:szCs w:val="18"/>
          <w:lang w:val="de-DE"/>
        </w:rPr>
        <w:t>XP Professional-Upgrade-Lizenzen verfügen, die frühestens am 2. Februar 2005 erworben wurden.</w:t>
      </w:r>
    </w:p>
    <w:p w:rsidR="00F64DEA" w:rsidRPr="00BB5519" w:rsidRDefault="00F64DEA" w:rsidP="00F64DEA">
      <w:pPr>
        <w:pStyle w:val="Footnotedash"/>
        <w:tabs>
          <w:tab w:val="left" w:pos="1620"/>
        </w:tabs>
        <w:spacing w:before="0" w:after="0"/>
        <w:ind w:left="720" w:firstLine="7"/>
        <w:rPr>
          <w:lang w:val="de-DE"/>
        </w:rPr>
      </w:pPr>
    </w:p>
    <w:p w:rsidR="00766C40" w:rsidRPr="00BB5519" w:rsidRDefault="00B73A46" w:rsidP="00F64DEA">
      <w:pPr>
        <w:pStyle w:val="Footnotedash"/>
        <w:tabs>
          <w:tab w:val="left" w:pos="1620"/>
        </w:tabs>
        <w:spacing w:before="0" w:after="0"/>
        <w:ind w:left="720" w:firstLine="7"/>
        <w:rPr>
          <w:lang w:val="de-DE"/>
        </w:rPr>
      </w:pPr>
      <w:r w:rsidRPr="00BB5519">
        <w:rPr>
          <w:rFonts w:ascii="Tahoma" w:hAnsi="Tahoma" w:cs="Tahoma"/>
          <w:sz w:val="18"/>
          <w:szCs w:val="18"/>
          <w:lang w:val="de-DE"/>
        </w:rPr>
        <w:t xml:space="preserve">Sie müssen ihren Sitz in a) einem Land der Europäischen Union (EU), b) der Europäischen Freihandelszone (EFTA), c) in Bulgarien, Kroatien, Rumänien oder der Schweiz haben. </w:t>
      </w:r>
    </w:p>
    <w:p w:rsidR="00F64DEA" w:rsidRPr="00BB5519" w:rsidRDefault="00F64DEA" w:rsidP="00F64DEA">
      <w:pPr>
        <w:pStyle w:val="FootnoteBulletLevel1"/>
        <w:tabs>
          <w:tab w:val="clear" w:pos="900"/>
        </w:tabs>
        <w:adjustRightInd/>
        <w:spacing w:before="0" w:after="0"/>
        <w:ind w:left="720" w:firstLine="0"/>
        <w:textAlignment w:val="auto"/>
        <w:rPr>
          <w:lang w:val="de-DE"/>
        </w:rPr>
      </w:pPr>
    </w:p>
    <w:p w:rsidR="00B73A46" w:rsidRPr="00BB5519" w:rsidRDefault="00B73A46" w:rsidP="00F64DEA">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XP Professional</w:t>
      </w:r>
    </w:p>
    <w:p w:rsidR="00B73A46" w:rsidRPr="00BB5519" w:rsidRDefault="00B73A46" w:rsidP="00F64DEA">
      <w:pPr>
        <w:pStyle w:val="FootnoteBulletLevel2"/>
        <w:spacing w:before="0"/>
        <w:ind w:left="720" w:firstLine="0"/>
        <w:rPr>
          <w:lang w:val="de-DE"/>
        </w:rPr>
      </w:pPr>
      <w:r w:rsidRPr="00BB5519">
        <w:rPr>
          <w:rFonts w:ascii="Tahoma" w:hAnsi="Tahoma" w:cs="Tahoma"/>
          <w:sz w:val="18"/>
          <w:szCs w:val="18"/>
          <w:lang w:val="de-DE"/>
        </w:rPr>
        <w:t>Nutzungseinschränkungen für Windows XP Professional in Korea:</w:t>
      </w:r>
    </w:p>
    <w:p w:rsidR="00B73A46" w:rsidRPr="00BB5519" w:rsidRDefault="00B73A46" w:rsidP="00F64DEA">
      <w:pPr>
        <w:pStyle w:val="FootnoteBulletLevel2"/>
        <w:spacing w:before="0"/>
        <w:ind w:left="720" w:firstLine="0"/>
        <w:rPr>
          <w:lang w:val="de-DE"/>
        </w:rPr>
      </w:pPr>
      <w:r w:rsidRPr="00BB5519">
        <w:rPr>
          <w:rFonts w:ascii="Tahoma" w:hAnsi="Tahoma" w:cs="Tahoma"/>
          <w:sz w:val="18"/>
          <w:szCs w:val="18"/>
          <w:lang w:val="de-DE"/>
        </w:rPr>
        <w:t>Sie gelten auch für die Nutzung von Windows XP Professional aufgrund von Downgraderechten.</w:t>
      </w:r>
    </w:p>
    <w:p w:rsidR="00F64DEA" w:rsidRPr="00BB5519" w:rsidRDefault="00F64DEA" w:rsidP="00F64DEA">
      <w:pPr>
        <w:pStyle w:val="FootnoteBulletLevel2"/>
        <w:spacing w:before="0"/>
        <w:ind w:left="720" w:firstLine="0"/>
        <w:rPr>
          <w:lang w:val="de-DE"/>
        </w:rPr>
      </w:pP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 xml:space="preserve">Die Korean Fair Trade Commission (KFTC) verlangt bestimmte Einschränkungen bei der Bereitstellung von Windows XP Professional in koreanischer Sprache für die Nutzung durch Kunden mit Volumenlizenzverträgen und ihre verbundenen Unternehmen in Korea. </w:t>
      </w:r>
    </w:p>
    <w:p w:rsidR="00B73A46" w:rsidRPr="00BB5519" w:rsidRDefault="00B73A46" w:rsidP="00F64DEA">
      <w:pPr>
        <w:pStyle w:val="Footnotedash"/>
        <w:numPr>
          <w:ilvl w:val="0"/>
          <w:numId w:val="38"/>
        </w:numPr>
        <w:adjustRightInd/>
        <w:spacing w:before="0"/>
        <w:ind w:left="1440"/>
        <w:textAlignment w:val="auto"/>
      </w:pPr>
      <w:r w:rsidRPr="00BB5519">
        <w:rPr>
          <w:rFonts w:ascii="Tahoma" w:hAnsi="Tahoma" w:cs="Tahoma"/>
          <w:sz w:val="18"/>
          <w:szCs w:val="18"/>
          <w:lang w:val="de-DE"/>
        </w:rPr>
        <w:t xml:space="preserve">Diese Einschränkungen gelten nicht für Kunden, die ihre Lizenz für die koreanische Version von Windows XP Professional vor dem 24. </w:t>
      </w:r>
      <w:r w:rsidRPr="00BB5519">
        <w:rPr>
          <w:rFonts w:ascii="Tahoma" w:hAnsi="Tahoma" w:cs="Tahoma"/>
          <w:sz w:val="18"/>
          <w:szCs w:val="18"/>
        </w:rPr>
        <w:t xml:space="preserve">August 2006 erworben haben. </w:t>
      </w: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Sie gelten auch nicht für multinationale Kunden, die ihren Hauptsitz außerhalb Koreas haben und nur ein Image der Software nutzen.</w:t>
      </w: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Diese Einschränkungen gelten nicht für Kunden, die Verträge bis zum 23. August 2006 geschlossen haben und die unter besonderen Umständen ein Image der Software dauerhaft nutzen.</w:t>
      </w: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 xml:space="preserve">Die KFTC hat keine Einschränkungen für die Nutzung anderer Sprachversionen als der koreanischen angeordnet. </w:t>
      </w: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Die KFTC hat keine Einschränkungen für die Tablet PC- oder 64-Bit-Editionen in einer beliebigen Sprachversion angeordnet.</w:t>
      </w:r>
    </w:p>
    <w:p w:rsidR="00F64DEA" w:rsidRPr="00BB5519" w:rsidRDefault="00F64DEA" w:rsidP="00AF3B19">
      <w:pPr>
        <w:pStyle w:val="Footnotedash"/>
        <w:tabs>
          <w:tab w:val="clear" w:pos="1620"/>
        </w:tabs>
        <w:adjustRightInd/>
        <w:spacing w:before="0" w:after="0"/>
        <w:ind w:left="1440" w:firstLine="0"/>
        <w:textAlignment w:val="auto"/>
        <w:rPr>
          <w:lang w:val="de-DE"/>
        </w:rPr>
      </w:pPr>
    </w:p>
    <w:p w:rsidR="00B73A46" w:rsidRPr="00BB5519" w:rsidRDefault="00B73A46" w:rsidP="00F64DEA">
      <w:pPr>
        <w:pStyle w:val="FootnoteBulletLevel2"/>
        <w:spacing w:before="0"/>
        <w:ind w:left="720" w:hanging="7"/>
        <w:rPr>
          <w:lang w:val="de-DE"/>
        </w:rPr>
      </w:pPr>
      <w:r w:rsidRPr="00BB5519">
        <w:rPr>
          <w:rFonts w:ascii="Tahoma" w:hAnsi="Tahoma" w:cs="Tahoma"/>
          <w:sz w:val="18"/>
          <w:szCs w:val="18"/>
          <w:u w:val="single"/>
          <w:lang w:val="de-DE"/>
        </w:rPr>
        <w:t>Einschränkungen</w:t>
      </w:r>
      <w:r w:rsidRPr="00127291">
        <w:rPr>
          <w:rFonts w:ascii="Tahoma" w:hAnsi="Tahoma" w:cs="Tahoma"/>
          <w:sz w:val="18"/>
          <w:szCs w:val="18"/>
          <w:lang w:val="de-DE"/>
        </w:rPr>
        <w:t>:</w:t>
      </w:r>
    </w:p>
    <w:p w:rsidR="00B73A46" w:rsidRPr="00BB5519" w:rsidRDefault="00B73A46" w:rsidP="00381E02">
      <w:pPr>
        <w:pStyle w:val="FootnoteBulletLevel2"/>
        <w:spacing w:before="0"/>
        <w:ind w:left="720" w:hanging="7"/>
        <w:rPr>
          <w:lang w:val="de-DE"/>
        </w:rPr>
      </w:pPr>
      <w:r w:rsidRPr="00BB5519">
        <w:rPr>
          <w:rFonts w:ascii="Tahoma" w:hAnsi="Tahoma" w:cs="Tahoma"/>
          <w:sz w:val="18"/>
          <w:szCs w:val="18"/>
          <w:lang w:val="de-DE"/>
        </w:rPr>
        <w:t>Ab dem 24. August 2006 müssen Kunden mit Volumenlizenzverträgen in Korea, die nicht die Ausnahmekriterien erfüllen und koreanische Sprachversionen nutzen möchten, entweder Windows</w:t>
      </w:r>
      <w:r w:rsidR="00381E02">
        <w:rPr>
          <w:rFonts w:ascii="Tahoma" w:hAnsi="Tahoma" w:cs="Tahoma"/>
          <w:sz w:val="18"/>
          <w:szCs w:val="18"/>
          <w:lang w:val="de-DE"/>
        </w:rPr>
        <w:t> </w:t>
      </w:r>
      <w:r w:rsidRPr="00BB5519">
        <w:rPr>
          <w:rFonts w:ascii="Tahoma" w:hAnsi="Tahoma" w:cs="Tahoma"/>
          <w:sz w:val="18"/>
          <w:szCs w:val="18"/>
          <w:lang w:val="de-DE"/>
        </w:rPr>
        <w:t>XP</w:t>
      </w:r>
      <w:r w:rsidR="00381E02">
        <w:rPr>
          <w:rFonts w:ascii="Tahoma" w:hAnsi="Tahoma" w:cs="Tahoma"/>
          <w:sz w:val="18"/>
          <w:szCs w:val="18"/>
          <w:lang w:val="de-DE"/>
        </w:rPr>
        <w:t> </w:t>
      </w:r>
      <w:r w:rsidRPr="00BB5519">
        <w:rPr>
          <w:rFonts w:ascii="Tahoma" w:hAnsi="Tahoma" w:cs="Tahoma"/>
          <w:sz w:val="18"/>
          <w:szCs w:val="18"/>
          <w:lang w:val="de-DE"/>
        </w:rPr>
        <w:t>Professional K oder Windows XP Professional KN bereitstellen.</w:t>
      </w:r>
    </w:p>
    <w:p w:rsidR="00F64DEA" w:rsidRPr="00BB5519" w:rsidRDefault="00F64DEA" w:rsidP="00F64DEA">
      <w:pPr>
        <w:pStyle w:val="FootnoteBulletLevel2"/>
        <w:spacing w:before="0"/>
        <w:ind w:left="720" w:hanging="7"/>
        <w:rPr>
          <w:lang w:val="de-DE"/>
        </w:rPr>
      </w:pPr>
    </w:p>
    <w:p w:rsidR="00B73A46" w:rsidRPr="00BB5519" w:rsidRDefault="00B73A46" w:rsidP="00F64DEA">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XP Professional K und KN</w:t>
      </w:r>
    </w:p>
    <w:p w:rsidR="00B73A46" w:rsidRPr="00BB5519" w:rsidRDefault="00B73A46" w:rsidP="00F64DEA">
      <w:pPr>
        <w:pStyle w:val="FootnoteBulletLevel2"/>
        <w:spacing w:before="0"/>
        <w:ind w:left="720" w:hanging="7"/>
        <w:rPr>
          <w:lang w:val="de-DE"/>
        </w:rPr>
      </w:pPr>
      <w:r w:rsidRPr="00BB5519">
        <w:rPr>
          <w:rFonts w:ascii="Tahoma" w:hAnsi="Tahoma" w:cs="Tahoma"/>
          <w:sz w:val="18"/>
          <w:szCs w:val="18"/>
          <w:lang w:val="de-DE"/>
        </w:rPr>
        <w:t xml:space="preserve">Kunden mit Volumenlizenzverträgen und ihre verbundenen Unternehmen dürfen Windows XP Professional K oder KN nur in Korea bereitstellen. </w:t>
      </w:r>
    </w:p>
    <w:p w:rsidR="00F64DEA" w:rsidRPr="00BB5519" w:rsidRDefault="00F64DEA" w:rsidP="00F64DEA">
      <w:pPr>
        <w:pStyle w:val="FootnoteBulletLevel2"/>
        <w:spacing w:before="0"/>
        <w:ind w:left="720" w:hanging="7"/>
        <w:rPr>
          <w:lang w:val="de-DE"/>
        </w:rPr>
      </w:pPr>
    </w:p>
    <w:p w:rsidR="00B73A46" w:rsidRPr="00BB5519" w:rsidRDefault="00B73A46" w:rsidP="00F64DEA">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Vista Business KN</w:t>
      </w:r>
    </w:p>
    <w:p w:rsidR="00B73A46" w:rsidRPr="00BB5519" w:rsidRDefault="00B73A46" w:rsidP="00F64DEA">
      <w:pPr>
        <w:pStyle w:val="FootnoteBulletLevel2"/>
        <w:spacing w:before="0"/>
        <w:ind w:left="720" w:hanging="7"/>
        <w:rPr>
          <w:lang w:val="de-DE"/>
        </w:rPr>
      </w:pPr>
      <w:r w:rsidRPr="00BB5519">
        <w:rPr>
          <w:rFonts w:ascii="Tahoma" w:hAnsi="Tahoma" w:cs="Tahoma"/>
          <w:sz w:val="18"/>
          <w:szCs w:val="18"/>
          <w:u w:val="single"/>
          <w:lang w:val="de-DE"/>
        </w:rPr>
        <w:t>Berechtigung</w:t>
      </w:r>
      <w:r w:rsidRPr="00381E02">
        <w:rPr>
          <w:rFonts w:ascii="Tahoma" w:hAnsi="Tahoma" w:cs="Tahoma"/>
          <w:sz w:val="18"/>
          <w:szCs w:val="18"/>
          <w:lang w:val="de-DE"/>
        </w:rPr>
        <w:t>:</w:t>
      </w:r>
      <w:r w:rsidRPr="00BB5519">
        <w:rPr>
          <w:rFonts w:ascii="Tahoma" w:hAnsi="Tahoma" w:cs="Tahoma"/>
          <w:sz w:val="18"/>
          <w:szCs w:val="18"/>
          <w:u w:val="single"/>
          <w:lang w:val="de-DE"/>
        </w:rPr>
        <w:br/>
      </w:r>
      <w:r w:rsidRPr="00BB5519">
        <w:rPr>
          <w:rFonts w:ascii="Tahoma" w:hAnsi="Tahoma" w:cs="Tahoma"/>
          <w:sz w:val="18"/>
          <w:szCs w:val="18"/>
          <w:lang w:val="de-DE"/>
        </w:rPr>
        <w:t>Volumenlizenzkunden in Korea, die über einen aktiven Volumenlizenzvertrag oder Beitritt mit Microsoft Operations Pte Ltd verfügen, sind berechtigt, Medien für Windows Vista Business KN für die Bereitstellung und Nutzung in Korea zu erwerben. Keine andere Verwendung ist erlaubt.</w:t>
      </w:r>
    </w:p>
    <w:p w:rsidR="00F64DEA" w:rsidRPr="00BB5519" w:rsidRDefault="00F64DEA" w:rsidP="00F64DEA">
      <w:pPr>
        <w:pStyle w:val="FootnoteBulletLevel2"/>
        <w:spacing w:before="0"/>
        <w:ind w:left="720" w:hanging="7"/>
        <w:rPr>
          <w:lang w:val="de-DE"/>
        </w:rPr>
      </w:pPr>
    </w:p>
    <w:p w:rsidR="00B73A46" w:rsidRPr="00BB5519" w:rsidRDefault="00B73A46" w:rsidP="00F64DEA">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7 Professional KN</w:t>
      </w:r>
    </w:p>
    <w:p w:rsidR="00B47893" w:rsidRPr="00BB5519" w:rsidRDefault="00B73A46" w:rsidP="00F64DEA">
      <w:pPr>
        <w:pStyle w:val="FootnoteBulletLevel2"/>
        <w:spacing w:before="0"/>
        <w:ind w:left="720" w:hanging="7"/>
        <w:rPr>
          <w:lang w:val="de-DE"/>
        </w:rPr>
      </w:pPr>
      <w:r w:rsidRPr="00BB5519">
        <w:rPr>
          <w:rFonts w:ascii="Tahoma" w:hAnsi="Tahoma" w:cs="Tahoma"/>
          <w:sz w:val="18"/>
          <w:szCs w:val="18"/>
          <w:u w:val="single"/>
          <w:lang w:val="de-DE"/>
        </w:rPr>
        <w:t>Berechtigung</w:t>
      </w:r>
      <w:r w:rsidRPr="00381E02">
        <w:rPr>
          <w:rFonts w:ascii="Tahoma" w:hAnsi="Tahoma" w:cs="Tahoma"/>
          <w:sz w:val="18"/>
          <w:szCs w:val="18"/>
          <w:lang w:val="de-DE"/>
        </w:rPr>
        <w:t>:</w:t>
      </w:r>
      <w:r w:rsidRPr="00BB5519">
        <w:rPr>
          <w:rFonts w:ascii="Tahoma" w:hAnsi="Tahoma" w:cs="Tahoma"/>
          <w:sz w:val="18"/>
          <w:szCs w:val="18"/>
          <w:u w:val="single"/>
          <w:lang w:val="de-DE"/>
        </w:rPr>
        <w:br/>
      </w:r>
      <w:r w:rsidRPr="00BB5519">
        <w:rPr>
          <w:rFonts w:ascii="Tahoma" w:hAnsi="Tahoma" w:cs="Tahoma"/>
          <w:sz w:val="18"/>
          <w:szCs w:val="18"/>
          <w:lang w:val="de-DE"/>
        </w:rPr>
        <w:t>Volumenlizenzkunden in Korea, die über einen aktiven Volumenlizenzvertrag oder Beitritt mit Microsoft Operations Pte Ltd verfügen, sind berechtigt, Medien für Windows 7 Professional für die Bereitstellung und Nutzung in Korea zu erwerben. Keine andere Verwendung ist erlaubt.</w:t>
      </w:r>
    </w:p>
    <w:p w:rsidR="00F64DEA" w:rsidRPr="00BB5519" w:rsidRDefault="00F64DEA" w:rsidP="00F64DEA">
      <w:pPr>
        <w:pStyle w:val="FootnoteBulletLevel2"/>
        <w:spacing w:before="0"/>
        <w:ind w:left="720" w:hanging="7"/>
        <w:rPr>
          <w:lang w:val="de-DE"/>
        </w:rPr>
      </w:pPr>
    </w:p>
    <w:p w:rsidR="00B73A46" w:rsidRPr="00BB5519" w:rsidRDefault="00B73A46" w:rsidP="00F64DEA">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Vista Business N (ohne Windows Media Player)</w:t>
      </w:r>
    </w:p>
    <w:p w:rsidR="00B73A46" w:rsidRPr="00BB5519" w:rsidRDefault="00B73A46" w:rsidP="00F64DEA">
      <w:pPr>
        <w:pStyle w:val="FootnoteBulletLevel2"/>
        <w:spacing w:before="0"/>
        <w:ind w:left="720" w:hanging="7"/>
        <w:rPr>
          <w:lang w:val="de-DE"/>
        </w:rPr>
      </w:pPr>
      <w:r w:rsidRPr="00BB5519">
        <w:rPr>
          <w:rFonts w:ascii="Tahoma" w:hAnsi="Tahoma" w:cs="Tahoma"/>
          <w:sz w:val="18"/>
          <w:szCs w:val="18"/>
          <w:u w:val="single"/>
          <w:lang w:val="de-DE"/>
        </w:rPr>
        <w:t>Berechtigung</w:t>
      </w:r>
      <w:r w:rsidRPr="00381E02">
        <w:rPr>
          <w:rFonts w:ascii="Tahoma" w:hAnsi="Tahoma" w:cs="Tahoma"/>
          <w:sz w:val="18"/>
          <w:szCs w:val="18"/>
          <w:lang w:val="de-DE"/>
        </w:rPr>
        <w:t>:</w:t>
      </w:r>
      <w:r w:rsidRPr="00BB5519">
        <w:rPr>
          <w:rFonts w:ascii="Tahoma" w:hAnsi="Tahoma" w:cs="Tahoma"/>
          <w:sz w:val="18"/>
          <w:szCs w:val="18"/>
          <w:u w:val="single"/>
          <w:lang w:val="de-DE"/>
        </w:rPr>
        <w:br/>
      </w:r>
      <w:r w:rsidRPr="00BB5519">
        <w:rPr>
          <w:rFonts w:ascii="Tahoma" w:hAnsi="Tahoma" w:cs="Tahoma"/>
          <w:sz w:val="18"/>
          <w:szCs w:val="18"/>
          <w:lang w:val="de-DE"/>
        </w:rPr>
        <w:t>Kunden mit Volumenlizenzverträgen, die folgende Kriterien erfüllen, sind berechtigt, Medien für Microsoft Windows Vista Business N ausschließlich zur Bereitstellung und Nutzung in der Europäischen Union (EU), der Europäischen Freihandelszone (EFTA), in Bulgarien, Kroatien, Rumänien oder der Schweiz zu erwerben.</w:t>
      </w:r>
    </w:p>
    <w:p w:rsidR="00F64DEA" w:rsidRPr="00BB5519" w:rsidRDefault="00F64DEA" w:rsidP="00F64DEA">
      <w:pPr>
        <w:pStyle w:val="FootnoteBulletLevel2"/>
        <w:spacing w:before="0"/>
        <w:ind w:left="720" w:hanging="7"/>
        <w:rPr>
          <w:lang w:val="de-DE"/>
        </w:rPr>
      </w:pPr>
    </w:p>
    <w:p w:rsidR="00B73A46" w:rsidRPr="00BB5519" w:rsidRDefault="00B73A46" w:rsidP="00F64DEA">
      <w:pPr>
        <w:pStyle w:val="Footnotedash"/>
        <w:spacing w:before="0" w:after="0"/>
        <w:ind w:left="720" w:hanging="7"/>
        <w:rPr>
          <w:lang w:val="de-DE"/>
        </w:rPr>
      </w:pPr>
      <w:r w:rsidRPr="00BB5519">
        <w:rPr>
          <w:rFonts w:ascii="Tahoma" w:hAnsi="Tahoma" w:cs="Tahoma"/>
          <w:sz w:val="18"/>
          <w:szCs w:val="18"/>
          <w:lang w:val="de-DE"/>
        </w:rPr>
        <w:t xml:space="preserve">Sie müssen über mindestens einen der folgenden aktiven Verträge oder Beitritte mit Microsoft Ireland Operations Ltd verfügen: </w:t>
      </w:r>
    </w:p>
    <w:p w:rsidR="00F64DEA" w:rsidRPr="00BB5519" w:rsidRDefault="00F64DEA" w:rsidP="00F64DEA">
      <w:pPr>
        <w:pStyle w:val="Footnotedash"/>
        <w:spacing w:before="0" w:after="0"/>
        <w:ind w:left="720" w:hanging="7"/>
        <w:rPr>
          <w:lang w:val="de-DE"/>
        </w:rPr>
      </w:pP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Select-, Konzern- oder Konzern-Abonnement-Beitritt</w:t>
      </w:r>
    </w:p>
    <w:p w:rsidR="00B73A46" w:rsidRPr="00BB5519" w:rsidRDefault="00B73A46" w:rsidP="00F64DEA">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lastRenderedPageBreak/>
        <w:t xml:space="preserve">Open-Lizenz*, Open Value, Campus- und School-Vertrag, Open Value Subscription – Bildungslösungen </w:t>
      </w:r>
    </w:p>
    <w:p w:rsidR="00B73A46" w:rsidRPr="00BB5519" w:rsidRDefault="00B73A46" w:rsidP="00F64DEA">
      <w:pPr>
        <w:pStyle w:val="Footnotedash"/>
        <w:tabs>
          <w:tab w:val="clear" w:pos="1620"/>
        </w:tabs>
        <w:adjustRightInd/>
        <w:spacing w:before="0"/>
        <w:ind w:left="1440" w:firstLine="0"/>
        <w:textAlignment w:val="auto"/>
        <w:rPr>
          <w:lang w:val="de-DE"/>
        </w:rPr>
      </w:pPr>
      <w:r w:rsidRPr="00BB5519">
        <w:rPr>
          <w:rFonts w:ascii="Tahoma" w:hAnsi="Tahoma" w:cs="Tahoma"/>
          <w:sz w:val="18"/>
          <w:szCs w:val="18"/>
          <w:lang w:val="de-DE"/>
        </w:rPr>
        <w:t>(*Bei einer Open-Lizenz ist ein „aktiver Vertrag“ einer, der mit einer aktiven Open-Lizenz-Autorisierungsnummer verknüpft ist.)</w:t>
      </w:r>
    </w:p>
    <w:p w:rsidR="00F64DEA" w:rsidRPr="00BB5519" w:rsidRDefault="00F64DEA" w:rsidP="00AF3B19">
      <w:pPr>
        <w:pStyle w:val="Footnotedash"/>
        <w:tabs>
          <w:tab w:val="clear" w:pos="1620"/>
        </w:tabs>
        <w:adjustRightInd/>
        <w:spacing w:before="0" w:after="0"/>
        <w:ind w:left="0" w:firstLine="0"/>
        <w:textAlignment w:val="auto"/>
        <w:rPr>
          <w:lang w:val="de-DE"/>
        </w:rPr>
      </w:pPr>
    </w:p>
    <w:p w:rsidR="00B73A46" w:rsidRPr="00BB5519" w:rsidRDefault="00B73A46" w:rsidP="00F64DEA">
      <w:pPr>
        <w:pStyle w:val="Footnotedash"/>
        <w:spacing w:before="0" w:after="0"/>
        <w:ind w:left="720" w:hanging="7"/>
        <w:rPr>
          <w:lang w:val="de-DE"/>
        </w:rPr>
      </w:pPr>
      <w:r w:rsidRPr="00BB5519">
        <w:rPr>
          <w:rFonts w:ascii="Tahoma" w:hAnsi="Tahoma" w:cs="Tahoma"/>
          <w:sz w:val="18"/>
          <w:szCs w:val="18"/>
          <w:lang w:val="de-DE"/>
        </w:rPr>
        <w:t>Sie müssen über aktive Software Assurance für das Windows Desktop-Betriebssytem oder über Windows Vista Business-Upgrade-Lizenzen verfügen.</w:t>
      </w:r>
    </w:p>
    <w:p w:rsidR="00F64DEA" w:rsidRPr="00BB5519" w:rsidRDefault="00F64DEA" w:rsidP="00F64DEA">
      <w:pPr>
        <w:pStyle w:val="Footnotedash"/>
        <w:spacing w:before="0" w:after="0"/>
        <w:ind w:left="720" w:hanging="7"/>
        <w:rPr>
          <w:lang w:val="de-DE"/>
        </w:rPr>
      </w:pPr>
    </w:p>
    <w:p w:rsidR="00B73A46" w:rsidRPr="00BB5519" w:rsidRDefault="00B73A46" w:rsidP="00F64DEA">
      <w:pPr>
        <w:pStyle w:val="Footnotedash"/>
        <w:spacing w:before="0" w:after="0"/>
        <w:ind w:left="720" w:hanging="7"/>
        <w:rPr>
          <w:lang w:val="de-DE"/>
        </w:rPr>
      </w:pPr>
      <w:r w:rsidRPr="00BB5519">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B3E62" w:rsidRPr="00BB5519" w:rsidRDefault="00EB3E62" w:rsidP="00F64DEA">
      <w:pPr>
        <w:pStyle w:val="Footnotedash"/>
        <w:spacing w:before="0" w:after="0"/>
        <w:ind w:left="720" w:hanging="7"/>
        <w:rPr>
          <w:lang w:val="de-DE"/>
        </w:rPr>
      </w:pPr>
    </w:p>
    <w:p w:rsidR="00B73A46" w:rsidRPr="00BB5519" w:rsidRDefault="00B73A46" w:rsidP="00EB3E62">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7 Professional N (ohne Windows Media Player)</w:t>
      </w:r>
    </w:p>
    <w:p w:rsidR="00B73A46" w:rsidRPr="00BB5519" w:rsidRDefault="00B73A46" w:rsidP="00EB3E62">
      <w:pPr>
        <w:pStyle w:val="FootnoteBulletLevel2"/>
        <w:spacing w:before="0"/>
        <w:ind w:left="720" w:firstLine="0"/>
        <w:rPr>
          <w:lang w:val="de-DE"/>
        </w:rPr>
      </w:pPr>
      <w:r w:rsidRPr="00BB5519">
        <w:rPr>
          <w:rFonts w:ascii="Tahoma" w:hAnsi="Tahoma" w:cs="Tahoma"/>
          <w:sz w:val="18"/>
          <w:szCs w:val="18"/>
          <w:u w:val="single"/>
          <w:lang w:val="de-DE"/>
        </w:rPr>
        <w:t>Berechtigung:</w:t>
      </w:r>
      <w:r w:rsidRPr="00BB5519">
        <w:rPr>
          <w:rFonts w:ascii="Tahoma" w:hAnsi="Tahoma" w:cs="Tahoma"/>
          <w:sz w:val="18"/>
          <w:szCs w:val="18"/>
          <w:u w:val="single"/>
          <w:lang w:val="de-DE"/>
        </w:rPr>
        <w:br/>
      </w:r>
      <w:r w:rsidRPr="00BB5519">
        <w:rPr>
          <w:rFonts w:ascii="Tahoma" w:hAnsi="Tahoma" w:cs="Tahoma"/>
          <w:sz w:val="18"/>
          <w:szCs w:val="18"/>
          <w:lang w:val="de-DE"/>
        </w:rPr>
        <w:t>Kunden mit Volumenlizenzverträgen, die folgende Kriterien erfüllen, sind berechtigt, Medien für Microsoft Windows 7 Professional N ausschließlich zur Bereitstellung und Nutzung in der Europäischen Union (EU), der Europäischen Freihandelszone (EFTA), in Bulgarien, Kroatien, Rumänien oder der Schweiz zu erwerben.</w:t>
      </w:r>
    </w:p>
    <w:p w:rsidR="00B73A46" w:rsidRPr="00BB5519" w:rsidRDefault="00B73A46" w:rsidP="00EB3E62">
      <w:pPr>
        <w:pStyle w:val="Footnotedash"/>
        <w:spacing w:before="0" w:after="0"/>
        <w:ind w:left="720" w:firstLine="0"/>
        <w:rPr>
          <w:lang w:val="de-DE"/>
        </w:rPr>
      </w:pPr>
      <w:r w:rsidRPr="00BB5519">
        <w:rPr>
          <w:rFonts w:ascii="Tahoma" w:hAnsi="Tahoma" w:cs="Tahoma"/>
          <w:sz w:val="18"/>
          <w:szCs w:val="18"/>
          <w:lang w:val="de-DE"/>
        </w:rPr>
        <w:t xml:space="preserve">Sie müssen über mindestens einen der folgenden aktiven Verträge oder Beitritte mit Microsoft Ireland Operations Ltd verfügen: </w:t>
      </w:r>
    </w:p>
    <w:p w:rsidR="00B73A46" w:rsidRPr="00BB5519" w:rsidRDefault="00B73A46" w:rsidP="00EB3E62">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Select-, Konzern- oder Konzern-Abonnement-Beitritt</w:t>
      </w:r>
    </w:p>
    <w:p w:rsidR="00B73A46" w:rsidRPr="00BB5519" w:rsidRDefault="00B73A46" w:rsidP="00EB3E62">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 xml:space="preserve">Open-Lizenz*, Open Value, Campus- und School-Vertrag, Open Value Subscription – Bildungslösungen </w:t>
      </w:r>
    </w:p>
    <w:p w:rsidR="00B73A46" w:rsidRPr="00BB5519" w:rsidRDefault="00B73A46" w:rsidP="00EB3E62">
      <w:pPr>
        <w:pStyle w:val="Footnotedash"/>
        <w:tabs>
          <w:tab w:val="clear" w:pos="1620"/>
        </w:tabs>
        <w:adjustRightInd/>
        <w:spacing w:before="0"/>
        <w:ind w:left="1440" w:firstLine="0"/>
        <w:textAlignment w:val="auto"/>
        <w:rPr>
          <w:lang w:val="de-DE"/>
        </w:rPr>
      </w:pPr>
      <w:r w:rsidRPr="00BB5519">
        <w:rPr>
          <w:rFonts w:ascii="Tahoma" w:hAnsi="Tahoma" w:cs="Tahoma"/>
          <w:sz w:val="18"/>
          <w:szCs w:val="18"/>
          <w:lang w:val="de-DE"/>
        </w:rPr>
        <w:t>(*Bei einer Open-Lizenz ist ein „aktiver Vertrag“ einer, der mit einer aktiven Open-Lizenz-Autorisierungsnummer verknüpft ist.)</w:t>
      </w:r>
    </w:p>
    <w:p w:rsidR="00B73A46" w:rsidRPr="00BB5519" w:rsidRDefault="00B73A46" w:rsidP="00EB3E62">
      <w:pPr>
        <w:pStyle w:val="Footnotedash"/>
        <w:spacing w:before="0" w:after="0"/>
        <w:ind w:left="720" w:firstLine="0"/>
        <w:rPr>
          <w:lang w:val="de-DE"/>
        </w:rPr>
      </w:pPr>
      <w:r w:rsidRPr="00BB5519">
        <w:rPr>
          <w:rFonts w:ascii="Tahoma" w:hAnsi="Tahoma" w:cs="Tahoma"/>
          <w:sz w:val="18"/>
          <w:szCs w:val="18"/>
          <w:lang w:val="de-DE"/>
        </w:rPr>
        <w:t>Sie müssen über aktive Software Assurance für das Windows Desktop-Betriebssytem oder Windows 8 Pro oder über Upgrade-Lizenzen verfügen.</w:t>
      </w:r>
    </w:p>
    <w:p w:rsidR="00EB3E62" w:rsidRPr="00BB5519" w:rsidRDefault="00EB3E62" w:rsidP="00EB3E62">
      <w:pPr>
        <w:pStyle w:val="Footnotedash"/>
        <w:spacing w:before="0" w:after="0"/>
        <w:ind w:left="720" w:firstLine="0"/>
        <w:rPr>
          <w:lang w:val="de-DE"/>
        </w:rPr>
      </w:pPr>
    </w:p>
    <w:p w:rsidR="00B73A46" w:rsidRPr="00BB5519" w:rsidRDefault="00B73A46" w:rsidP="00EB3E62">
      <w:pPr>
        <w:pStyle w:val="Footnotedash"/>
        <w:spacing w:before="0" w:after="0"/>
        <w:ind w:left="720" w:firstLine="0"/>
        <w:rPr>
          <w:lang w:val="de-DE"/>
        </w:rPr>
      </w:pPr>
      <w:r w:rsidRPr="00BB5519">
        <w:rPr>
          <w:rFonts w:ascii="Tahoma" w:hAnsi="Tahoma" w:cs="Tahoma"/>
          <w:sz w:val="18"/>
          <w:szCs w:val="18"/>
          <w:lang w:val="de-DE"/>
        </w:rPr>
        <w:t xml:space="preserve">Sie müssen ihren Sitz in einem Land der Europäischen Union (EU), der Europäischen Freihandelszone (EFTA), in Bulgarien, Kroatien, Rumänien oder der Schweiz haben. </w:t>
      </w:r>
    </w:p>
    <w:p w:rsidR="00EB3E62" w:rsidRPr="00BB5519" w:rsidRDefault="00EB3E62" w:rsidP="00EB3E62">
      <w:pPr>
        <w:pStyle w:val="Footnotedash"/>
        <w:spacing w:before="0" w:after="0"/>
        <w:ind w:left="720" w:firstLine="0"/>
        <w:rPr>
          <w:lang w:val="de-DE"/>
        </w:rPr>
      </w:pPr>
    </w:p>
    <w:p w:rsidR="00697E59" w:rsidRPr="00BB5519" w:rsidRDefault="00B73A46" w:rsidP="00EB3E62">
      <w:pPr>
        <w:pStyle w:val="Footnotedash"/>
        <w:spacing w:before="0" w:after="0"/>
        <w:ind w:left="720" w:firstLine="0"/>
        <w:rPr>
          <w:lang w:val="de-DE"/>
        </w:rPr>
      </w:pPr>
      <w:r w:rsidRPr="00BB5519">
        <w:rPr>
          <w:rFonts w:ascii="Tahoma" w:hAnsi="Tahoma" w:cs="Tahoma"/>
          <w:sz w:val="18"/>
          <w:szCs w:val="18"/>
          <w:lang w:val="de-DE"/>
        </w:rPr>
        <w:t xml:space="preserve">Kunden können den Hinweis in den Produktbenutzungsrechten von Juli 2009 bezüglich des Nichtvorhandenseins von Internet Explorer 8 sowie den zugehörigen Gewährleistungsausschluss ignorieren. </w:t>
      </w:r>
    </w:p>
    <w:p w:rsidR="00804794" w:rsidRPr="00BB5519" w:rsidRDefault="00804794" w:rsidP="00804794">
      <w:pPr>
        <w:pStyle w:val="FootnoteBulletLevel1"/>
        <w:tabs>
          <w:tab w:val="clear" w:pos="900"/>
        </w:tabs>
        <w:adjustRightInd/>
        <w:spacing w:before="0" w:after="0"/>
        <w:ind w:left="720" w:firstLine="0"/>
        <w:textAlignment w:val="auto"/>
        <w:rPr>
          <w:lang w:val="de-DE"/>
        </w:rPr>
      </w:pPr>
    </w:p>
    <w:p w:rsidR="008A5D64" w:rsidRPr="00BB5519" w:rsidRDefault="008A5D64" w:rsidP="00804794">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8 Pro KN</w:t>
      </w:r>
    </w:p>
    <w:p w:rsidR="008A5D64" w:rsidRPr="00BB5519" w:rsidRDefault="008A5D64" w:rsidP="00381E02">
      <w:pPr>
        <w:pStyle w:val="FootnoteBulletLevel2"/>
        <w:spacing w:before="0"/>
        <w:ind w:left="720" w:hanging="7"/>
        <w:rPr>
          <w:lang w:val="de-DE"/>
        </w:rPr>
      </w:pPr>
      <w:r w:rsidRPr="00BB5519">
        <w:rPr>
          <w:rFonts w:ascii="Tahoma" w:hAnsi="Tahoma" w:cs="Tahoma"/>
          <w:sz w:val="18"/>
          <w:szCs w:val="18"/>
          <w:u w:val="single"/>
          <w:lang w:val="de-DE"/>
        </w:rPr>
        <w:t>Berechtigung</w:t>
      </w:r>
      <w:r w:rsidRPr="00BB5519">
        <w:rPr>
          <w:rFonts w:ascii="Tahoma" w:hAnsi="Tahoma" w:cs="Tahoma"/>
          <w:sz w:val="18"/>
          <w:szCs w:val="18"/>
          <w:u w:val="single"/>
          <w:lang w:val="de-DE"/>
        </w:rPr>
        <w:br/>
      </w:r>
      <w:r w:rsidRPr="00BB5519">
        <w:rPr>
          <w:rFonts w:ascii="Tahoma" w:hAnsi="Tahoma" w:cs="Tahoma"/>
          <w:sz w:val="18"/>
          <w:szCs w:val="18"/>
          <w:lang w:val="de-DE"/>
        </w:rPr>
        <w:t>Volumenlizenzkunden in Korea, die über einen aktiven Volumenlizenzvertrag oder Beitritt mit Microsoft</w:t>
      </w:r>
      <w:r w:rsidR="00381E02">
        <w:rPr>
          <w:rFonts w:ascii="Tahoma" w:hAnsi="Tahoma" w:cs="Tahoma"/>
          <w:sz w:val="18"/>
          <w:szCs w:val="18"/>
          <w:lang w:val="de-DE"/>
        </w:rPr>
        <w:t> </w:t>
      </w:r>
      <w:r w:rsidRPr="00BB5519">
        <w:rPr>
          <w:rFonts w:ascii="Tahoma" w:hAnsi="Tahoma" w:cs="Tahoma"/>
          <w:sz w:val="18"/>
          <w:szCs w:val="18"/>
          <w:lang w:val="de-DE"/>
        </w:rPr>
        <w:t>Operations Pte Ltd verfügen, sind berechtigt, Medien für Windows 8 Pro KN für die Bereitstellung</w:t>
      </w:r>
      <w:r w:rsidR="00381E02">
        <w:rPr>
          <w:rFonts w:ascii="Tahoma" w:hAnsi="Tahoma" w:cs="Tahoma"/>
          <w:sz w:val="18"/>
          <w:szCs w:val="18"/>
          <w:lang w:val="de-DE"/>
        </w:rPr>
        <w:t> </w:t>
      </w:r>
      <w:r w:rsidRPr="00BB5519">
        <w:rPr>
          <w:rFonts w:ascii="Tahoma" w:hAnsi="Tahoma" w:cs="Tahoma"/>
          <w:sz w:val="18"/>
          <w:szCs w:val="18"/>
          <w:lang w:val="de-DE"/>
        </w:rPr>
        <w:t>und Nutzung in Korea zu erwerben. Keine andere Verwendung ist erlaubt.</w:t>
      </w:r>
    </w:p>
    <w:p w:rsidR="00804794" w:rsidRPr="00BB5519" w:rsidRDefault="00804794" w:rsidP="00804794">
      <w:pPr>
        <w:pStyle w:val="FootnoteBulletLevel1"/>
        <w:tabs>
          <w:tab w:val="clear" w:pos="900"/>
        </w:tabs>
        <w:adjustRightInd/>
        <w:spacing w:before="0" w:after="0"/>
        <w:ind w:left="720" w:firstLine="0"/>
        <w:textAlignment w:val="auto"/>
        <w:rPr>
          <w:lang w:val="de-DE"/>
        </w:rPr>
      </w:pPr>
    </w:p>
    <w:p w:rsidR="008A5D64" w:rsidRPr="00BB5519" w:rsidRDefault="008A5D64" w:rsidP="00804794">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Windows 8 Pro N (ohne Windows Media Player)</w:t>
      </w:r>
    </w:p>
    <w:p w:rsidR="008A5D64" w:rsidRPr="00BB5519" w:rsidRDefault="008A5D64" w:rsidP="00381E02">
      <w:pPr>
        <w:pStyle w:val="FootnoteBulletLevel2"/>
        <w:spacing w:before="0"/>
        <w:ind w:left="720" w:firstLine="0"/>
        <w:rPr>
          <w:lang w:val="de-DE"/>
        </w:rPr>
      </w:pPr>
      <w:r w:rsidRPr="00BB5519">
        <w:rPr>
          <w:rFonts w:ascii="Tahoma" w:hAnsi="Tahoma" w:cs="Tahoma"/>
          <w:sz w:val="18"/>
          <w:szCs w:val="18"/>
          <w:u w:val="single"/>
          <w:lang w:val="de-DE"/>
        </w:rPr>
        <w:t>Berechtigung</w:t>
      </w:r>
      <w:r w:rsidRPr="003417E6">
        <w:rPr>
          <w:rFonts w:ascii="Tahoma" w:hAnsi="Tahoma" w:cs="Tahoma"/>
          <w:sz w:val="18"/>
          <w:szCs w:val="18"/>
          <w:lang w:val="de-DE"/>
        </w:rPr>
        <w:t>:</w:t>
      </w:r>
      <w:r w:rsidRPr="00BB5519">
        <w:rPr>
          <w:rFonts w:ascii="Tahoma" w:hAnsi="Tahoma" w:cs="Tahoma"/>
          <w:sz w:val="18"/>
          <w:szCs w:val="18"/>
          <w:u w:val="single"/>
          <w:lang w:val="de-DE"/>
        </w:rPr>
        <w:br/>
      </w:r>
      <w:r w:rsidRPr="00BB5519">
        <w:rPr>
          <w:rFonts w:ascii="Tahoma" w:hAnsi="Tahoma" w:cs="Tahoma"/>
          <w:sz w:val="18"/>
          <w:szCs w:val="18"/>
          <w:lang w:val="de-DE"/>
        </w:rPr>
        <w:t>Kunden mit Volumenlizenzverträgen, die folgende Kriterien erfüllen, sind berechtigt, Medien für Microsoft</w:t>
      </w:r>
      <w:r w:rsidR="00381E02">
        <w:rPr>
          <w:rFonts w:ascii="Tahoma" w:hAnsi="Tahoma" w:cs="Tahoma"/>
          <w:sz w:val="18"/>
          <w:szCs w:val="18"/>
          <w:lang w:val="de-DE"/>
        </w:rPr>
        <w:t> </w:t>
      </w:r>
      <w:r w:rsidRPr="00BB5519">
        <w:rPr>
          <w:rFonts w:ascii="Tahoma" w:hAnsi="Tahoma" w:cs="Tahoma"/>
          <w:sz w:val="18"/>
          <w:szCs w:val="18"/>
          <w:lang w:val="de-DE"/>
        </w:rPr>
        <w:t>Windows 8 Pro N ausschließlich zur Bereitstellung und Nutzung in der Europäischen Union (EU), der Europäischen Freihandelszone (EFTA), in Bulgarien, Kroatien, Rumänien oder der Schweiz zu erwerben.</w:t>
      </w:r>
    </w:p>
    <w:p w:rsidR="008A5D64" w:rsidRPr="00BB5519" w:rsidRDefault="008A5D64" w:rsidP="00804794">
      <w:pPr>
        <w:pStyle w:val="Footnotedash"/>
        <w:spacing w:before="0" w:after="0"/>
        <w:ind w:left="720" w:hanging="7"/>
        <w:rPr>
          <w:lang w:val="de-DE"/>
        </w:rPr>
      </w:pPr>
      <w:r w:rsidRPr="00BB5519">
        <w:rPr>
          <w:rFonts w:ascii="Tahoma" w:hAnsi="Tahoma" w:cs="Tahoma"/>
          <w:sz w:val="18"/>
          <w:szCs w:val="18"/>
          <w:lang w:val="de-DE"/>
        </w:rPr>
        <w:t xml:space="preserve">Sie müssen über mindestens einen der folgenden aktiven Verträge oder Beitritte mit Microsoft Ireland Operations Ltd verfügen: </w:t>
      </w:r>
    </w:p>
    <w:p w:rsidR="00804794" w:rsidRPr="00BB5519" w:rsidRDefault="00804794" w:rsidP="00804794">
      <w:pPr>
        <w:pStyle w:val="Footnotedash"/>
        <w:spacing w:before="0" w:after="0"/>
        <w:ind w:left="720" w:hanging="7"/>
        <w:rPr>
          <w:lang w:val="de-DE"/>
        </w:rPr>
      </w:pPr>
    </w:p>
    <w:p w:rsidR="008A5D64" w:rsidRPr="00BB5519" w:rsidRDefault="008A5D64" w:rsidP="00804794">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Select-, Konzern- oder Konzern-Abonnement-Beitritt</w:t>
      </w:r>
    </w:p>
    <w:p w:rsidR="008A5D64" w:rsidRPr="00BB5519" w:rsidRDefault="008A5D64" w:rsidP="00804794">
      <w:pPr>
        <w:pStyle w:val="Footnotedash"/>
        <w:numPr>
          <w:ilvl w:val="0"/>
          <w:numId w:val="38"/>
        </w:numPr>
        <w:adjustRightInd/>
        <w:spacing w:before="0"/>
        <w:ind w:left="1440"/>
        <w:textAlignment w:val="auto"/>
        <w:rPr>
          <w:lang w:val="de-DE"/>
        </w:rPr>
      </w:pPr>
      <w:r w:rsidRPr="00BB5519">
        <w:rPr>
          <w:rFonts w:ascii="Tahoma" w:hAnsi="Tahoma" w:cs="Tahoma"/>
          <w:sz w:val="18"/>
          <w:szCs w:val="18"/>
          <w:lang w:val="de-DE"/>
        </w:rPr>
        <w:t xml:space="preserve">Open-Lizenz*, Open Value, Campus- und School-Vertrag, Open Value Subscription – Bildungslösungen </w:t>
      </w:r>
    </w:p>
    <w:p w:rsidR="008A5D64" w:rsidRPr="00BB5519" w:rsidRDefault="008A5D64" w:rsidP="00804794">
      <w:pPr>
        <w:pStyle w:val="Footnotedash"/>
        <w:tabs>
          <w:tab w:val="clear" w:pos="1620"/>
        </w:tabs>
        <w:adjustRightInd/>
        <w:spacing w:before="0"/>
        <w:ind w:left="1440" w:firstLine="0"/>
        <w:textAlignment w:val="auto"/>
        <w:rPr>
          <w:lang w:val="de-DE"/>
        </w:rPr>
      </w:pPr>
      <w:r w:rsidRPr="00BB5519">
        <w:rPr>
          <w:rFonts w:ascii="Tahoma" w:hAnsi="Tahoma" w:cs="Tahoma"/>
          <w:sz w:val="18"/>
          <w:szCs w:val="18"/>
          <w:lang w:val="de-DE"/>
        </w:rPr>
        <w:t>(*Bei einer Open-Lizenz ist ein „aktiver Vertrag“ einer, der mit einer aktiven Open-Lizenz-Autorisierungsnummer verknüpft ist.)</w:t>
      </w:r>
    </w:p>
    <w:p w:rsidR="00804794" w:rsidRPr="00BB5519" w:rsidRDefault="00804794" w:rsidP="00804794">
      <w:pPr>
        <w:pStyle w:val="Footnotedash"/>
        <w:tabs>
          <w:tab w:val="clear" w:pos="1620"/>
        </w:tabs>
        <w:adjustRightInd/>
        <w:spacing w:before="0" w:after="0"/>
        <w:ind w:left="1440" w:firstLine="0"/>
        <w:textAlignment w:val="auto"/>
        <w:rPr>
          <w:lang w:val="de-DE"/>
        </w:rPr>
      </w:pPr>
    </w:p>
    <w:p w:rsidR="008A5D64" w:rsidRPr="00BB5519" w:rsidRDefault="008A5D64" w:rsidP="00804794">
      <w:pPr>
        <w:pStyle w:val="Footnotedash"/>
        <w:spacing w:before="0" w:after="0"/>
        <w:ind w:left="720" w:hanging="7"/>
        <w:rPr>
          <w:lang w:val="de-DE"/>
        </w:rPr>
      </w:pPr>
      <w:r w:rsidRPr="00BB5519">
        <w:rPr>
          <w:rFonts w:ascii="Tahoma" w:hAnsi="Tahoma" w:cs="Tahoma"/>
          <w:sz w:val="18"/>
          <w:szCs w:val="18"/>
          <w:lang w:val="de-DE"/>
        </w:rPr>
        <w:t>Sie müssen über aktive Software Assurance für das Windows Desktop-Betriebssytem oder über Windows 8 Pro-Upgrade-Lizenzen verfügen.</w:t>
      </w:r>
    </w:p>
    <w:p w:rsidR="00804794" w:rsidRPr="00BB5519" w:rsidRDefault="00804794" w:rsidP="00804794">
      <w:pPr>
        <w:pStyle w:val="Footnotedash"/>
        <w:spacing w:before="0" w:after="0"/>
        <w:ind w:left="720" w:hanging="7"/>
        <w:rPr>
          <w:lang w:val="de-DE"/>
        </w:rPr>
      </w:pPr>
    </w:p>
    <w:p w:rsidR="008A5D64" w:rsidRPr="00BB5519" w:rsidRDefault="008A5D64" w:rsidP="00804794">
      <w:pPr>
        <w:pStyle w:val="Footnotedash"/>
        <w:spacing w:before="0" w:after="0"/>
        <w:ind w:left="720" w:hanging="7"/>
        <w:rPr>
          <w:lang w:val="de-DE"/>
        </w:rPr>
      </w:pPr>
      <w:r w:rsidRPr="00BB5519">
        <w:rPr>
          <w:rFonts w:ascii="Tahoma" w:hAnsi="Tahoma" w:cs="Tahoma"/>
          <w:sz w:val="18"/>
          <w:szCs w:val="18"/>
          <w:lang w:val="de-DE"/>
        </w:rPr>
        <w:lastRenderedPageBreak/>
        <w:t>Sie müssen ihren Sitz in einem Land der Europäischen Union (EU), der Europäischen Freihandelszone (EFTA), in Bulgarien, Kroatien, Rumänien oder der Schweiz haben.</w:t>
      </w:r>
    </w:p>
    <w:p w:rsidR="00804794" w:rsidRPr="00BB5519" w:rsidRDefault="00804794" w:rsidP="00804794">
      <w:pPr>
        <w:pStyle w:val="FootnoteBulletLevel1"/>
        <w:tabs>
          <w:tab w:val="clear" w:pos="900"/>
        </w:tabs>
        <w:adjustRightInd/>
        <w:spacing w:before="0" w:after="0"/>
        <w:ind w:left="720" w:firstLine="0"/>
        <w:textAlignment w:val="auto"/>
        <w:rPr>
          <w:lang w:val="de-DE"/>
        </w:rPr>
      </w:pPr>
    </w:p>
    <w:p w:rsidR="00B73A46" w:rsidRPr="00BB5519" w:rsidRDefault="00B73A46" w:rsidP="00804794">
      <w:pPr>
        <w:pStyle w:val="FootnoteBulletLevel1"/>
        <w:tabs>
          <w:tab w:val="clear" w:pos="900"/>
        </w:tabs>
        <w:adjustRightInd/>
        <w:spacing w:before="0" w:after="60"/>
        <w:ind w:left="720" w:firstLine="0"/>
        <w:textAlignment w:val="auto"/>
        <w:rPr>
          <w:lang w:val="de-DE"/>
        </w:rPr>
      </w:pPr>
      <w:r w:rsidRPr="00BB5519">
        <w:rPr>
          <w:rFonts w:ascii="Tahoma" w:hAnsi="Tahoma" w:cs="Tahoma"/>
          <w:b/>
          <w:bCs/>
          <w:sz w:val="18"/>
          <w:szCs w:val="18"/>
          <w:lang w:val="de-DE"/>
        </w:rPr>
        <w:t>Vermietungsrechte für Windows</w:t>
      </w:r>
    </w:p>
    <w:p w:rsidR="00B73A46" w:rsidRPr="00BB5519" w:rsidRDefault="00B73A46" w:rsidP="00381E02">
      <w:pPr>
        <w:pStyle w:val="FootnoteBulletLevel1"/>
        <w:tabs>
          <w:tab w:val="clear" w:pos="900"/>
        </w:tabs>
        <w:adjustRightInd/>
        <w:spacing w:before="0" w:after="0"/>
        <w:ind w:left="720" w:firstLine="0"/>
        <w:textAlignment w:val="auto"/>
        <w:rPr>
          <w:lang w:val="de-DE"/>
        </w:rPr>
      </w:pPr>
      <w:r w:rsidRPr="00BB5519">
        <w:rPr>
          <w:rFonts w:ascii="Tahoma" w:hAnsi="Tahoma" w:cs="Tahoma"/>
          <w:sz w:val="18"/>
          <w:szCs w:val="18"/>
          <w:u w:val="single"/>
          <w:lang w:val="de-DE"/>
        </w:rPr>
        <w:t>Vermietungsrechtelizenzen</w:t>
      </w:r>
      <w:r w:rsidRPr="003417E6">
        <w:rPr>
          <w:rFonts w:ascii="Tahoma" w:hAnsi="Tahoma" w:cs="Tahoma"/>
          <w:sz w:val="18"/>
          <w:szCs w:val="18"/>
          <w:lang w:val="de-DE"/>
        </w:rPr>
        <w:t>:</w:t>
      </w:r>
      <w:r w:rsidRPr="00BB5519">
        <w:rPr>
          <w:rFonts w:ascii="Tahoma" w:hAnsi="Tahoma" w:cs="Tahoma"/>
          <w:sz w:val="18"/>
          <w:szCs w:val="18"/>
          <w:lang w:val="de-DE"/>
        </w:rPr>
        <w:br/>
        <w:t>Die unter diesen Programmen gewährten Vermietungsrechtelizenzen sind ausschließlich Add-On-Lizenzen. Sie sind weder eine Vollversion eines Betriebssystems noch ein Ersatz für das Volumenlizenz-Upgrade. Daher muss jeder Desktop, dem Sie eine Vermietungsrechtelizenz zuweisen, zur Ausführung eines der unten</w:t>
      </w:r>
      <w:r w:rsidR="00381E02">
        <w:rPr>
          <w:rFonts w:ascii="Tahoma" w:hAnsi="Tahoma" w:cs="Tahoma"/>
          <w:sz w:val="18"/>
          <w:szCs w:val="18"/>
          <w:lang w:val="de-DE"/>
        </w:rPr>
        <w:t> </w:t>
      </w:r>
      <w:r w:rsidRPr="00BB5519">
        <w:rPr>
          <w:rFonts w:ascii="Tahoma" w:hAnsi="Tahoma" w:cs="Tahoma"/>
          <w:sz w:val="18"/>
          <w:szCs w:val="18"/>
          <w:lang w:val="de-DE"/>
        </w:rPr>
        <w:t>genannten qualifizierenden Betriebssysteme lizenziert sein.</w:t>
      </w:r>
    </w:p>
    <w:p w:rsidR="00804794" w:rsidRPr="00BB5519" w:rsidRDefault="00804794" w:rsidP="00804794">
      <w:pPr>
        <w:pStyle w:val="FootnoteBulletLevel1"/>
        <w:tabs>
          <w:tab w:val="clear" w:pos="900"/>
        </w:tabs>
        <w:adjustRightInd/>
        <w:spacing w:before="0" w:after="0"/>
        <w:ind w:left="720" w:firstLine="0"/>
        <w:textAlignment w:val="auto"/>
        <w:rPr>
          <w:lang w:val="de-DE"/>
        </w:rPr>
      </w:pPr>
    </w:p>
    <w:p w:rsidR="005F52C6" w:rsidRPr="00BB5519" w:rsidRDefault="00B73A46" w:rsidP="00804794">
      <w:pPr>
        <w:pStyle w:val="FootnoteBulletLevel1"/>
        <w:tabs>
          <w:tab w:val="clear" w:pos="900"/>
        </w:tabs>
        <w:adjustRightInd/>
        <w:spacing w:before="0" w:after="0"/>
        <w:ind w:left="720" w:firstLine="0"/>
        <w:textAlignment w:val="auto"/>
      </w:pPr>
      <w:r w:rsidRPr="00BB5519">
        <w:rPr>
          <w:rFonts w:ascii="Tahoma" w:hAnsi="Tahoma" w:cs="Tahoma"/>
          <w:sz w:val="18"/>
          <w:szCs w:val="18"/>
          <w:u w:val="single"/>
        </w:rPr>
        <w:t>Windows Vista, Windows 7 Professional und Windows 8 Pro</w:t>
      </w:r>
      <w:r w:rsidRPr="003417E6">
        <w:rPr>
          <w:rFonts w:ascii="Tahoma" w:hAnsi="Tahoma" w:cs="Tahoma"/>
          <w:sz w:val="18"/>
          <w:szCs w:val="18"/>
        </w:rPr>
        <w:t>:</w:t>
      </w:r>
    </w:p>
    <w:p w:rsidR="00B73A46" w:rsidRPr="00BB5519" w:rsidRDefault="00B73A46" w:rsidP="00804794">
      <w:pPr>
        <w:pStyle w:val="FootnoteBulletLevel1"/>
        <w:tabs>
          <w:tab w:val="clear" w:pos="900"/>
        </w:tabs>
        <w:adjustRightInd/>
        <w:spacing w:before="0" w:after="0"/>
        <w:ind w:left="720" w:firstLine="0"/>
        <w:textAlignment w:val="auto"/>
        <w:rPr>
          <w:lang w:val="de-DE"/>
        </w:rPr>
      </w:pPr>
      <w:r w:rsidRPr="00BB5519">
        <w:rPr>
          <w:rFonts w:ascii="Tahoma" w:hAnsi="Tahoma" w:cs="Tahoma"/>
          <w:sz w:val="18"/>
          <w:szCs w:val="18"/>
          <w:lang w:val="de-DE"/>
        </w:rPr>
        <w:t>Kunden, die über das Select- oder das Open-Lizenzprogramm Vermietungsrechtelizenzen erwerben möchten, müssen zunächst ein qualifizierendes Betriebssystem für ihren Desktop lizenzieren und es darauf installieren</w:t>
      </w:r>
      <w:r w:rsidRPr="00BB5519">
        <w:rPr>
          <w:rFonts w:ascii="Tahoma" w:hAnsi="Tahoma" w:cs="Tahoma"/>
          <w:i/>
          <w:iCs/>
          <w:sz w:val="18"/>
          <w:szCs w:val="18"/>
          <w:lang w:val="de-DE"/>
        </w:rPr>
        <w:t>.</w:t>
      </w:r>
      <w:r w:rsidRPr="00BB5519">
        <w:rPr>
          <w:rFonts w:ascii="Tahoma" w:hAnsi="Tahoma" w:cs="Tahoma"/>
          <w:sz w:val="18"/>
          <w:szCs w:val="18"/>
          <w:lang w:val="de-DE"/>
        </w:rPr>
        <w:t xml:space="preserve"> Lizenzierte qualifizierende Betriebssysteme umfassen auch Lizenzen, die über den Get Genuine Windows-Vertrag unter diesen Programmen erworben wurden.</w:t>
      </w:r>
    </w:p>
    <w:p w:rsidR="00B73A46" w:rsidRPr="00BB5519" w:rsidRDefault="00B73A46" w:rsidP="00804794">
      <w:pPr>
        <w:ind w:left="720"/>
        <w:rPr>
          <w:lang w:val="de-DE"/>
        </w:rPr>
      </w:pPr>
    </w:p>
    <w:p w:rsidR="00B73A46" w:rsidRPr="00BB5519" w:rsidRDefault="00B73A46" w:rsidP="00804794">
      <w:pPr>
        <w:ind w:left="720"/>
        <w:rPr>
          <w:lang w:val="de-DE"/>
        </w:rPr>
      </w:pPr>
      <w:r w:rsidRPr="00BB5519">
        <w:rPr>
          <w:rFonts w:cs="Tahoma"/>
          <w:szCs w:val="18"/>
          <w:u w:val="single"/>
          <w:lang w:val="de-DE"/>
        </w:rPr>
        <w:t>Regeln für qualifizierende Betriebssysteme</w:t>
      </w:r>
      <w:r w:rsidRPr="00381E02">
        <w:rPr>
          <w:rFonts w:cs="Tahoma"/>
          <w:szCs w:val="18"/>
          <w:lang w:val="de-DE"/>
        </w:rPr>
        <w:t>:</w:t>
      </w:r>
      <w:r w:rsidRPr="00BB5519">
        <w:rPr>
          <w:rFonts w:cs="Tahoma"/>
          <w:szCs w:val="18"/>
          <w:lang w:val="de-DE"/>
        </w:rPr>
        <w:t xml:space="preserve"> (Alle Bedingungen müssen erfüllt sein, damit das Basisbetriebssystem Sie für die Vermietungsrechtelizenz qualifiziert): </w:t>
      </w:r>
    </w:p>
    <w:p w:rsidR="00B73A46" w:rsidRPr="00BB5519" w:rsidRDefault="00B73A46" w:rsidP="00F02E9F">
      <w:pPr>
        <w:ind w:left="1440"/>
        <w:rPr>
          <w:lang w:val="de-DE"/>
        </w:rPr>
      </w:pPr>
    </w:p>
    <w:p w:rsidR="00B73A46" w:rsidRPr="00BB5519" w:rsidRDefault="00B73A46" w:rsidP="00804794">
      <w:pPr>
        <w:numPr>
          <w:ilvl w:val="0"/>
          <w:numId w:val="31"/>
        </w:numPr>
        <w:ind w:left="1440"/>
        <w:rPr>
          <w:lang w:val="de-DE"/>
        </w:rPr>
      </w:pPr>
      <w:r w:rsidRPr="00BB5519">
        <w:rPr>
          <w:rFonts w:cs="Tahoma"/>
          <w:szCs w:val="18"/>
          <w:lang w:val="de-DE"/>
        </w:rPr>
        <w:t>Die Lizenz für das qualifizierende Betriebssystem muss demselben Gerät zugeordnet sein wie die zu vergebende VL-Vermietungsrechtelizenz.</w:t>
      </w:r>
    </w:p>
    <w:p w:rsidR="00B73A46" w:rsidRPr="00BB5519" w:rsidRDefault="00B73A46" w:rsidP="00804794">
      <w:pPr>
        <w:numPr>
          <w:ilvl w:val="0"/>
          <w:numId w:val="31"/>
        </w:numPr>
        <w:ind w:left="1440"/>
        <w:rPr>
          <w:lang w:val="de-DE"/>
        </w:rPr>
      </w:pPr>
      <w:r w:rsidRPr="00BB5519">
        <w:rPr>
          <w:rFonts w:cs="Tahoma"/>
          <w:szCs w:val="18"/>
          <w:lang w:val="de-DE"/>
        </w:rPr>
        <w:t>Das qualifizierende Betriebssystem muss auf diesem Gerät installiert sein.</w:t>
      </w:r>
    </w:p>
    <w:p w:rsidR="00E31CC0" w:rsidRPr="00BB5519" w:rsidRDefault="00E31CC0" w:rsidP="00997D81">
      <w:pPr>
        <w:rPr>
          <w:lang w:val="de-DE"/>
        </w:rPr>
      </w:pPr>
    </w:p>
    <w:p w:rsidR="00B73A46" w:rsidRPr="00BB5519" w:rsidRDefault="00B73A46" w:rsidP="00EE035D">
      <w:pPr>
        <w:pStyle w:val="EndnoteText"/>
        <w:ind w:left="720"/>
        <w:rPr>
          <w:lang w:val="de-DE"/>
        </w:rPr>
      </w:pPr>
      <w:r w:rsidRPr="00BB5519">
        <w:rPr>
          <w:rFonts w:ascii="Tahoma" w:hAnsi="Tahoma" w:cs="Tahoma"/>
          <w:sz w:val="18"/>
          <w:szCs w:val="18"/>
          <w:lang w:val="de-DE"/>
        </w:rPr>
        <w:t>Die qualifizierenden Betriebssysteme nach Programmart sind:</w:t>
      </w:r>
    </w:p>
    <w:p w:rsidR="00B73A46" w:rsidRPr="00BB5519" w:rsidRDefault="00B73A46" w:rsidP="00B73A46">
      <w:pPr>
        <w:pStyle w:val="EndnoteText"/>
        <w:rPr>
          <w:lang w:val="de-D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BB5519"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BB5519" w:rsidRDefault="009B3FA2" w:rsidP="00713A6C">
            <w:pPr>
              <w:rPr>
                <w:rFonts w:eastAsia="Calibri" w:cs="Tahoma"/>
                <w:bCs/>
                <w:szCs w:val="18"/>
                <w:lang w:val="de-DE"/>
              </w:rPr>
            </w:pPr>
            <w:r w:rsidRPr="00BB5519">
              <w:rPr>
                <w:rFonts w:cs="Tahoma"/>
                <w:b/>
                <w:bCs/>
                <w:szCs w:val="18"/>
                <w:lang w:val="de-DE"/>
              </w:rPr>
              <w:t>Qualifizierende Betriebssysteme für den Erwerb von Vermietungsrechten für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9B3FA2">
            <w:pPr>
              <w:jc w:val="center"/>
              <w:rPr>
                <w:rFonts w:eastAsia="Calibri" w:cs="Tahoma"/>
                <w:b/>
                <w:bCs/>
                <w:sz w:val="14"/>
                <w:szCs w:val="18"/>
              </w:rPr>
            </w:pPr>
            <w:r w:rsidRPr="00BB5519">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1B15A5">
            <w:pPr>
              <w:jc w:val="center"/>
              <w:rPr>
                <w:rFonts w:eastAsia="Calibri" w:cs="Tahoma"/>
                <w:b/>
                <w:bCs/>
                <w:sz w:val="14"/>
                <w:szCs w:val="18"/>
              </w:rPr>
            </w:pPr>
            <w:r w:rsidRPr="00BB5519">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50116B">
            <w:pPr>
              <w:jc w:val="center"/>
              <w:rPr>
                <w:rFonts w:eastAsia="Calibri" w:cs="Tahoma"/>
                <w:b/>
                <w:bCs/>
                <w:sz w:val="14"/>
                <w:szCs w:val="18"/>
              </w:rPr>
            </w:pPr>
            <w:r w:rsidRPr="00BB5519">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BB5519" w:rsidRDefault="00B73A46" w:rsidP="005F0406">
            <w:pPr>
              <w:jc w:val="center"/>
              <w:rPr>
                <w:rFonts w:eastAsia="Calibri" w:cs="Tahoma"/>
                <w:b/>
                <w:bCs/>
                <w:sz w:val="14"/>
                <w:szCs w:val="18"/>
              </w:rPr>
            </w:pPr>
            <w:r w:rsidRPr="00BB5519">
              <w:rPr>
                <w:rFonts w:cs="Tahoma"/>
                <w:b/>
                <w:bCs/>
                <w:sz w:val="14"/>
                <w:szCs w:val="18"/>
              </w:rPr>
              <w:t>Open-Lizenz</w:t>
            </w:r>
          </w:p>
        </w:tc>
        <w:tc>
          <w:tcPr>
            <w:tcW w:w="16" w:type="dxa"/>
            <w:vAlign w:val="center"/>
          </w:tcPr>
          <w:p w:rsidR="00B73A46" w:rsidRPr="00BB5519" w:rsidRDefault="00B73A46" w:rsidP="00713A6C">
            <w:pPr>
              <w:rPr>
                <w:rFonts w:eastAsia="Calibri" w:cs="Tahoma"/>
                <w:szCs w:val="18"/>
              </w:rPr>
            </w:pPr>
          </w:p>
        </w:tc>
      </w:tr>
      <w:tr w:rsidR="00BF7A97" w:rsidRPr="00BB551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713A6C">
            <w:pPr>
              <w:rPr>
                <w:rFonts w:cs="Tahoma"/>
                <w:b/>
                <w:bCs/>
                <w:szCs w:val="18"/>
              </w:rPr>
            </w:pPr>
            <w:r w:rsidRPr="00BB5519">
              <w:rPr>
                <w:rFonts w:cs="Tahoma"/>
                <w:b/>
                <w:bCs/>
                <w:szCs w:val="18"/>
              </w:rPr>
              <w:t>Windows 8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jc w:val="center"/>
              <w:rPr>
                <w:rFonts w:eastAsia="Times New Roman" w:cs="Tahoma"/>
                <w:szCs w:val="18"/>
              </w:rPr>
            </w:pPr>
          </w:p>
        </w:tc>
        <w:tc>
          <w:tcPr>
            <w:tcW w:w="16" w:type="dxa"/>
            <w:vAlign w:val="center"/>
          </w:tcPr>
          <w:p w:rsidR="00BF7A97" w:rsidRPr="00BB5519" w:rsidRDefault="00BF7A97" w:rsidP="00713A6C">
            <w:pPr>
              <w:rPr>
                <w:rFonts w:eastAsia="Calibri" w:cs="Tahoma"/>
                <w:szCs w:val="18"/>
              </w:rPr>
            </w:pPr>
          </w:p>
        </w:tc>
      </w:tr>
      <w:tr w:rsidR="00BF7A97" w:rsidRPr="00BB551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ind w:left="522"/>
              <w:rPr>
                <w:rFonts w:cs="Tahoma"/>
                <w:b/>
                <w:bCs/>
                <w:szCs w:val="18"/>
              </w:rPr>
            </w:pPr>
            <w:r w:rsidRPr="00BB5519">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jc w:val="center"/>
              <w:rPr>
                <w:rFonts w:eastAsia="Times New Roman" w:cs="Tahoma"/>
                <w:szCs w:val="18"/>
              </w:rPr>
            </w:pPr>
            <w:r w:rsidRPr="00BB5519">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jc w:val="center"/>
              <w:rPr>
                <w:rFonts w:eastAsia="Times New Roman" w:cs="Tahoma"/>
                <w:szCs w:val="18"/>
              </w:rPr>
            </w:pPr>
            <w:r w:rsidRPr="00BB5519">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BB5519" w:rsidRDefault="00BF7A97" w:rsidP="00BF7A97">
            <w:pPr>
              <w:jc w:val="center"/>
              <w:rPr>
                <w:rFonts w:eastAsia="Times New Roman" w:cs="Tahoma"/>
                <w:szCs w:val="18"/>
              </w:rPr>
            </w:pPr>
            <w:r w:rsidRPr="00BB5519">
              <w:rPr>
                <w:rFonts w:eastAsia="Times New Roman" w:cs="Tahoma"/>
                <w:szCs w:val="18"/>
              </w:rPr>
              <w:t>x</w:t>
            </w:r>
          </w:p>
        </w:tc>
        <w:tc>
          <w:tcPr>
            <w:tcW w:w="16" w:type="dxa"/>
            <w:vAlign w:val="center"/>
          </w:tcPr>
          <w:p w:rsidR="00BF7A97" w:rsidRPr="00BB5519" w:rsidRDefault="00BF7A97" w:rsidP="00713A6C">
            <w:pPr>
              <w:rPr>
                <w:rFonts w:eastAsia="Calibri" w:cs="Tahoma"/>
                <w:szCs w:val="18"/>
              </w:rPr>
            </w:pPr>
          </w:p>
        </w:tc>
      </w:tr>
      <w:tr w:rsidR="00B73A46" w:rsidRPr="00BB551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rPr>
                <w:rFonts w:eastAsia="Calibri" w:cs="Tahoma"/>
                <w:b/>
                <w:bCs/>
                <w:szCs w:val="18"/>
              </w:rPr>
            </w:pPr>
            <w:r w:rsidRPr="00BB5519">
              <w:rPr>
                <w:rFonts w:cs="Tahoma"/>
                <w:b/>
                <w:bCs/>
                <w:szCs w:val="18"/>
              </w:rPr>
              <w:t>Windows 7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BF7A97">
            <w:pPr>
              <w:jc w:val="center"/>
              <w:rPr>
                <w:rFonts w:eastAsia="Times New Roman" w:cs="Tahoma"/>
                <w:szCs w:val="18"/>
              </w:rPr>
            </w:pPr>
          </w:p>
        </w:tc>
        <w:tc>
          <w:tcPr>
            <w:tcW w:w="16" w:type="dxa"/>
            <w:vAlign w:val="center"/>
          </w:tcPr>
          <w:p w:rsidR="00B73A46" w:rsidRPr="00BB5519" w:rsidRDefault="00B73A46" w:rsidP="00713A6C">
            <w:pPr>
              <w:rPr>
                <w:rFonts w:eastAsia="Calibri" w:cs="Tahoma"/>
                <w:szCs w:val="18"/>
              </w:rPr>
            </w:pPr>
          </w:p>
        </w:tc>
      </w:tr>
      <w:tr w:rsidR="00B73A46" w:rsidRPr="00BB551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BF7A97">
            <w:pPr>
              <w:ind w:left="522"/>
              <w:rPr>
                <w:rFonts w:eastAsia="Calibri" w:cs="Tahoma"/>
                <w:bCs/>
                <w:szCs w:val="18"/>
              </w:rPr>
            </w:pPr>
            <w:r w:rsidRPr="00BB5519">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6" w:type="dxa"/>
            <w:vAlign w:val="center"/>
          </w:tcPr>
          <w:p w:rsidR="00B73A46" w:rsidRPr="00BB5519" w:rsidRDefault="00B73A46" w:rsidP="00713A6C">
            <w:pPr>
              <w:rPr>
                <w:rFonts w:eastAsia="Calibri" w:cs="Tahoma"/>
                <w:szCs w:val="18"/>
              </w:rPr>
            </w:pPr>
          </w:p>
        </w:tc>
      </w:tr>
      <w:tr w:rsidR="00B73A46" w:rsidRPr="00D244F0"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rPr>
                <w:rFonts w:eastAsia="Calibri" w:cs="Tahoma"/>
                <w:b/>
                <w:bCs/>
                <w:szCs w:val="18"/>
                <w:lang w:val="de-DE"/>
              </w:rPr>
            </w:pPr>
            <w:r w:rsidRPr="00BB5519">
              <w:rPr>
                <w:rFonts w:cs="Tahoma"/>
                <w:b/>
                <w:bCs/>
                <w:szCs w:val="18"/>
                <w:lang w:val="de-DE"/>
              </w:rPr>
              <w:t>Windows Vista (32-Bit oder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lang w:val="de-DE"/>
              </w:rPr>
            </w:pPr>
            <w:r w:rsidRPr="00BB5519">
              <w:rPr>
                <w:rFonts w:cs="Tahoma"/>
                <w:szCs w:val="18"/>
                <w:lang w:val="de-DE"/>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lang w:val="de-DE"/>
              </w:rPr>
            </w:pPr>
            <w:r w:rsidRPr="00BB5519">
              <w:rPr>
                <w:rFonts w:cs="Tahoma"/>
                <w:szCs w:val="18"/>
                <w:lang w:val="de-DE"/>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lang w:val="de-DE"/>
              </w:rPr>
            </w:pPr>
            <w:r w:rsidRPr="00BB5519">
              <w:rPr>
                <w:rFonts w:cs="Tahoma"/>
                <w:szCs w:val="18"/>
                <w:lang w:val="de-DE"/>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lang w:val="de-DE"/>
              </w:rPr>
            </w:pPr>
            <w:r w:rsidRPr="00BB5519">
              <w:rPr>
                <w:rFonts w:cs="Tahoma"/>
                <w:szCs w:val="18"/>
                <w:lang w:val="de-DE"/>
              </w:rPr>
              <w:t xml:space="preserve"> </w:t>
            </w:r>
          </w:p>
        </w:tc>
        <w:tc>
          <w:tcPr>
            <w:tcW w:w="16" w:type="dxa"/>
            <w:vAlign w:val="center"/>
          </w:tcPr>
          <w:p w:rsidR="00B73A46" w:rsidRPr="00BB5519" w:rsidRDefault="00B73A46" w:rsidP="00713A6C">
            <w:pPr>
              <w:rPr>
                <w:rFonts w:eastAsia="Calibri" w:cs="Tahoma"/>
                <w:szCs w:val="18"/>
                <w:lang w:val="de-DE"/>
              </w:rPr>
            </w:pPr>
          </w:p>
        </w:tc>
      </w:tr>
      <w:tr w:rsidR="00B73A46" w:rsidRPr="00BB551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ind w:firstLine="540"/>
              <w:rPr>
                <w:rFonts w:eastAsia="Calibri" w:cs="Tahoma"/>
                <w:szCs w:val="18"/>
              </w:rPr>
            </w:pPr>
            <w:r w:rsidRPr="00BB5519">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B5519" w:rsidRDefault="00B73A46" w:rsidP="00713A6C">
            <w:pPr>
              <w:jc w:val="center"/>
              <w:rPr>
                <w:rFonts w:eastAsia="Calibri" w:cs="Tahoma"/>
                <w:szCs w:val="18"/>
              </w:rPr>
            </w:pPr>
            <w:r w:rsidRPr="00BB5519">
              <w:rPr>
                <w:rFonts w:cs="Tahoma"/>
                <w:szCs w:val="18"/>
              </w:rPr>
              <w:t>x</w:t>
            </w:r>
          </w:p>
        </w:tc>
        <w:tc>
          <w:tcPr>
            <w:tcW w:w="16" w:type="dxa"/>
            <w:vAlign w:val="center"/>
          </w:tcPr>
          <w:p w:rsidR="00B73A46" w:rsidRPr="00BB5519" w:rsidRDefault="00B73A46" w:rsidP="00713A6C">
            <w:pPr>
              <w:rPr>
                <w:rFonts w:eastAsia="Calibri" w:cs="Tahoma"/>
                <w:szCs w:val="18"/>
              </w:rPr>
            </w:pPr>
          </w:p>
        </w:tc>
      </w:tr>
    </w:tbl>
    <w:p w:rsidR="00B73A46" w:rsidRPr="00BB5519" w:rsidRDefault="00B73A46" w:rsidP="00B73A46"/>
    <w:p w:rsidR="00B73A46" w:rsidRPr="00BB5519" w:rsidRDefault="00B73A46" w:rsidP="00EE035D">
      <w:pPr>
        <w:ind w:left="720"/>
        <w:rPr>
          <w:lang w:val="de-DE"/>
        </w:rPr>
      </w:pPr>
      <w:r w:rsidRPr="00BB5519">
        <w:rPr>
          <w:rFonts w:cs="Tahoma"/>
          <w:szCs w:val="18"/>
          <w:lang w:val="de-DE"/>
        </w:rPr>
        <w:t>Kunden, die eine Vermietungsrechtelizenz zusätzlich zu einer Lizenz für ein qualifizierendes Betriebssystem</w:t>
      </w:r>
      <w:r w:rsidR="009E4976" w:rsidRPr="00BB5519">
        <w:rPr>
          <w:rStyle w:val="CommentReference"/>
          <w:rFonts w:cs="Tahoma"/>
          <w:sz w:val="18"/>
          <w:szCs w:val="18"/>
          <w:lang w:val="de-DE"/>
        </w:rPr>
        <w:t xml:space="preserve"> </w:t>
      </w:r>
      <w:r w:rsidRPr="00BB5519">
        <w:rPr>
          <w:rFonts w:cs="Tahoma"/>
          <w:szCs w:val="18"/>
          <w:lang w:val="de-DE"/>
        </w:rPr>
        <w:t>erwerben, erweitern ihre Rechte gemäß der Lizenz für das qualifizierende Betriebssystem,</w:t>
      </w:r>
      <w:r w:rsidRPr="00BB5519">
        <w:rPr>
          <w:rStyle w:val="CommentReference"/>
          <w:rFonts w:cs="Tahoma"/>
          <w:sz w:val="18"/>
          <w:szCs w:val="18"/>
          <w:lang w:val="de-DE"/>
        </w:rPr>
        <w:t xml:space="preserve"> </w:t>
      </w:r>
      <w:r w:rsidRPr="00BB5519">
        <w:rPr>
          <w:rFonts w:cs="Tahoma"/>
          <w:szCs w:val="18"/>
          <w:lang w:val="de-DE"/>
        </w:rPr>
        <w:t xml:space="preserve">damit Dritte dieselbe Software verwenden können. Die Vermietungsrechtelizenz gewährt kein Versionsupgrade. </w:t>
      </w:r>
    </w:p>
    <w:p w:rsidR="00B73A46" w:rsidRPr="00BB5519" w:rsidRDefault="00B73A46" w:rsidP="00804794">
      <w:pPr>
        <w:ind w:left="720"/>
        <w:rPr>
          <w:lang w:val="de-DE"/>
        </w:rPr>
      </w:pPr>
    </w:p>
    <w:p w:rsidR="00B73A46" w:rsidRPr="00BB5519" w:rsidRDefault="00B73A46" w:rsidP="00804794">
      <w:pPr>
        <w:ind w:left="720"/>
        <w:rPr>
          <w:lang w:val="de-DE"/>
        </w:rPr>
      </w:pPr>
      <w:r w:rsidRPr="00BB5519">
        <w:rPr>
          <w:rFonts w:cs="Tahoma"/>
          <w:szCs w:val="18"/>
          <w:u w:val="single"/>
          <w:lang w:val="de-DE"/>
        </w:rPr>
        <w:t>Software Assurance-Ausnahme</w:t>
      </w:r>
    </w:p>
    <w:p w:rsidR="00B73A46" w:rsidRPr="00BB5519" w:rsidRDefault="00B73A46" w:rsidP="00804794">
      <w:pPr>
        <w:ind w:left="720"/>
        <w:rPr>
          <w:lang w:val="de-DE"/>
        </w:rPr>
      </w:pPr>
      <w:r w:rsidRPr="00BB5519">
        <w:rPr>
          <w:rFonts w:cs="Tahoma"/>
          <w:szCs w:val="18"/>
          <w:lang w:val="de-DE"/>
        </w:rPr>
        <w:t xml:space="preserve">Kunden, die Vermietungsrechtelizenzen erwerben, sind nicht berechtigt, Software Assurance für dieselben zugrunde liegenden Softwarelizenzen abzuschließen. Nutzer, die Geräte mieten/leasen und verwenden, denen Vermietungsrechtelizenzen zugewiesen sind, dürfen jedoch gemäß ihres eigenen Volumenlizenzvertrages Upgrades oder Upgrades und Software Assurance für die zugrunde liegenden Softwarelizenzen erwerben. Dieser Vorgang unterliegt den Bestimmungen dieser Vereinbarung zum Erwerb von Upgrades und Software Assurance. Ungeachtet gegenteiliger Bestimmungen im Vertrag dieses Kunden hinsichtlich der Ansammlung zeitlich unbeschränkter Rechte gilt das Recht zur Nutzung der Software im Rahmen von Software Assurance nur so lange, bis die entsprechenden Vermietungsrechtelizenzen ablaufen. </w:t>
      </w:r>
    </w:p>
    <w:p w:rsidR="00B73A46" w:rsidRPr="00BB5519" w:rsidRDefault="00B73A46" w:rsidP="00B73A46">
      <w:pPr>
        <w:rPr>
          <w:lang w:val="de-DE"/>
        </w:rPr>
      </w:pPr>
    </w:p>
    <w:bookmarkEnd w:id="1163"/>
    <w:bookmarkEnd w:id="1164"/>
    <w:bookmarkEnd w:id="1165"/>
    <w:p w:rsidR="00104195" w:rsidRPr="00BB5519" w:rsidRDefault="00104195" w:rsidP="00104195">
      <w:pPr>
        <w:tabs>
          <w:tab w:val="left" w:pos="1440"/>
        </w:tabs>
        <w:ind w:left="1080"/>
        <w:contextualSpacing/>
        <w:rPr>
          <w:lang w:val="de-DE"/>
        </w:rPr>
      </w:pPr>
    </w:p>
    <w:p w:rsidR="00104195" w:rsidRPr="00D244F0" w:rsidRDefault="004668D9" w:rsidP="00021BF7">
      <w:pPr>
        <w:pStyle w:val="Heading2"/>
        <w:keepNext/>
        <w:keepLines/>
        <w:ind w:hanging="720"/>
        <w:rPr>
          <w:lang w:val="de-DE"/>
        </w:rPr>
      </w:pPr>
      <w:bookmarkStart w:id="1166" w:name="_98_Windows_Multipoint"/>
      <w:bookmarkStart w:id="1167" w:name="_98Windows_Intune_Add-on"/>
      <w:bookmarkStart w:id="1168" w:name="_97_Windows_Intune"/>
      <w:bookmarkStart w:id="1169" w:name="_30_Windows_Intune"/>
      <w:bookmarkStart w:id="1170" w:name="Srv_110WindowsIntuneAddOn"/>
      <w:bookmarkStart w:id="1171" w:name="_Toc336338366"/>
      <w:bookmarkStart w:id="1172" w:name="_Toc354054984"/>
      <w:bookmarkStart w:id="1173" w:name="Srv_104WindowsIntuneAddOn"/>
      <w:bookmarkEnd w:id="1166"/>
      <w:bookmarkEnd w:id="1167"/>
      <w:bookmarkEnd w:id="1168"/>
      <w:bookmarkEnd w:id="1169"/>
      <w:r w:rsidRPr="00D244F0">
        <w:rPr>
          <w:rFonts w:ascii="Tahoma" w:hAnsi="Tahoma" w:cs="Tahoma"/>
          <w:caps/>
          <w:color w:val="EE6000"/>
          <w:sz w:val="22"/>
          <w:szCs w:val="18"/>
          <w:vertAlign w:val="superscript"/>
          <w:lang w:val="de-DE"/>
        </w:rPr>
        <w:lastRenderedPageBreak/>
        <w:t xml:space="preserve">30 </w:t>
      </w:r>
      <w:r w:rsidRPr="00D244F0">
        <w:rPr>
          <w:rFonts w:ascii="Tahoma" w:hAnsi="Tahoma" w:cs="Tahoma"/>
          <w:color w:val="EE6000"/>
          <w:sz w:val="22"/>
          <w:szCs w:val="18"/>
          <w:lang w:val="de-DE"/>
        </w:rPr>
        <w:t>Windows Intune Add-on</w:t>
      </w:r>
      <w:bookmarkEnd w:id="1170"/>
      <w:bookmarkEnd w:id="1171"/>
      <w:r w:rsidRPr="00D244F0">
        <w:rPr>
          <w:rFonts w:ascii="Tahoma" w:hAnsi="Tahoma" w:cs="Tahoma"/>
          <w:color w:val="EE6000"/>
          <w:sz w:val="22"/>
          <w:szCs w:val="18"/>
          <w:lang w:val="de-DE"/>
        </w:rPr>
        <w:t xml:space="preserve"> (Pro Gerät)</w:t>
      </w:r>
      <w:bookmarkEnd w:id="1172"/>
    </w:p>
    <w:bookmarkEnd w:id="1173"/>
    <w:p w:rsidR="00104195" w:rsidRPr="00D244F0" w:rsidRDefault="00104195" w:rsidP="00021BF7">
      <w:pPr>
        <w:keepNext/>
        <w:keepLines/>
        <w:ind w:left="720"/>
        <w:rPr>
          <w:lang w:val="de-DE"/>
        </w:rPr>
      </w:pPr>
    </w:p>
    <w:p w:rsidR="00104195" w:rsidRPr="00BB5519" w:rsidRDefault="00104195" w:rsidP="00381E02">
      <w:pPr>
        <w:keepLines/>
        <w:ind w:left="720"/>
        <w:rPr>
          <w:lang w:val="de-DE"/>
        </w:rPr>
      </w:pPr>
      <w:r w:rsidRPr="00BB5519">
        <w:rPr>
          <w:lang w:val="de-DE"/>
        </w:rPr>
        <w:t>Enterprise-Kunden, die zusätzliche Add-On-Lizenzen für Windows Intune (Pro Gerät) erwerben möchten, müssen zunächst entweder aktive Windows Software Assurance oder eine aktive Lizenz für Windows Virtual Desktop Access (Windows VDA) erwerben und dem Desktop zuweisen, für den sie die Add-On-Lizenzen für Windows Intune erwerben.</w:t>
      </w:r>
      <w:r w:rsidR="009E4976" w:rsidRPr="00BB5519">
        <w:rPr>
          <w:lang w:val="de-DE"/>
        </w:rPr>
        <w:t xml:space="preserve"> </w:t>
      </w:r>
      <w:r w:rsidRPr="00BB5519">
        <w:rPr>
          <w:lang w:val="de-DE"/>
        </w:rPr>
        <w:t xml:space="preserve">Add-On-Lizenzen für Windows Intune (Pro Gerät) müssen unter dem gleichen Beitritt erworben werden wie die entsprechende Software Assurance bzw. Windows VDA-Lizenz. </w:t>
      </w:r>
    </w:p>
    <w:p w:rsidR="00104195" w:rsidRPr="00BB5519" w:rsidRDefault="00104195" w:rsidP="00104195">
      <w:pPr>
        <w:ind w:left="720"/>
        <w:rPr>
          <w:lang w:val="de-DE"/>
        </w:rPr>
      </w:pPr>
    </w:p>
    <w:p w:rsidR="00104195" w:rsidRPr="00BB5519" w:rsidRDefault="00104195" w:rsidP="00104195">
      <w:pPr>
        <w:spacing w:after="60"/>
        <w:ind w:left="720"/>
        <w:rPr>
          <w:lang w:val="de-DE"/>
        </w:rPr>
      </w:pPr>
      <w:r w:rsidRPr="00BB5519">
        <w:rPr>
          <w:b/>
          <w:lang w:val="de-DE"/>
        </w:rPr>
        <w:t>Neuzuweisung von Lizenzen</w:t>
      </w:r>
    </w:p>
    <w:p w:rsidR="00104195" w:rsidRPr="00BB5519" w:rsidRDefault="00104195" w:rsidP="00104195">
      <w:pPr>
        <w:ind w:left="720"/>
        <w:rPr>
          <w:lang w:val="de-DE"/>
        </w:rPr>
      </w:pPr>
      <w:r w:rsidRPr="00BB5519">
        <w:rPr>
          <w:lang w:val="de-DE"/>
        </w:rPr>
        <w:t>Kunden sind berechtigt, Add-On-Lizenzen für Windows Intune (Pro Gerät) neu zuzuweisen, jedoch nicht nur kurzzeitig (d. h. nicht innerhalb von 90 Tagen nach der letzten Zuweisung).</w:t>
      </w:r>
      <w:r w:rsidR="009E4976" w:rsidRPr="00BB5519">
        <w:rPr>
          <w:lang w:val="de-DE"/>
        </w:rPr>
        <w:t xml:space="preserve"> </w:t>
      </w:r>
      <w:r w:rsidRPr="00BB5519">
        <w:rPr>
          <w:lang w:val="de-DE"/>
        </w:rPr>
        <w:t>Kunden sind berechtigt, eine Add-On-Lizenz für Windows Intune (Pro Gerät) früher neu zuzuweisen, wenn sie das vorhandene lizenzierte Gerät aufgrund eines Hardwarefehlers außer Dienst stellen.</w:t>
      </w:r>
      <w:r w:rsidR="009E4976" w:rsidRPr="00BB5519">
        <w:rPr>
          <w:lang w:val="de-DE"/>
        </w:rPr>
        <w:t xml:space="preserve"> </w:t>
      </w:r>
      <w:r w:rsidRPr="00BB5519">
        <w:rPr>
          <w:lang w:val="de-DE"/>
        </w:rPr>
        <w:t xml:space="preserve">Das Gerät, dem eine Add-On-Lizenz für Windows Intune (Pro Gerät) neu zugewiesen wird, muss entweder über aktive Windows Software Assurance oder über eine aktive Lizenz für Windows VDA verfügen, die unter dem gleichen Beitritt erworben wurde wie die Add-On-Lizenz für Windows Intune (Pro Gerät). </w:t>
      </w:r>
    </w:p>
    <w:p w:rsidR="00023FE7" w:rsidRPr="00BB5519" w:rsidRDefault="00113665">
      <w:pPr>
        <w:pStyle w:val="Heading2"/>
        <w:ind w:left="0"/>
        <w:rPr>
          <w:lang w:val="de-DE"/>
        </w:rPr>
      </w:pPr>
      <w:r w:rsidRPr="00BB5519">
        <w:rPr>
          <w:rFonts w:ascii="Tahoma" w:hAnsi="Tahoma" w:cs="Tahoma"/>
          <w:sz w:val="28"/>
          <w:lang w:val="de-DE"/>
        </w:rPr>
        <w:br w:type="page"/>
      </w:r>
      <w:bookmarkStart w:id="1174" w:name="_Toc336338287"/>
      <w:bookmarkStart w:id="1175" w:name="_Toc354054985"/>
      <w:r w:rsidRPr="00BB5519">
        <w:rPr>
          <w:rFonts w:ascii="Tahoma" w:hAnsi="Tahoma" w:cs="Tahoma"/>
          <w:sz w:val="28"/>
          <w:lang w:val="de-DE"/>
        </w:rPr>
        <w:lastRenderedPageBreak/>
        <w:t>Server-Pool</w:t>
      </w:r>
      <w:bookmarkEnd w:id="1174"/>
      <w:bookmarkEnd w:id="1175"/>
    </w:p>
    <w:p w:rsidR="00023FE7" w:rsidRPr="00381E02" w:rsidRDefault="00023FE7">
      <w:pPr>
        <w:pStyle w:val="EndnoteText"/>
        <w:rPr>
          <w:rFonts w:ascii="Tahoma" w:hAnsi="Tahoma" w:cs="Tahoma"/>
          <w:sz w:val="18"/>
          <w:szCs w:val="18"/>
          <w:lang w:val="de-DE"/>
        </w:rPr>
      </w:pPr>
    </w:p>
    <w:p w:rsidR="003C75C8" w:rsidRPr="00381E02" w:rsidRDefault="003C75C8" w:rsidP="003C75C8">
      <w:pPr>
        <w:pStyle w:val="EndnoteText"/>
        <w:rPr>
          <w:rFonts w:ascii="Tahoma" w:hAnsi="Tahoma" w:cs="Tahoma"/>
          <w:sz w:val="18"/>
          <w:szCs w:val="18"/>
          <w:lang w:val="de-DE"/>
        </w:rPr>
      </w:pPr>
      <w:bookmarkStart w:id="1176" w:name="Srv_25BingMapsandAddons"/>
    </w:p>
    <w:p w:rsidR="004640EC" w:rsidRPr="00BB5519" w:rsidRDefault="004668D9" w:rsidP="00B44A2A">
      <w:pPr>
        <w:pStyle w:val="Heading2"/>
        <w:ind w:left="288" w:hanging="270"/>
        <w:rPr>
          <w:lang w:val="de-DE"/>
        </w:rPr>
      </w:pPr>
      <w:bookmarkStart w:id="1177" w:name="_31_Add-On_für"/>
      <w:bookmarkStart w:id="1178" w:name="Srv_27BingMapsSvrandContentPack"/>
      <w:bookmarkStart w:id="1179" w:name="_Toc336338288"/>
      <w:bookmarkStart w:id="1180" w:name="_Toc354054986"/>
      <w:bookmarkEnd w:id="1177"/>
      <w:r w:rsidRPr="00BB5519">
        <w:rPr>
          <w:rFonts w:ascii="Tahoma" w:hAnsi="Tahoma" w:cs="Tahoma"/>
          <w:caps/>
          <w:color w:val="EE6000"/>
          <w:sz w:val="22"/>
          <w:vertAlign w:val="superscript"/>
          <w:lang w:val="de-DE"/>
        </w:rPr>
        <w:t>31</w:t>
      </w:r>
      <w:r w:rsidRPr="00BB5519">
        <w:rPr>
          <w:rFonts w:ascii="Tahoma" w:hAnsi="Tahoma" w:cs="Tahoma"/>
          <w:color w:val="EE6000"/>
          <w:sz w:val="22"/>
          <w:lang w:val="de-DE"/>
        </w:rPr>
        <w:t xml:space="preserve"> Add-On für Bing Maps Öffentliche Website-Nutzung und Add-On-AL für Bing Maps Interne Website-Nutzung</w:t>
      </w:r>
      <w:bookmarkEnd w:id="1178"/>
      <w:bookmarkEnd w:id="1179"/>
      <w:bookmarkEnd w:id="1180"/>
    </w:p>
    <w:p w:rsidR="00381E02" w:rsidRPr="00381E02" w:rsidRDefault="00381E02" w:rsidP="00381E02">
      <w:pPr>
        <w:pStyle w:val="EndnoteText"/>
        <w:rPr>
          <w:rFonts w:ascii="Tahoma" w:hAnsi="Tahoma" w:cs="Tahoma"/>
          <w:sz w:val="18"/>
          <w:szCs w:val="18"/>
          <w:lang w:val="de-DE"/>
        </w:rPr>
      </w:pPr>
    </w:p>
    <w:p w:rsidR="004640EC" w:rsidRPr="00BB5519" w:rsidRDefault="004640EC" w:rsidP="004640EC">
      <w:pPr>
        <w:pStyle w:val="NormalWeb"/>
        <w:spacing w:before="0" w:beforeAutospacing="0" w:after="0" w:afterAutospacing="0"/>
        <w:ind w:left="720"/>
        <w:rPr>
          <w:lang w:val="de-DE"/>
        </w:rPr>
      </w:pPr>
      <w:r w:rsidRPr="00BB5519">
        <w:rPr>
          <w:rFonts w:ascii="Tahoma" w:hAnsi="Tahoma" w:cs="Tahoma"/>
          <w:sz w:val="18"/>
          <w:szCs w:val="18"/>
          <w:lang w:val="de-DE"/>
        </w:rPr>
        <w:t>Jedes Angebot für eine Add-On-AL für Bing Maps Öffentliche Website-Nutzung besteht aus einer unterschiedlichen Anzahl an Abrechenbaren Transaktionen (hierin definiert).</w:t>
      </w:r>
      <w:r w:rsidR="009E4976" w:rsidRPr="00BB5519">
        <w:rPr>
          <w:rFonts w:ascii="Tahoma" w:hAnsi="Tahoma" w:cs="Tahoma"/>
          <w:sz w:val="18"/>
          <w:szCs w:val="18"/>
          <w:lang w:val="de-DE"/>
        </w:rPr>
        <w:t xml:space="preserve"> </w:t>
      </w:r>
      <w:r w:rsidRPr="00BB5519">
        <w:rPr>
          <w:rFonts w:ascii="Tahoma" w:hAnsi="Tahoma" w:cs="Tahoma"/>
          <w:sz w:val="18"/>
          <w:szCs w:val="18"/>
          <w:lang w:val="de-DE"/>
        </w:rPr>
        <w:t xml:space="preserve">„Abrechenbare Transaktionen“ bedeutet Folgendes (alle großgeschriebenen Begriffe werden in den Bing Maps Platform SDKs oder den Nutzungsbestimmungen oder den Microsoft Bing Maps Platform-APIs definiert): (a) Webservices-Methoden, einschließlich, jedoch nicht beschränkt auf Bild-, Routen-, Geocode-, Raum- und Suchmethoden Services; (b) eine Sitzung im Bing Maps AJAX Control API, Bing Maps Windows Presentation Foundation API Beta oder Bing Maps Silverlight Control API, wenn eine Sitzung mit dem Laden von einer der vorgenannten Steuerelemente in den Browser eines Nutzers beginnt und alle Transaktionen umfasst, bis der Browser geschlossen wird oder der Nutzer zu einer anderen Seite wechselt, und (c) alle neuen Servicefunktionen können eine wie in den SDKs definierte Abrechenbare Transaktion darstellen. </w:t>
      </w:r>
    </w:p>
    <w:p w:rsidR="00381E02" w:rsidRPr="00381E02" w:rsidRDefault="00381E02" w:rsidP="00381E02">
      <w:pPr>
        <w:pStyle w:val="EndnoteText"/>
        <w:rPr>
          <w:rFonts w:ascii="Tahoma" w:hAnsi="Tahoma" w:cs="Tahoma"/>
          <w:sz w:val="18"/>
          <w:szCs w:val="18"/>
          <w:lang w:val="de-DE"/>
        </w:rPr>
      </w:pPr>
    </w:p>
    <w:p w:rsidR="004640EC" w:rsidRPr="00BB5519" w:rsidRDefault="004640EC" w:rsidP="004640EC">
      <w:pPr>
        <w:ind w:left="720"/>
        <w:rPr>
          <w:lang w:val="de-DE"/>
        </w:rPr>
      </w:pPr>
      <w:r w:rsidRPr="00BB5519">
        <w:rPr>
          <w:rFonts w:cs="Tahoma"/>
          <w:szCs w:val="18"/>
          <w:lang w:val="de-DE"/>
        </w:rPr>
        <w:t>Kunden sind berechtigt, mehrere Angebote für eine Add-On-AL für Bing Maps Öffentliche Website-Nutzung und für eine Add-On-AL für Bing Maps Interne Website-Nutzung zu erwerben, um mehrere Abrechenbare Transaktionen pro Monat zu erwerben. Dies gilt jedoch nicht für eine Add-On-AL für Bing Maps Unbegrenzte Transaktionen, die nur einmal erworben werden kann.</w:t>
      </w:r>
      <w:r w:rsidR="009E4976" w:rsidRPr="00BB5519">
        <w:rPr>
          <w:rFonts w:cs="Tahoma"/>
          <w:szCs w:val="18"/>
          <w:lang w:val="de-DE"/>
        </w:rPr>
        <w:t xml:space="preserve"> </w:t>
      </w:r>
      <w:r w:rsidRPr="00BB5519">
        <w:rPr>
          <w:rFonts w:cs="Tahoma"/>
          <w:szCs w:val="18"/>
          <w:lang w:val="de-DE"/>
        </w:rPr>
        <w:t>Nicht genutzte monatliche Abrechenbare Transaktionen können bis zum Ablauf des Beitrittsdatums monatlich vorgetragen werden.</w:t>
      </w:r>
      <w:r w:rsidR="009E4976" w:rsidRPr="00BB5519">
        <w:rPr>
          <w:rFonts w:cs="Tahoma"/>
          <w:szCs w:val="18"/>
          <w:lang w:val="de-DE"/>
        </w:rPr>
        <w:t xml:space="preserve"> </w:t>
      </w:r>
      <w:r w:rsidRPr="00BB5519">
        <w:rPr>
          <w:rFonts w:cs="Tahoma"/>
          <w:szCs w:val="18"/>
          <w:lang w:val="de-DE"/>
        </w:rPr>
        <w:t>Am Ablauf des Beitrittsdatums verfallen alle nicht genutzten Abrechenbaren Transaktionen, die bis dahin erworben wurden. Kunden sind berechtigt, die in einem Monat erworbene Anzahl von Abrechenbaren Transaktionen zu überschreiten, sofern die Gesamtzahl der genutzten Abrechenbaren Transaktionen nicht die der insgesamt während der Laufzeit des Beitritts erworbenen Abrechenbaren Transaktionen überschreitet.</w:t>
      </w:r>
      <w:r w:rsidR="009E4976" w:rsidRPr="00BB5519">
        <w:rPr>
          <w:rFonts w:cs="Tahoma"/>
          <w:szCs w:val="18"/>
          <w:lang w:val="de-DE"/>
        </w:rPr>
        <w:t xml:space="preserve"> </w:t>
      </w:r>
      <w:r w:rsidRPr="00BB5519">
        <w:rPr>
          <w:rFonts w:cs="Tahoma"/>
          <w:szCs w:val="18"/>
          <w:lang w:val="de-DE"/>
        </w:rP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4640EC" w:rsidRPr="00BB5519" w:rsidRDefault="004640EC" w:rsidP="004640EC">
      <w:pPr>
        <w:ind w:left="720"/>
        <w:rPr>
          <w:lang w:val="de-DE"/>
        </w:rPr>
      </w:pPr>
    </w:p>
    <w:p w:rsidR="004640EC" w:rsidRPr="00CB1EDE" w:rsidRDefault="004640EC" w:rsidP="004640EC">
      <w:pPr>
        <w:spacing w:after="60"/>
        <w:ind w:left="720"/>
        <w:rPr>
          <w:rFonts w:cs="Tahoma"/>
          <w:b/>
          <w:color w:val="000000" w:themeColor="text1"/>
          <w:szCs w:val="18"/>
          <w:lang w:val="de-DE"/>
        </w:rPr>
      </w:pPr>
      <w:r w:rsidRPr="00CB1EDE">
        <w:rPr>
          <w:rFonts w:cs="Tahoma"/>
          <w:b/>
          <w:color w:val="000000" w:themeColor="text1"/>
          <w:szCs w:val="18"/>
          <w:lang w:val="de-DE"/>
        </w:rPr>
        <w:t>Bing Maps Unbegrenzte Transaktionen Add-On-AL</w:t>
      </w:r>
    </w:p>
    <w:p w:rsidR="004640EC" w:rsidRPr="00BB5519" w:rsidRDefault="004640EC" w:rsidP="004640EC">
      <w:pPr>
        <w:pStyle w:val="NormalWeb"/>
        <w:spacing w:before="0" w:beforeAutospacing="0" w:after="0" w:afterAutospacing="0"/>
        <w:ind w:left="720"/>
        <w:rPr>
          <w:lang w:val="de-DE"/>
        </w:rPr>
      </w:pPr>
      <w:r w:rsidRPr="00BB5519">
        <w:rPr>
          <w:rFonts w:ascii="Tahoma" w:hAnsi="Tahoma" w:cs="Tahoma"/>
          <w:sz w:val="18"/>
          <w:szCs w:val="18"/>
          <w:lang w:val="de-DE"/>
        </w:rPr>
        <w:t>Das Angebot für Bing Maps Unbegrenzte Transaktionen Add-On-AL umfasst höchstens 400 Millionen Abrechenbare Transaktionen pro Jahr.</w:t>
      </w:r>
      <w:r w:rsidR="009E4976" w:rsidRPr="00BB5519">
        <w:rPr>
          <w:rFonts w:ascii="Tahoma" w:hAnsi="Tahoma" w:cs="Tahoma"/>
          <w:sz w:val="18"/>
          <w:szCs w:val="18"/>
          <w:lang w:val="de-DE"/>
        </w:rPr>
        <w:t xml:space="preserve"> </w:t>
      </w:r>
      <w:r w:rsidRPr="00BB5519">
        <w:rPr>
          <w:rFonts w:ascii="Tahoma" w:hAnsi="Tahoma" w:cs="Tahoma"/>
          <w:sz w:val="18"/>
          <w:szCs w:val="18"/>
          <w:lang w:val="de-DE"/>
        </w:rPr>
        <w:t>Wenn ein Kunde die Höchstgrenze von 400 Millionen Abrechenbaren Transaktionen während eines Jahres der Laufzeit des Beitritts überschreitet, muss der Kunden innerhalb von 60 Tagen ab der Mitteilung von Microsoft zusätzliche Angebote für eine Bing Maps Öffentliche Website-Nutzung Add-On-AL oder Bing Maps Interne Website-Nutzung Add-On-AL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rsidR="00381E02" w:rsidRPr="00381E02" w:rsidRDefault="00381E02" w:rsidP="00381E02">
      <w:pPr>
        <w:pStyle w:val="EndnoteText"/>
        <w:rPr>
          <w:rFonts w:ascii="Tahoma" w:hAnsi="Tahoma" w:cs="Tahoma"/>
          <w:sz w:val="18"/>
          <w:szCs w:val="18"/>
          <w:lang w:val="de-DE"/>
        </w:rPr>
      </w:pPr>
    </w:p>
    <w:p w:rsidR="004640EC" w:rsidRPr="00CB1EDE" w:rsidRDefault="004640EC" w:rsidP="004640EC">
      <w:pPr>
        <w:spacing w:after="60"/>
        <w:ind w:left="720"/>
        <w:rPr>
          <w:rFonts w:cs="Tahoma"/>
          <w:b/>
          <w:color w:val="000000" w:themeColor="text1"/>
          <w:szCs w:val="18"/>
          <w:lang w:val="de-DE"/>
        </w:rPr>
      </w:pPr>
      <w:r w:rsidRPr="00CB1EDE">
        <w:rPr>
          <w:rFonts w:cs="Tahoma"/>
          <w:b/>
          <w:color w:val="000000" w:themeColor="text1"/>
          <w:szCs w:val="18"/>
          <w:lang w:val="de-DE"/>
        </w:rPr>
        <w:t>Kundensupport für Bing Maps</w:t>
      </w:r>
    </w:p>
    <w:p w:rsidR="004640EC" w:rsidRPr="00BB5519" w:rsidRDefault="004640EC" w:rsidP="004640EC">
      <w:pPr>
        <w:pStyle w:val="NormalWeb"/>
        <w:spacing w:before="0" w:beforeAutospacing="0" w:after="0" w:afterAutospacing="0"/>
        <w:ind w:left="720"/>
        <w:rPr>
          <w:lang w:val="de-DE"/>
        </w:rPr>
      </w:pPr>
      <w:r w:rsidRPr="00BB5519">
        <w:rPr>
          <w:rFonts w:ascii="Tahoma" w:hAnsi="Tahoma" w:cs="Tahoma"/>
          <w:sz w:val="18"/>
          <w:szCs w:val="18"/>
          <w:lang w:val="de-DE"/>
        </w:rPr>
        <w:t>Der Kundensupport für Bing Maps steht allen Kunden, die Bing Maps erworben haben, wie folgt zur Verfügung.</w:t>
      </w:r>
    </w:p>
    <w:p w:rsidR="00381E02" w:rsidRPr="00381E02" w:rsidRDefault="00381E02" w:rsidP="00381E02">
      <w:pPr>
        <w:pStyle w:val="EndnoteText"/>
        <w:rPr>
          <w:rFonts w:ascii="Tahoma" w:hAnsi="Tahoma" w:cs="Tahoma"/>
          <w:sz w:val="18"/>
          <w:szCs w:val="18"/>
          <w:lang w:val="de-DE"/>
        </w:rPr>
      </w:pPr>
    </w:p>
    <w:p w:rsidR="004640EC" w:rsidRPr="00CB1EDE" w:rsidRDefault="004640EC" w:rsidP="004640EC">
      <w:pPr>
        <w:spacing w:after="60"/>
        <w:ind w:left="720"/>
        <w:rPr>
          <w:rFonts w:cs="Tahoma"/>
          <w:b/>
          <w:bCs/>
          <w:color w:val="000000"/>
          <w:szCs w:val="18"/>
          <w:lang w:val="de-DE"/>
        </w:rPr>
      </w:pPr>
      <w:r w:rsidRPr="00CB1EDE">
        <w:rPr>
          <w:rFonts w:cs="Tahoma"/>
          <w:b/>
          <w:bCs/>
          <w:color w:val="000000"/>
          <w:szCs w:val="18"/>
          <w:lang w:val="de-DE"/>
        </w:rPr>
        <w:t>Der Kundensupport für Bing Maps umfasst Folgendes:</w:t>
      </w:r>
    </w:p>
    <w:p w:rsidR="004640EC" w:rsidRPr="00BB5519" w:rsidRDefault="004640EC" w:rsidP="004640EC">
      <w:pPr>
        <w:ind w:left="720"/>
        <w:rPr>
          <w:lang w:val="de-DE"/>
        </w:rPr>
      </w:pPr>
      <w:r w:rsidRPr="00BB5519">
        <w:rPr>
          <w:rFonts w:cs="Tahoma"/>
          <w:color w:val="000000"/>
          <w:szCs w:val="18"/>
          <w:lang w:val="de-DE"/>
        </w:rPr>
        <w:t>Direkte Kontaktaufnahme mit dem Technischen Support für Bing Maps per E-Mail, Telefon oder Internet während der folgenden Geschäftszeiten: montags bis freitags von 8:00 bis 2:00 Uhr GMT (außer an US-amerikanischen Feiertagen).</w:t>
      </w:r>
      <w:r w:rsidR="009E4976" w:rsidRPr="00BB5519">
        <w:rPr>
          <w:rFonts w:cs="Tahoma"/>
          <w:color w:val="000000"/>
          <w:szCs w:val="18"/>
          <w:lang w:val="de-DE"/>
        </w:rPr>
        <w:t xml:space="preserve"> </w:t>
      </w:r>
      <w:r w:rsidRPr="00BB5519">
        <w:rPr>
          <w:rFonts w:cs="Tahoma"/>
          <w:color w:val="000000"/>
          <w:szCs w:val="18"/>
          <w:lang w:val="de-DE"/>
        </w:rPr>
        <w:t>Den Kunden steht das Supportteam für Notfälle auch außerhalb der Geschäftszeiten (von 2:00 bis 8:00 Uhr GMT) ausschließlich über die nachstehende Telefonnummer zur Verfügung.</w:t>
      </w:r>
      <w:r w:rsidR="009E4976" w:rsidRPr="00BB5519">
        <w:rPr>
          <w:rFonts w:cs="Tahoma"/>
          <w:color w:val="000000"/>
          <w:szCs w:val="18"/>
          <w:lang w:val="de-DE"/>
        </w:rPr>
        <w:t xml:space="preserve"> </w:t>
      </w:r>
      <w:r w:rsidRPr="00BB5519">
        <w:rPr>
          <w:rFonts w:cs="Tahoma"/>
          <w:color w:val="000000"/>
          <w:szCs w:val="18"/>
          <w:lang w:val="de-DE"/>
        </w:rPr>
        <w:t>Die Bearbeitung aller vorgetragenen Anliegen, bei denen es sich nicht um Notfälle handelt, erfolgt zu den normalen Geschäftszeiten.</w:t>
      </w:r>
      <w:r w:rsidR="009E4976" w:rsidRPr="00BB5519">
        <w:rPr>
          <w:rFonts w:cs="Tahoma"/>
          <w:color w:val="000000"/>
          <w:szCs w:val="18"/>
          <w:lang w:val="de-DE"/>
        </w:rPr>
        <w:t xml:space="preserve"> </w:t>
      </w:r>
      <w:r w:rsidRPr="00BB5519">
        <w:rPr>
          <w:rFonts w:cs="Tahoma"/>
          <w:color w:val="000000"/>
          <w:szCs w:val="18"/>
          <w:lang w:val="de-DE"/>
        </w:rPr>
        <w:t>Das Supportteam kann wie folgt erreicht werden:</w:t>
      </w:r>
    </w:p>
    <w:p w:rsidR="00381E02" w:rsidRPr="00381E02" w:rsidRDefault="00381E02" w:rsidP="00381E02">
      <w:pPr>
        <w:pStyle w:val="EndnoteText"/>
        <w:rPr>
          <w:rFonts w:ascii="Tahoma" w:hAnsi="Tahoma" w:cs="Tahoma"/>
          <w:sz w:val="18"/>
          <w:szCs w:val="18"/>
          <w:lang w:val="de-DE"/>
        </w:rPr>
      </w:pPr>
    </w:p>
    <w:p w:rsidR="004640EC" w:rsidRPr="00BB5519" w:rsidRDefault="004640EC" w:rsidP="00381E02">
      <w:pPr>
        <w:keepNext/>
        <w:keepLines/>
        <w:ind w:left="720"/>
        <w:rPr>
          <w:lang w:val="de-DE"/>
        </w:rPr>
      </w:pPr>
      <w:r w:rsidRPr="00BB5519">
        <w:rPr>
          <w:rFonts w:cs="Tahoma"/>
          <w:color w:val="000000"/>
          <w:szCs w:val="18"/>
          <w:lang w:val="de-DE"/>
        </w:rPr>
        <w:lastRenderedPageBreak/>
        <w:t>E-Mail:</w:t>
      </w:r>
    </w:p>
    <w:p w:rsidR="004640EC" w:rsidRPr="00BB5519" w:rsidRDefault="005F5403" w:rsidP="00381E02">
      <w:pPr>
        <w:keepNext/>
        <w:keepLines/>
        <w:ind w:left="720"/>
        <w:rPr>
          <w:lang w:val="de-DE"/>
        </w:rPr>
      </w:pPr>
      <w:hyperlink r:id="rId47" w:history="1">
        <w:r w:rsidR="00955428" w:rsidRPr="00BB5519">
          <w:rPr>
            <w:rStyle w:val="Hyperlink"/>
            <w:rFonts w:cs="Tahoma"/>
            <w:szCs w:val="18"/>
            <w:lang w:val="de-DE"/>
          </w:rPr>
          <w:t>bmesupp@microsoft.com</w:t>
        </w:r>
      </w:hyperlink>
    </w:p>
    <w:p w:rsidR="004640EC" w:rsidRPr="00BB5519" w:rsidRDefault="004640EC" w:rsidP="004640EC">
      <w:pPr>
        <w:ind w:left="720"/>
        <w:rPr>
          <w:lang w:val="de-DE"/>
        </w:rPr>
      </w:pPr>
    </w:p>
    <w:p w:rsidR="004640EC" w:rsidRPr="00BB5519" w:rsidRDefault="004640EC" w:rsidP="004640EC">
      <w:pPr>
        <w:ind w:left="720"/>
        <w:rPr>
          <w:lang w:val="nb-NO"/>
        </w:rPr>
      </w:pPr>
      <w:r w:rsidRPr="00BB5519">
        <w:rPr>
          <w:rFonts w:cs="Tahoma"/>
          <w:color w:val="000000"/>
          <w:szCs w:val="18"/>
          <w:lang w:val="nb-NO"/>
        </w:rPr>
        <w:t>Telefonnummer:</w:t>
      </w:r>
    </w:p>
    <w:p w:rsidR="004640EC" w:rsidRPr="00BB5519" w:rsidRDefault="004640EC" w:rsidP="004640EC">
      <w:pPr>
        <w:ind w:left="720"/>
        <w:rPr>
          <w:lang w:val="nb-NO"/>
        </w:rPr>
      </w:pPr>
    </w:p>
    <w:p w:rsidR="004640EC" w:rsidRPr="00BB5519" w:rsidRDefault="004640EC" w:rsidP="004640EC">
      <w:pPr>
        <w:ind w:left="720"/>
        <w:rPr>
          <w:lang w:val="nb-NO"/>
        </w:rPr>
      </w:pPr>
      <w:r w:rsidRPr="00BB5519">
        <w:rPr>
          <w:rFonts w:cs="Tahoma"/>
          <w:color w:val="000000"/>
          <w:szCs w:val="18"/>
          <w:lang w:val="nb-NO"/>
        </w:rPr>
        <w:t>+1 (425) 705-2737</w:t>
      </w:r>
    </w:p>
    <w:p w:rsidR="004640EC" w:rsidRPr="00BB5519" w:rsidRDefault="004640EC" w:rsidP="004640EC">
      <w:pPr>
        <w:ind w:left="720"/>
        <w:rPr>
          <w:lang w:val="nb-NO"/>
        </w:rPr>
      </w:pPr>
    </w:p>
    <w:p w:rsidR="004640EC" w:rsidRPr="00BB5519" w:rsidRDefault="004640EC" w:rsidP="004640EC">
      <w:pPr>
        <w:ind w:left="720"/>
        <w:rPr>
          <w:lang w:val="nb-NO"/>
        </w:rPr>
      </w:pPr>
      <w:r w:rsidRPr="00BB5519">
        <w:rPr>
          <w:rFonts w:cs="Tahoma"/>
          <w:color w:val="000000"/>
          <w:szCs w:val="18"/>
          <w:lang w:val="nb-NO"/>
        </w:rPr>
        <w:t>Webformular</w:t>
      </w:r>
    </w:p>
    <w:p w:rsidR="004640EC" w:rsidRPr="00BB5519" w:rsidRDefault="005F5403" w:rsidP="004640EC">
      <w:pPr>
        <w:ind w:left="720"/>
        <w:rPr>
          <w:lang w:val="nb-NO"/>
        </w:rPr>
      </w:pPr>
      <w:hyperlink r:id="rId48" w:history="1">
        <w:r w:rsidR="00955428" w:rsidRPr="00BB5519">
          <w:rPr>
            <w:rStyle w:val="Hyperlink"/>
            <w:rFonts w:cs="Tahoma"/>
            <w:szCs w:val="18"/>
            <w:lang w:val="nb-NO"/>
          </w:rPr>
          <w:t>https://support.microsoft.com/oas/default.aspx?prid=13766&amp;st=1</w:t>
        </w:r>
      </w:hyperlink>
    </w:p>
    <w:p w:rsidR="004640EC" w:rsidRPr="00BB5519" w:rsidRDefault="004640EC" w:rsidP="004640EC">
      <w:pPr>
        <w:ind w:left="720"/>
        <w:rPr>
          <w:lang w:val="nb-NO"/>
        </w:rPr>
      </w:pPr>
    </w:p>
    <w:p w:rsidR="004640EC" w:rsidRPr="00BB5519" w:rsidRDefault="004640EC" w:rsidP="004640EC">
      <w:pPr>
        <w:ind w:left="720"/>
        <w:rPr>
          <w:lang w:val="de-DE"/>
        </w:rPr>
      </w:pPr>
      <w:r w:rsidRPr="00BB5519">
        <w:rPr>
          <w:rFonts w:cs="Tahoma"/>
          <w:b/>
          <w:bCs/>
          <w:color w:val="000000"/>
          <w:szCs w:val="18"/>
          <w:lang w:val="de-DE"/>
        </w:rPr>
        <w:t>Priorität.</w:t>
      </w:r>
      <w:r w:rsidR="009E4976" w:rsidRPr="00BB5519">
        <w:rPr>
          <w:rFonts w:cs="Tahoma"/>
          <w:color w:val="000000"/>
          <w:szCs w:val="18"/>
          <w:lang w:val="de-DE"/>
        </w:rPr>
        <w:t xml:space="preserve"> </w:t>
      </w:r>
      <w:r w:rsidRPr="00BB5519">
        <w:rPr>
          <w:rFonts w:cs="Tahoma"/>
          <w:color w:val="000000"/>
          <w:szCs w:val="18"/>
          <w:lang w:val="de-DE"/>
        </w:rPr>
        <w:t>Alle an den Kundensupport für Bing Maps gerichteten Anfragen werden gemäß den Erläuterungen in der nachstehenden Tabelle zu Dringlichkeitsstufen und Zielreaktionszeiten mit der Dringlichkeitsstufe A, B, C oder D gekennzeichnet.</w:t>
      </w:r>
      <w:r w:rsidR="009E4976" w:rsidRPr="00BB5519">
        <w:rPr>
          <w:rFonts w:cs="Tahoma"/>
          <w:color w:val="000000"/>
          <w:szCs w:val="18"/>
          <w:lang w:val="de-DE"/>
        </w:rPr>
        <w:t xml:space="preserve"> </w:t>
      </w:r>
      <w:r w:rsidRPr="00BB5519">
        <w:rPr>
          <w:rFonts w:cs="Tahoma"/>
          <w:color w:val="000000"/>
          <w:szCs w:val="18"/>
          <w:lang w:val="de-DE"/>
        </w:rPr>
        <w:t>Sie erhalten innerhalb der in der nachstehenden Tabelle angegebenen Zielreaktionszeiten eine Antwort von einem Support Engineer.</w:t>
      </w:r>
      <w:r w:rsidR="009E4976" w:rsidRPr="00BB5519">
        <w:rPr>
          <w:rFonts w:cs="Tahoma"/>
          <w:color w:val="000000"/>
          <w:szCs w:val="18"/>
          <w:lang w:val="de-DE"/>
        </w:rPr>
        <w:t xml:space="preserve"> </w:t>
      </w:r>
      <w:r w:rsidRPr="00BB5519">
        <w:rPr>
          <w:rFonts w:cs="Tahoma"/>
          <w:color w:val="000000"/>
          <w:szCs w:val="18"/>
          <w:lang w:val="de-DE"/>
        </w:rPr>
        <w:t>Der Support Engineer ermittelt die letztendliche Dringlichkeitsstufe gemäß der Erläuterung zu den Serviceanliegen in der nachstehenden Tabelle.</w:t>
      </w:r>
    </w:p>
    <w:p w:rsidR="004640EC" w:rsidRPr="00BB5519" w:rsidRDefault="004640EC" w:rsidP="004640EC">
      <w:pPr>
        <w:ind w:left="720"/>
        <w:rPr>
          <w:lang w:val="de-DE"/>
        </w:rPr>
      </w:pPr>
      <w:r w:rsidRPr="00BB5519">
        <w:rPr>
          <w:rFonts w:cs="Tahoma"/>
          <w:b/>
          <w:bCs/>
          <w:color w:val="000000"/>
          <w:szCs w:val="18"/>
          <w:lang w:val="de-DE"/>
        </w:rPr>
        <w:t xml:space="preserve">Dringlichkeitsstufen für die normalen Geschäftszeiten und Zielreaktionszeiten: </w:t>
      </w:r>
    </w:p>
    <w:p w:rsidR="004640EC" w:rsidRPr="00BB5519" w:rsidRDefault="004640EC" w:rsidP="004640EC">
      <w:pPr>
        <w:ind w:left="720"/>
        <w:rPr>
          <w:lang w:val="de-DE"/>
        </w:rPr>
      </w:pPr>
    </w:p>
    <w:p w:rsidR="004640EC" w:rsidRPr="00BB5519" w:rsidRDefault="004640EC" w:rsidP="004640EC">
      <w:pPr>
        <w:ind w:left="720"/>
        <w:rPr>
          <w:lang w:val="de-DE"/>
        </w:rPr>
      </w:pPr>
    </w:p>
    <w:tbl>
      <w:tblPr>
        <w:tblW w:w="8730" w:type="dxa"/>
        <w:tblInd w:w="738" w:type="dxa"/>
        <w:tblCellMar>
          <w:left w:w="0" w:type="dxa"/>
          <w:right w:w="0" w:type="dxa"/>
        </w:tblCellMar>
        <w:tblLook w:val="04A0" w:firstRow="1" w:lastRow="0" w:firstColumn="1" w:lastColumn="0" w:noHBand="0" w:noVBand="1"/>
      </w:tblPr>
      <w:tblGrid>
        <w:gridCol w:w="1928"/>
        <w:gridCol w:w="2020"/>
        <w:gridCol w:w="4782"/>
      </w:tblGrid>
      <w:tr w:rsidR="004640EC" w:rsidRPr="00BB5519" w:rsidTr="00381E02">
        <w:trPr>
          <w:trHeight w:val="549"/>
        </w:trPr>
        <w:tc>
          <w:tcPr>
            <w:tcW w:w="1928"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b/>
                <w:bCs/>
                <w:color w:val="000000"/>
                <w:szCs w:val="18"/>
              </w:rPr>
              <w:t>Dringlichkeitsstufe des Anliegens</w:t>
            </w:r>
          </w:p>
        </w:tc>
        <w:tc>
          <w:tcPr>
            <w:tcW w:w="202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b/>
                <w:bCs/>
                <w:color w:val="000000"/>
                <w:szCs w:val="18"/>
              </w:rPr>
              <w:t>Zielreaktionszeit</w:t>
            </w:r>
          </w:p>
        </w:tc>
        <w:tc>
          <w:tcPr>
            <w:tcW w:w="478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b/>
                <w:bCs/>
                <w:color w:val="000000"/>
                <w:szCs w:val="18"/>
              </w:rPr>
              <w:t>Erläuterung zu den Serviceanliegen</w:t>
            </w:r>
          </w:p>
        </w:tc>
      </w:tr>
      <w:tr w:rsidR="004640EC" w:rsidRPr="00D244F0" w:rsidTr="00381E02">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Dringlichkeit A</w:t>
            </w:r>
          </w:p>
        </w:tc>
        <w:tc>
          <w:tcPr>
            <w:tcW w:w="20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1 Stunde zu den Geschäftszeiten</w:t>
            </w:r>
          </w:p>
        </w:tc>
        <w:tc>
          <w:tcPr>
            <w:tcW w:w="47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381E02">
            <w:pPr>
              <w:rPr>
                <w:rFonts w:cs="Tahoma"/>
                <w:color w:val="000000"/>
                <w:szCs w:val="18"/>
                <w:lang w:val="de-DE"/>
              </w:rPr>
            </w:pPr>
            <w:r w:rsidRPr="00BB5519">
              <w:rPr>
                <w:rFonts w:cs="Tahoma"/>
                <w:color w:val="000000"/>
                <w:szCs w:val="18"/>
                <w:lang w:val="de-DE"/>
              </w:rPr>
              <w:t>Der Kunde trägt einen Serviceausfall oder ein sonstiges Anliegen vor, das für Produktionsanwendungen kritisch</w:t>
            </w:r>
            <w:r w:rsidR="00381E02">
              <w:rPr>
                <w:rFonts w:cs="Tahoma"/>
                <w:color w:val="000000"/>
                <w:szCs w:val="18"/>
                <w:lang w:val="de-DE"/>
              </w:rPr>
              <w:t> </w:t>
            </w:r>
            <w:r w:rsidRPr="00BB5519">
              <w:rPr>
                <w:rFonts w:cs="Tahoma"/>
                <w:color w:val="000000"/>
                <w:szCs w:val="18"/>
                <w:lang w:val="de-DE"/>
              </w:rPr>
              <w:t>ist.</w:t>
            </w:r>
          </w:p>
        </w:tc>
      </w:tr>
      <w:tr w:rsidR="004640EC" w:rsidRPr="00D244F0" w:rsidTr="00381E02">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Dringlichkeit B</w:t>
            </w:r>
          </w:p>
        </w:tc>
        <w:tc>
          <w:tcPr>
            <w:tcW w:w="20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4 Stunden zu den Geschäftszeiten</w:t>
            </w:r>
          </w:p>
        </w:tc>
        <w:tc>
          <w:tcPr>
            <w:tcW w:w="47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381E02">
            <w:pPr>
              <w:rPr>
                <w:rFonts w:cs="Tahoma"/>
                <w:color w:val="000000"/>
                <w:szCs w:val="18"/>
                <w:lang w:val="de-DE"/>
              </w:rPr>
            </w:pPr>
            <w:r w:rsidRPr="00BB5519">
              <w:rPr>
                <w:rFonts w:cs="Tahoma"/>
                <w:color w:val="000000"/>
                <w:szCs w:val="18"/>
                <w:lang w:val="de-DE"/>
              </w:rPr>
              <w:t>Der Kunde trägt ein weitreichenderes Anliegen vor, das</w:t>
            </w:r>
            <w:r w:rsidR="00381E02">
              <w:rPr>
                <w:rFonts w:cs="Tahoma"/>
                <w:color w:val="000000"/>
                <w:szCs w:val="18"/>
                <w:lang w:val="de-DE"/>
              </w:rPr>
              <w:t> </w:t>
            </w:r>
            <w:r w:rsidRPr="00BB5519">
              <w:rPr>
                <w:rFonts w:cs="Tahoma"/>
                <w:color w:val="000000"/>
                <w:szCs w:val="18"/>
                <w:lang w:val="de-DE"/>
              </w:rPr>
              <w:t>wesentliche Auswirkung auf die Produktionsanwendungen hat.</w:t>
            </w:r>
          </w:p>
        </w:tc>
      </w:tr>
      <w:tr w:rsidR="004640EC" w:rsidRPr="00D244F0" w:rsidTr="00381E02">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Dringlichkeit C</w:t>
            </w:r>
          </w:p>
        </w:tc>
        <w:tc>
          <w:tcPr>
            <w:tcW w:w="20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1 Geschäftstag</w:t>
            </w:r>
          </w:p>
        </w:tc>
        <w:tc>
          <w:tcPr>
            <w:tcW w:w="47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381E02">
            <w:pPr>
              <w:rPr>
                <w:rFonts w:cs="Tahoma"/>
                <w:color w:val="000000"/>
                <w:szCs w:val="18"/>
                <w:lang w:val="de-DE"/>
              </w:rPr>
            </w:pPr>
            <w:r w:rsidRPr="00BB5519">
              <w:rPr>
                <w:rFonts w:cs="Tahoma"/>
                <w:color w:val="000000"/>
                <w:szCs w:val="18"/>
                <w:lang w:val="de-DE"/>
              </w:rPr>
              <w:t>Der Kunde trägt ein nicht kritisches Anliegen vor (z. B.</w:t>
            </w:r>
            <w:r w:rsidR="00381E02">
              <w:rPr>
                <w:rFonts w:cs="Tahoma"/>
                <w:color w:val="000000"/>
                <w:szCs w:val="18"/>
                <w:lang w:val="de-DE"/>
              </w:rPr>
              <w:t> </w:t>
            </w:r>
            <w:r w:rsidRPr="00BB5519">
              <w:rPr>
                <w:rFonts w:cs="Tahoma"/>
                <w:color w:val="000000"/>
                <w:szCs w:val="18"/>
                <w:lang w:val="de-DE"/>
              </w:rPr>
              <w:t>allgemeine Entwicklungs- oder Produktfragen).</w:t>
            </w:r>
          </w:p>
        </w:tc>
      </w:tr>
      <w:tr w:rsidR="004640EC" w:rsidRPr="00D244F0" w:rsidTr="00381E02">
        <w:trPr>
          <w:trHeight w:val="549"/>
        </w:trPr>
        <w:tc>
          <w:tcPr>
            <w:tcW w:w="19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Dringlichkeit D</w:t>
            </w:r>
          </w:p>
        </w:tc>
        <w:tc>
          <w:tcPr>
            <w:tcW w:w="20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3 Geschäftstage</w:t>
            </w:r>
          </w:p>
        </w:tc>
        <w:tc>
          <w:tcPr>
            <w:tcW w:w="47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lang w:val="de-DE"/>
              </w:rPr>
            </w:pPr>
            <w:r w:rsidRPr="00BB5519">
              <w:rPr>
                <w:rFonts w:cs="Tahoma"/>
                <w:color w:val="000000"/>
                <w:szCs w:val="18"/>
                <w:lang w:val="de-DE"/>
              </w:rPr>
              <w:t>Der Kunde gibt Feedback zu Zuordnungs- Fahrtanweisungs- oder Geocodinganliegen.</w:t>
            </w:r>
          </w:p>
        </w:tc>
      </w:tr>
    </w:tbl>
    <w:p w:rsidR="004640EC" w:rsidRPr="00BB5519" w:rsidRDefault="004640EC" w:rsidP="004640EC">
      <w:pPr>
        <w:ind w:left="720"/>
        <w:rPr>
          <w:lang w:val="de-DE"/>
        </w:rPr>
      </w:pPr>
    </w:p>
    <w:p w:rsidR="004640EC" w:rsidRPr="00BB5519" w:rsidRDefault="004640EC" w:rsidP="004640EC">
      <w:pPr>
        <w:ind w:left="720"/>
        <w:rPr>
          <w:lang w:val="de-DE"/>
        </w:rPr>
      </w:pPr>
      <w:r w:rsidRPr="00BB5519">
        <w:rPr>
          <w:rFonts w:cs="Tahoma"/>
          <w:b/>
          <w:bCs/>
          <w:color w:val="000000"/>
          <w:szCs w:val="18"/>
          <w:lang w:val="de-DE"/>
        </w:rPr>
        <w:t xml:space="preserve">Kontaktdaten für den rund um die Uhr erreichbaren Notfallkundensupport von Bing Maps: </w:t>
      </w:r>
    </w:p>
    <w:p w:rsidR="004640EC" w:rsidRPr="00BB5519" w:rsidRDefault="004640EC" w:rsidP="004640EC">
      <w:pPr>
        <w:ind w:left="720"/>
        <w:rPr>
          <w:lang w:val="de-DE"/>
        </w:rPr>
      </w:pPr>
    </w:p>
    <w:p w:rsidR="004640EC" w:rsidRPr="00BB5519" w:rsidRDefault="004640EC" w:rsidP="004640EC">
      <w:pPr>
        <w:ind w:left="720"/>
        <w:rPr>
          <w:lang w:val="de-DE"/>
        </w:rPr>
      </w:pPr>
      <w:r w:rsidRPr="00BB5519">
        <w:rPr>
          <w:rFonts w:cs="Tahoma"/>
          <w:szCs w:val="18"/>
          <w:lang w:val="de-DE"/>
        </w:rPr>
        <w:t>Telefonnummer:</w:t>
      </w:r>
    </w:p>
    <w:p w:rsidR="004640EC" w:rsidRPr="00BB5519" w:rsidRDefault="004640EC" w:rsidP="004640EC">
      <w:pPr>
        <w:ind w:left="720"/>
        <w:rPr>
          <w:lang w:val="de-DE"/>
        </w:rPr>
      </w:pPr>
    </w:p>
    <w:p w:rsidR="004640EC" w:rsidRPr="00BB5519" w:rsidRDefault="004640EC" w:rsidP="004640EC">
      <w:pPr>
        <w:ind w:left="720"/>
        <w:rPr>
          <w:lang w:val="de-DE"/>
        </w:rPr>
      </w:pPr>
      <w:r w:rsidRPr="00BB5519">
        <w:rPr>
          <w:rFonts w:cs="Tahoma"/>
          <w:color w:val="000000"/>
          <w:szCs w:val="18"/>
          <w:lang w:val="de-DE"/>
        </w:rPr>
        <w:t>+1 (425) 705-2737</w:t>
      </w:r>
    </w:p>
    <w:p w:rsidR="004640EC" w:rsidRPr="00BB5519" w:rsidRDefault="004640EC" w:rsidP="004640EC">
      <w:pPr>
        <w:ind w:left="720"/>
        <w:rPr>
          <w:lang w:val="de-DE"/>
        </w:rPr>
      </w:pPr>
    </w:p>
    <w:p w:rsidR="004640EC" w:rsidRPr="00BB5519" w:rsidRDefault="004640EC" w:rsidP="00381E02">
      <w:pPr>
        <w:ind w:left="720"/>
        <w:rPr>
          <w:lang w:val="de-DE"/>
        </w:rPr>
      </w:pPr>
      <w:r w:rsidRPr="00BB5519">
        <w:rPr>
          <w:rFonts w:cs="Tahoma"/>
          <w:color w:val="000000"/>
          <w:szCs w:val="18"/>
          <w:lang w:val="de-DE"/>
        </w:rPr>
        <w:t>Wichtiger Hinweis: Der rund um die Uhr (außerhalb der Geschäftszeiten) erreichbare Notfallsupport steht</w:t>
      </w:r>
      <w:r w:rsidR="00381E02">
        <w:rPr>
          <w:rFonts w:cs="Tahoma"/>
          <w:color w:val="000000"/>
          <w:szCs w:val="18"/>
          <w:lang w:val="de-DE"/>
        </w:rPr>
        <w:t> </w:t>
      </w:r>
      <w:r w:rsidRPr="00BB5519">
        <w:rPr>
          <w:rFonts w:cs="Tahoma"/>
          <w:color w:val="000000"/>
          <w:szCs w:val="18"/>
          <w:lang w:val="de-DE"/>
        </w:rPr>
        <w:t>nur für Anliegen mit der Dringlichkeitsstufe A zur Verfügung (Serviceausfälle oder erhebliche Servicebeeinträchtigungen mit Auswirkung auf die Produktionsanwendungen des Kunden). Microsoft antwortet auf alle anderen außerhalb der Geschäftszeiten vorgetragenen Anliegen, die nicht der Dringlichkeitsstufe A entsprechen, am folgenden Geschäftstag, und zwar gemäß den vorstehend aufgeführten Zielreaktionszeiten. Bitte beachten Sie zudem, dass per E-Mail (</w:t>
      </w:r>
      <w:hyperlink r:id="rId49" w:history="1">
        <w:r w:rsidRPr="00BB5519">
          <w:rPr>
            <w:rStyle w:val="Hyperlink"/>
            <w:rFonts w:cs="Tahoma"/>
            <w:szCs w:val="18"/>
            <w:lang w:val="de-DE"/>
          </w:rPr>
          <w:t>bmesupp@microsoft.com</w:t>
        </w:r>
      </w:hyperlink>
      <w:r w:rsidRPr="00BB5519">
        <w:rPr>
          <w:rFonts w:cs="Tahoma"/>
          <w:color w:val="000000"/>
          <w:szCs w:val="18"/>
          <w:lang w:val="de-DE"/>
        </w:rPr>
        <w:t>) oder</w:t>
      </w:r>
      <w:r w:rsidR="00381E02">
        <w:rPr>
          <w:rFonts w:cs="Tahoma"/>
          <w:color w:val="000000"/>
          <w:szCs w:val="18"/>
          <w:lang w:val="de-DE"/>
        </w:rPr>
        <w:t> </w:t>
      </w:r>
      <w:r w:rsidRPr="00BB5519">
        <w:rPr>
          <w:rFonts w:cs="Tahoma"/>
          <w:color w:val="000000"/>
          <w:szCs w:val="18"/>
          <w:lang w:val="de-DE"/>
        </w:rPr>
        <w:t xml:space="preserve">per Webformular vorgetragene Anliegen außerhalb der normalen Geschäftszeiten des Kundensupports für Bing Maps nicht gelesen werden. </w:t>
      </w:r>
    </w:p>
    <w:p w:rsidR="004640EC" w:rsidRPr="00BB5519" w:rsidRDefault="004640EC" w:rsidP="004640EC">
      <w:pPr>
        <w:ind w:left="720"/>
        <w:rPr>
          <w:lang w:val="de-DE"/>
        </w:rPr>
      </w:pPr>
    </w:p>
    <w:p w:rsidR="004640EC" w:rsidRPr="00BB5519" w:rsidRDefault="004640EC" w:rsidP="004640EC">
      <w:pPr>
        <w:ind w:left="720"/>
        <w:rPr>
          <w:lang w:val="de-DE"/>
        </w:rPr>
      </w:pPr>
      <w:r w:rsidRPr="00BB5519">
        <w:rPr>
          <w:rFonts w:cs="Tahoma"/>
          <w:b/>
          <w:bCs/>
          <w:color w:val="000000"/>
          <w:szCs w:val="18"/>
          <w:lang w:val="de-DE"/>
        </w:rPr>
        <w:t>Dringlichkeitsstufen für Notfälle außerhalb der Geschäftszeiten und Zielreaktionszeiten:</w:t>
      </w:r>
    </w:p>
    <w:p w:rsidR="004640EC" w:rsidRPr="00BB5519" w:rsidRDefault="004640EC" w:rsidP="004640EC">
      <w:pPr>
        <w:ind w:left="720"/>
        <w:rPr>
          <w:lang w:val="de-DE"/>
        </w:rPr>
      </w:pPr>
    </w:p>
    <w:tbl>
      <w:tblPr>
        <w:tblW w:w="9225" w:type="dxa"/>
        <w:tblInd w:w="738" w:type="dxa"/>
        <w:tblCellMar>
          <w:left w:w="0" w:type="dxa"/>
          <w:right w:w="0" w:type="dxa"/>
        </w:tblCellMar>
        <w:tblLook w:val="04A0" w:firstRow="1" w:lastRow="0" w:firstColumn="1" w:lastColumn="0" w:noHBand="0" w:noVBand="1"/>
      </w:tblPr>
      <w:tblGrid>
        <w:gridCol w:w="1928"/>
        <w:gridCol w:w="2021"/>
        <w:gridCol w:w="5276"/>
      </w:tblGrid>
      <w:tr w:rsidR="004640EC" w:rsidRPr="00BB5519"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b/>
                <w:bCs/>
                <w:color w:val="000000"/>
                <w:szCs w:val="18"/>
              </w:rPr>
              <w:t>Dringlichkeitsstufe des Anliegens</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b/>
                <w:bCs/>
                <w:color w:val="000000"/>
                <w:szCs w:val="18"/>
              </w:rPr>
              <w:t>Zielreaktionszeit</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b/>
                <w:bCs/>
                <w:color w:val="000000"/>
                <w:szCs w:val="18"/>
              </w:rPr>
              <w:t>Erläuterung zu den Serviceanliegen</w:t>
            </w:r>
          </w:p>
        </w:tc>
      </w:tr>
      <w:tr w:rsidR="004640EC" w:rsidRPr="00D244F0"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Dringlichkeit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rPr>
            </w:pPr>
            <w:r w:rsidRPr="00BB5519">
              <w:rPr>
                <w:rFonts w:cs="Tahoma"/>
                <w:color w:val="000000"/>
                <w:szCs w:val="18"/>
              </w:rPr>
              <w:t>1 Stunde zu den Geschäftszeiten</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BB5519" w:rsidRDefault="004640EC" w:rsidP="00136585">
            <w:pPr>
              <w:rPr>
                <w:rFonts w:cs="Tahoma"/>
                <w:color w:val="000000"/>
                <w:szCs w:val="18"/>
                <w:lang w:val="de-DE"/>
              </w:rPr>
            </w:pPr>
            <w:r w:rsidRPr="00BB5519">
              <w:rPr>
                <w:rFonts w:cs="Tahoma"/>
                <w:color w:val="000000"/>
                <w:szCs w:val="18"/>
                <w:lang w:val="de-DE"/>
              </w:rPr>
              <w:t>Der Kunde trägt einen Serviceausfall oder ein sonstiges Anliegen vor, das für Produktionsanwendungen kritisch ist.</w:t>
            </w:r>
          </w:p>
        </w:tc>
      </w:tr>
    </w:tbl>
    <w:p w:rsidR="004640EC" w:rsidRPr="00BB5519" w:rsidRDefault="004640EC" w:rsidP="004640EC">
      <w:pPr>
        <w:ind w:left="720"/>
        <w:rPr>
          <w:lang w:val="de-DE"/>
        </w:rPr>
      </w:pPr>
    </w:p>
    <w:bookmarkEnd w:id="1176"/>
    <w:p w:rsidR="00E03856" w:rsidRPr="00BB5519" w:rsidRDefault="00E03856" w:rsidP="00676723">
      <w:pPr>
        <w:pStyle w:val="EndnoteText"/>
        <w:ind w:left="0"/>
        <w:rPr>
          <w:lang w:val="de-DE"/>
        </w:rPr>
      </w:pPr>
    </w:p>
    <w:p w:rsidR="008233B3" w:rsidRPr="00BB5519" w:rsidRDefault="004668D9" w:rsidP="00021BF7">
      <w:pPr>
        <w:pStyle w:val="Heading3"/>
        <w:keepNext/>
        <w:keepLines/>
        <w:rPr>
          <w:lang w:val="de-DE"/>
        </w:rPr>
      </w:pPr>
      <w:bookmarkStart w:id="1181" w:name="_29_BizTalk®_Server"/>
      <w:bookmarkStart w:id="1182" w:name="_32_BizTalk_Server®"/>
      <w:bookmarkStart w:id="1183" w:name="_Toc354054987"/>
      <w:bookmarkEnd w:id="1181"/>
      <w:bookmarkEnd w:id="1182"/>
      <w:r w:rsidRPr="00BB5519">
        <w:rPr>
          <w:rFonts w:ascii="Tahoma" w:hAnsi="Tahoma" w:cs="Tahoma"/>
          <w:caps/>
          <w:color w:val="F66400"/>
          <w:sz w:val="22"/>
          <w:vertAlign w:val="superscript"/>
          <w:lang w:val="de-DE"/>
        </w:rPr>
        <w:lastRenderedPageBreak/>
        <w:t xml:space="preserve">32 </w:t>
      </w:r>
      <w:r w:rsidRPr="00BB5519">
        <w:rPr>
          <w:rFonts w:ascii="Tahoma" w:hAnsi="Tahoma" w:cs="Tahoma"/>
          <w:color w:val="F66400"/>
          <w:sz w:val="22"/>
          <w:lang w:val="de-DE"/>
        </w:rPr>
        <w:t>BizTalk Server</w:t>
      </w:r>
      <w:r w:rsidRPr="00BB5519">
        <w:rPr>
          <w:rFonts w:ascii="Tahoma" w:hAnsi="Tahoma" w:cs="Tahoma"/>
          <w:color w:val="F66400"/>
          <w:sz w:val="22"/>
          <w:vertAlign w:val="superscript"/>
          <w:lang w:val="de-DE"/>
        </w:rPr>
        <w:t>®</w:t>
      </w:r>
      <w:r w:rsidRPr="00BB5519">
        <w:rPr>
          <w:rFonts w:ascii="Tahoma" w:hAnsi="Tahoma" w:cs="Tahoma"/>
          <w:color w:val="F66400"/>
          <w:sz w:val="22"/>
          <w:lang w:val="de-DE"/>
        </w:rPr>
        <w:t xml:space="preserve"> 2013 Branch</w:t>
      </w:r>
      <w:bookmarkEnd w:id="1183"/>
    </w:p>
    <w:p w:rsidR="008233B3" w:rsidRPr="00BB5519" w:rsidRDefault="008233B3" w:rsidP="00021BF7">
      <w:pPr>
        <w:keepNext/>
        <w:keepLines/>
        <w:rPr>
          <w:lang w:val="de-DE"/>
        </w:rPr>
      </w:pPr>
    </w:p>
    <w:p w:rsidR="008233B3" w:rsidRPr="00BB5519" w:rsidRDefault="008233B3" w:rsidP="00021BF7">
      <w:pPr>
        <w:keepNext/>
        <w:keepLines/>
        <w:spacing w:after="60"/>
        <w:ind w:left="720"/>
        <w:rPr>
          <w:lang w:val="de-DE"/>
        </w:rPr>
      </w:pPr>
      <w:r w:rsidRPr="00BB5519">
        <w:rPr>
          <w:rFonts w:eastAsia="Calibri" w:cs="Tahoma"/>
          <w:b/>
          <w:color w:val="000000"/>
          <w:szCs w:val="18"/>
          <w:lang w:val="de-DE"/>
        </w:rPr>
        <w:t>Lizenzgewährungen im Zusammenhang mit der Änderung des Lizenzmodells</w:t>
      </w:r>
    </w:p>
    <w:p w:rsidR="008233B3" w:rsidRPr="00BB5519" w:rsidRDefault="008233B3" w:rsidP="00381E02">
      <w:pPr>
        <w:ind w:left="720"/>
        <w:rPr>
          <w:lang w:val="de-DE"/>
        </w:rPr>
      </w:pPr>
      <w:r w:rsidRPr="00BB5519">
        <w:rPr>
          <w:rFonts w:eastAsia="Calibri" w:cs="Tahoma"/>
          <w:color w:val="000000"/>
          <w:szCs w:val="18"/>
          <w:lang w:val="de-DE"/>
        </w:rPr>
        <w:t>BizTalk Server 2010 ist die letzte Version von BizTalk Server, die unter dem Pro-Prozessor-Lizenzmodell lizenziert wird.</w:t>
      </w:r>
      <w:r w:rsidR="009E4976" w:rsidRPr="00BB5519">
        <w:rPr>
          <w:rFonts w:eastAsia="Calibri" w:cs="Tahoma"/>
          <w:color w:val="000000"/>
          <w:szCs w:val="18"/>
          <w:lang w:val="de-DE"/>
        </w:rPr>
        <w:t xml:space="preserve"> </w:t>
      </w:r>
      <w:r w:rsidRPr="00BB5519">
        <w:rPr>
          <w:rFonts w:eastAsia="Calibri" w:cs="Tahoma"/>
          <w:color w:val="000000"/>
          <w:szCs w:val="18"/>
          <w:lang w:val="de-DE"/>
        </w:rPr>
        <w:t>Als Ausnahme erhalten Volumenlizenzkunden, die am 1. April 2013 über aktive Software Assurance für BizTalk Server 2010 Branch-Prozessorlizenzen („qualifizierende Lizenzen“) verfügen, die folgenden Optionen. BizTalk Server 2010 Branch-Prozessor</w:t>
      </w:r>
      <w:r w:rsidRPr="00BB5519">
        <w:rPr>
          <w:rFonts w:cs="Tahoma"/>
          <w:bCs/>
          <w:color w:val="000000"/>
          <w:szCs w:val="18"/>
          <w:lang w:val="de-DE"/>
        </w:rPr>
        <w:t>lizenzen, die danach unter derselben Laufzeit des</w:t>
      </w:r>
      <w:r w:rsidR="00381E02">
        <w:rPr>
          <w:rFonts w:cs="Tahoma"/>
          <w:bCs/>
          <w:color w:val="000000"/>
          <w:szCs w:val="18"/>
          <w:lang w:val="de-DE"/>
        </w:rPr>
        <w:t> </w:t>
      </w:r>
      <w:r w:rsidRPr="00BB5519">
        <w:rPr>
          <w:rFonts w:cs="Tahoma"/>
          <w:bCs/>
          <w:color w:val="000000"/>
          <w:szCs w:val="18"/>
          <w:lang w:val="de-DE"/>
        </w:rPr>
        <w:t>Beitritts, jedoch im Rahmen eines Konzern-, Konzern-Abonnement-, Open Value Subscription-Prozesses</w:t>
      </w:r>
      <w:r w:rsidR="00381E02">
        <w:rPr>
          <w:rFonts w:cs="Tahoma"/>
          <w:bCs/>
          <w:color w:val="000000"/>
          <w:szCs w:val="18"/>
          <w:lang w:val="de-DE"/>
        </w:rPr>
        <w:t> </w:t>
      </w:r>
      <w:r w:rsidRPr="00BB5519">
        <w:rPr>
          <w:rFonts w:cs="Tahoma"/>
          <w:bCs/>
          <w:color w:val="000000"/>
          <w:szCs w:val="18"/>
          <w:lang w:val="de-DE"/>
        </w:rPr>
        <w:t>oder des geplanten jährlichen True Up-Prozesses des EES-Kunden erworben werden, sind ebenfalls qualifizierende Lizenzen im Sinne dieser Optionen.</w:t>
      </w:r>
      <w:r w:rsidR="009E4976" w:rsidRPr="00BB5519">
        <w:rPr>
          <w:rFonts w:cs="Tahoma"/>
          <w:bCs/>
          <w:color w:val="000000"/>
          <w:szCs w:val="18"/>
          <w:lang w:val="de-DE"/>
        </w:rPr>
        <w:t xml:space="preserve"> </w:t>
      </w:r>
      <w:r w:rsidRPr="00BB5519">
        <w:rPr>
          <w:rFonts w:cs="Tahoma"/>
          <w:bCs/>
          <w:color w:val="000000"/>
          <w:szCs w:val="18"/>
          <w:lang w:val="de-DE"/>
        </w:rPr>
        <w:t>Lizenzen, die im Rahmen einer nachfolgenden Laufzeit des Beitritts, eines separaten Vertrags oder eines Beitritts mit einem Wirksamkeitsdatum nach dem 1. April 2013 erworben wurden, sind keine qualifizierenden Lizenzen.</w:t>
      </w:r>
    </w:p>
    <w:p w:rsidR="008233B3" w:rsidRPr="00BB5519" w:rsidRDefault="008233B3" w:rsidP="008233B3">
      <w:pPr>
        <w:ind w:left="720"/>
        <w:rPr>
          <w:lang w:val="de-DE"/>
        </w:rPr>
      </w:pPr>
    </w:p>
    <w:p w:rsidR="008233B3" w:rsidRPr="00BB5519" w:rsidRDefault="008233B3" w:rsidP="008233B3">
      <w:pPr>
        <w:spacing w:after="60"/>
        <w:ind w:left="720"/>
        <w:rPr>
          <w:lang w:val="de-DE"/>
        </w:rPr>
      </w:pPr>
      <w:r w:rsidRPr="00BB5519">
        <w:rPr>
          <w:rFonts w:eastAsia="Calibri" w:cs="Tahoma"/>
          <w:b/>
          <w:color w:val="000000"/>
          <w:szCs w:val="18"/>
          <w:lang w:val="de-DE"/>
        </w:rPr>
        <w:t>Aktuelle Laufzeit</w:t>
      </w:r>
    </w:p>
    <w:p w:rsidR="008233B3" w:rsidRPr="00BB5519" w:rsidRDefault="008233B3" w:rsidP="00381E02">
      <w:pPr>
        <w:ind w:left="720" w:right="-90"/>
        <w:rPr>
          <w:lang w:val="de-DE"/>
        </w:rPr>
      </w:pPr>
      <w:r w:rsidRPr="00BB5519">
        <w:rPr>
          <w:rFonts w:eastAsia="Calibri" w:cs="Tahoma"/>
          <w:color w:val="000000"/>
          <w:szCs w:val="18"/>
          <w:lang w:val="de-DE"/>
        </w:rPr>
        <w:t>Während der aktuellen Laufzeit ihrer Software Assurance zum 1. April 2013 sind Kunden (einschließlich</w:t>
      </w:r>
      <w:r w:rsidR="00381E02">
        <w:rPr>
          <w:rFonts w:eastAsia="Calibri" w:cs="Tahoma"/>
          <w:color w:val="000000"/>
          <w:szCs w:val="18"/>
          <w:lang w:val="de-DE"/>
        </w:rPr>
        <w:t> </w:t>
      </w:r>
      <w:r w:rsidRPr="00BB5519">
        <w:rPr>
          <w:rFonts w:eastAsia="Calibri" w:cs="Tahoma"/>
          <w:color w:val="000000"/>
          <w:szCs w:val="18"/>
          <w:lang w:val="de-DE"/>
        </w:rPr>
        <w:t>Kunden mit Abonnementverträgen) unter qualifizierenden Liz</w:t>
      </w:r>
      <w:r w:rsidR="002E6EC0">
        <w:rPr>
          <w:rFonts w:eastAsia="Calibri" w:cs="Tahoma"/>
          <w:color w:val="000000"/>
          <w:szCs w:val="18"/>
          <w:lang w:val="de-DE"/>
        </w:rPr>
        <w:t>enzen berechtigt, vorbehaltlich</w:t>
      </w:r>
      <w:r w:rsidR="00381E02">
        <w:rPr>
          <w:rFonts w:eastAsia="Calibri" w:cs="Tahoma"/>
          <w:color w:val="000000"/>
          <w:szCs w:val="18"/>
          <w:lang w:val="de-DE"/>
        </w:rPr>
        <w:t> </w:t>
      </w:r>
      <w:r w:rsidRPr="00BB5519">
        <w:rPr>
          <w:rFonts w:eastAsia="Calibri" w:cs="Tahoma"/>
          <w:color w:val="000000"/>
          <w:szCs w:val="18"/>
          <w:lang w:val="de-DE"/>
        </w:rPr>
        <w:t>der Produktbenutzungsrechte für BizTalk Server 2010 Branch-Prozessorlizenzen (wie in den</w:t>
      </w:r>
      <w:r w:rsidR="00381E02">
        <w:rPr>
          <w:rFonts w:eastAsia="Calibri" w:cs="Tahoma"/>
          <w:color w:val="000000"/>
          <w:szCs w:val="18"/>
          <w:lang w:val="de-DE"/>
        </w:rPr>
        <w:t> </w:t>
      </w:r>
      <w:r w:rsidRPr="00BB5519">
        <w:rPr>
          <w:rFonts w:eastAsia="Calibri" w:cs="Tahoma"/>
          <w:color w:val="000000"/>
          <w:szCs w:val="18"/>
          <w:lang w:val="de-DE"/>
        </w:rPr>
        <w:t xml:space="preserve">Produktbenutzungsrechten von Januar 2013 dargestellt) auf BizTalk Server 2013 Branch-Software anstelle von BizTalk Server 2010 Branch upzugraden und diese zu verwenden. </w:t>
      </w:r>
    </w:p>
    <w:p w:rsidR="008233B3" w:rsidRPr="00BB5519" w:rsidRDefault="008233B3" w:rsidP="008233B3">
      <w:pPr>
        <w:ind w:left="720"/>
        <w:rPr>
          <w:lang w:val="de-DE"/>
        </w:rPr>
      </w:pPr>
    </w:p>
    <w:p w:rsidR="008233B3" w:rsidRPr="00BB5519" w:rsidRDefault="008233B3" w:rsidP="008233B3">
      <w:pPr>
        <w:spacing w:after="60"/>
        <w:ind w:left="720"/>
        <w:rPr>
          <w:lang w:val="de-DE"/>
        </w:rPr>
      </w:pPr>
      <w:r w:rsidRPr="00BB5519">
        <w:rPr>
          <w:rFonts w:eastAsia="Calibri" w:cs="Tahoma"/>
          <w:b/>
          <w:color w:val="000000"/>
          <w:szCs w:val="18"/>
          <w:lang w:val="de-DE"/>
        </w:rPr>
        <w:t>Erster Verlängerungszeitraum</w:t>
      </w:r>
    </w:p>
    <w:p w:rsidR="008233B3" w:rsidRPr="00BB5519" w:rsidRDefault="008233B3" w:rsidP="00381E02">
      <w:pPr>
        <w:tabs>
          <w:tab w:val="left" w:pos="1800"/>
        </w:tabs>
        <w:spacing w:after="60"/>
        <w:ind w:left="720"/>
        <w:rPr>
          <w:lang w:val="de-DE"/>
        </w:rPr>
      </w:pPr>
      <w:r w:rsidRPr="00BB5519">
        <w:rPr>
          <w:rFonts w:eastAsia="Calibri" w:cs="Tahoma"/>
          <w:color w:val="000000"/>
          <w:szCs w:val="18"/>
          <w:lang w:val="de-DE"/>
        </w:rPr>
        <w:t>Bei der ersten Software Assurance-Verlängerung am oder nach dem 1. April 2013 ist ein Kunde berechtigt,</w:t>
      </w:r>
      <w:r w:rsidR="00381E02">
        <w:rPr>
          <w:rFonts w:eastAsia="Calibri" w:cs="Tahoma"/>
          <w:color w:val="000000"/>
          <w:szCs w:val="18"/>
          <w:lang w:val="de-DE"/>
        </w:rPr>
        <w:t> </w:t>
      </w:r>
      <w:r w:rsidRPr="00BB5519">
        <w:rPr>
          <w:rFonts w:eastAsia="Calibri" w:cs="Tahoma"/>
          <w:color w:val="000000"/>
          <w:szCs w:val="18"/>
          <w:lang w:val="de-DE"/>
        </w:rPr>
        <w:t xml:space="preserve">für jeden Server, den der Kunde unter den Produktbenutzungsrechten für BizTalk Server 2010-Prozessorlizenzen ordnungsgemäß lizenziert hat, Software Assurance für BizTalk Server Branch-Core-Lizenzen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BB5519" w:rsidRDefault="008233B3" w:rsidP="008233B3">
      <w:pPr>
        <w:numPr>
          <w:ilvl w:val="3"/>
          <w:numId w:val="112"/>
        </w:numPr>
        <w:tabs>
          <w:tab w:val="left" w:pos="2160"/>
        </w:tabs>
        <w:spacing w:after="60"/>
        <w:ind w:left="2160"/>
      </w:pPr>
      <w:r w:rsidRPr="00BB5519">
        <w:rPr>
          <w:rFonts w:eastAsia="Calibri" w:cs="Tahoma"/>
          <w:color w:val="000000"/>
          <w:szCs w:val="18"/>
        </w:rPr>
        <w:t>vier ODER</w:t>
      </w:r>
    </w:p>
    <w:p w:rsidR="008233B3" w:rsidRPr="00BB5519" w:rsidRDefault="008233B3" w:rsidP="008233B3">
      <w:pPr>
        <w:numPr>
          <w:ilvl w:val="3"/>
          <w:numId w:val="112"/>
        </w:numPr>
        <w:tabs>
          <w:tab w:val="left" w:pos="2160"/>
        </w:tabs>
        <w:spacing w:after="60"/>
        <w:ind w:left="2160"/>
        <w:rPr>
          <w:lang w:val="de-DE"/>
        </w:rPr>
      </w:pPr>
      <w:r w:rsidRPr="00BB5519">
        <w:rPr>
          <w:rFonts w:eastAsia="Calibri" w:cs="Tahoma"/>
          <w:color w:val="000000"/>
          <w:szCs w:val="18"/>
          <w:lang w:val="de-DE"/>
        </w:rPr>
        <w:t>der tatsächlichen Anzahl von Cores pro physischem Prozessor multipliziert mit dem entsprechenden Core-Faktor.</w:t>
      </w:r>
      <w:r w:rsidR="009E4976" w:rsidRPr="00BB5519">
        <w:rPr>
          <w:rFonts w:eastAsia="Calibri" w:cs="Tahoma"/>
          <w:color w:val="000000"/>
          <w:szCs w:val="18"/>
          <w:lang w:val="de-DE"/>
        </w:rPr>
        <w:t xml:space="preserve"> </w:t>
      </w:r>
      <w:r w:rsidRPr="00BB5519">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BB5519" w:rsidRDefault="008233B3" w:rsidP="008233B3">
      <w:pPr>
        <w:tabs>
          <w:tab w:val="left" w:pos="1800"/>
        </w:tabs>
        <w:ind w:left="1080"/>
        <w:rPr>
          <w:lang w:val="de-DE"/>
        </w:rPr>
      </w:pPr>
    </w:p>
    <w:p w:rsidR="008233B3" w:rsidRPr="00BB5519" w:rsidRDefault="008233B3" w:rsidP="008233B3">
      <w:pPr>
        <w:spacing w:after="60"/>
        <w:ind w:left="720"/>
        <w:rPr>
          <w:lang w:val="de-DE"/>
        </w:rPr>
      </w:pPr>
      <w:r w:rsidRPr="00BB5519">
        <w:rPr>
          <w:rFonts w:eastAsia="Calibri" w:cs="Tahoma"/>
          <w:color w:val="000000"/>
          <w:szCs w:val="18"/>
          <w:lang w:val="de-DE"/>
        </w:rPr>
        <w:t xml:space="preserve">Die Prozessorlizenzen des Kunden sind bei Erwerb von Software Assurance für Core-Lizenzen unter diesem Angebot nicht mehr gültig. </w:t>
      </w:r>
      <w:r w:rsidRPr="00BB5519">
        <w:rPr>
          <w:rFonts w:eastAsia="Calibri" w:cs="Tahoma"/>
          <w:szCs w:val="18"/>
          <w:lang w:val="de-DE"/>
        </w:rPr>
        <w:t>Die Option zum Erwerb von Core-Lizenzen für Software Assurance für BizTalk Server ist nicht auf die Software Assurance-Verlängerung unter Abonnementprogrammen anwendbar.</w:t>
      </w:r>
      <w:r w:rsidR="009E4976" w:rsidRPr="00BB5519">
        <w:rPr>
          <w:rFonts w:eastAsia="Calibri" w:cs="Tahoma"/>
          <w:szCs w:val="18"/>
          <w:lang w:val="de-DE"/>
        </w:rPr>
        <w:t xml:space="preserve"> </w:t>
      </w:r>
    </w:p>
    <w:p w:rsidR="008233B3" w:rsidRPr="00BB5519" w:rsidRDefault="008233B3" w:rsidP="008233B3">
      <w:pPr>
        <w:ind w:left="1440"/>
        <w:rPr>
          <w:lang w:val="de-DE"/>
        </w:rPr>
      </w:pPr>
    </w:p>
    <w:p w:rsidR="008233B3" w:rsidRPr="00BB5519" w:rsidRDefault="008233B3" w:rsidP="008233B3">
      <w:pPr>
        <w:tabs>
          <w:tab w:val="left" w:pos="1440"/>
        </w:tabs>
        <w:spacing w:after="60"/>
        <w:ind w:left="720"/>
        <w:rPr>
          <w:lang w:val="de-DE"/>
        </w:rPr>
      </w:pPr>
      <w:r w:rsidRPr="00BB5519">
        <w:rPr>
          <w:rFonts w:eastAsia="Calibri" w:cs="Tahoma"/>
          <w:b/>
          <w:color w:val="000000"/>
          <w:szCs w:val="18"/>
          <w:lang w:val="de-DE"/>
        </w:rPr>
        <w:t>Für Kunden mit aktiver Software Assurance, die nicht verlängern möchten</w:t>
      </w:r>
    </w:p>
    <w:p w:rsidR="008233B3" w:rsidRPr="00BB5519" w:rsidRDefault="008233B3" w:rsidP="008233B3">
      <w:pPr>
        <w:tabs>
          <w:tab w:val="left" w:pos="1440"/>
        </w:tabs>
        <w:ind w:left="720"/>
        <w:rPr>
          <w:lang w:val="de-DE"/>
        </w:rPr>
      </w:pPr>
      <w:r w:rsidRPr="00BB5519">
        <w:rPr>
          <w:rFonts w:eastAsia="Calibri" w:cs="Tahoma"/>
          <w:color w:val="000000"/>
          <w:szCs w:val="18"/>
          <w:lang w:val="de-DE"/>
        </w:rPr>
        <w:t xml:space="preserve">Konzern-Abonnement- </w:t>
      </w:r>
      <w:r w:rsidRPr="00BB5519">
        <w:rPr>
          <w:rFonts w:cs="Tahoma"/>
          <w:bCs/>
          <w:color w:val="000000"/>
          <w:szCs w:val="18"/>
          <w:lang w:val="de-DE"/>
        </w:rPr>
        <w:t>und Open Value Subscription-</w:t>
      </w:r>
      <w:r w:rsidRPr="00BB5519">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von Software Assurance entscheiden, sind berechtigt, BizTalk Server 2010 oder BizTalk Server 2013 wie folgt unter diesen Lizenzen auszuführen:</w:t>
      </w:r>
    </w:p>
    <w:p w:rsidR="008233B3" w:rsidRPr="00BB5519" w:rsidRDefault="008233B3" w:rsidP="008233B3">
      <w:pPr>
        <w:tabs>
          <w:tab w:val="left" w:pos="1440"/>
        </w:tabs>
        <w:ind w:left="720"/>
        <w:rPr>
          <w:lang w:val="de-DE"/>
        </w:rPr>
      </w:pPr>
    </w:p>
    <w:p w:rsidR="008233B3" w:rsidRPr="00BB5519" w:rsidRDefault="008233B3" w:rsidP="00F4605A">
      <w:pPr>
        <w:numPr>
          <w:ilvl w:val="0"/>
          <w:numId w:val="67"/>
        </w:numPr>
        <w:spacing w:after="60"/>
        <w:ind w:left="1440"/>
        <w:rPr>
          <w:lang w:val="de-DE"/>
        </w:rPr>
      </w:pPr>
      <w:r w:rsidRPr="00BB5519">
        <w:rPr>
          <w:rFonts w:eastAsia="Calibri" w:cs="Tahoma"/>
          <w:b/>
          <w:color w:val="000000"/>
          <w:szCs w:val="18"/>
          <w:lang w:val="de-DE"/>
        </w:rPr>
        <w:t>BizTalk Server 2010 Branch:</w:t>
      </w:r>
      <w:r w:rsidRPr="00BB5519">
        <w:rPr>
          <w:rFonts w:eastAsia="Calibri" w:cs="Tahoma"/>
          <w:color w:val="000000"/>
          <w:szCs w:val="18"/>
          <w:lang w:val="de-DE"/>
        </w:rPr>
        <w:t xml:space="preserve"> Die kontinuierliche Verwendung dieser Version der Software unterliegt den Produktbenutzungsrechten für BizTalk Server 2010 Branch-Prozessorlizenzen, jedoch</w:t>
      </w:r>
      <w:r w:rsidR="00F4605A">
        <w:rPr>
          <w:rFonts w:eastAsia="Calibri" w:cs="Tahoma"/>
          <w:color w:val="000000"/>
          <w:szCs w:val="18"/>
          <w:lang w:val="de-DE"/>
        </w:rPr>
        <w:t> </w:t>
      </w:r>
      <w:r w:rsidRPr="00BB5519">
        <w:rPr>
          <w:rFonts w:eastAsia="Calibri" w:cs="Tahoma"/>
          <w:color w:val="000000"/>
          <w:szCs w:val="18"/>
          <w:lang w:val="de-DE"/>
        </w:rPr>
        <w:t>verfügen die Kunden nicht mehr über die Lizenzmobilität durch Software Assurance.</w:t>
      </w:r>
    </w:p>
    <w:p w:rsidR="008233B3" w:rsidRPr="00BB5519" w:rsidRDefault="008233B3" w:rsidP="008233B3">
      <w:pPr>
        <w:numPr>
          <w:ilvl w:val="0"/>
          <w:numId w:val="67"/>
        </w:numPr>
        <w:tabs>
          <w:tab w:val="left" w:pos="1800"/>
        </w:tabs>
        <w:spacing w:after="60"/>
        <w:ind w:left="1440"/>
        <w:rPr>
          <w:lang w:val="de-DE"/>
        </w:rPr>
      </w:pPr>
      <w:r w:rsidRPr="00BB5519">
        <w:rPr>
          <w:rFonts w:eastAsia="Calibri" w:cs="Tahoma"/>
          <w:b/>
          <w:color w:val="000000"/>
          <w:szCs w:val="18"/>
          <w:lang w:val="de-DE"/>
        </w:rPr>
        <w:t>BizTalk Server 2013 Branch:</w:t>
      </w:r>
      <w:r w:rsidRPr="00F4605A">
        <w:rPr>
          <w:rFonts w:eastAsia="Calibri" w:cs="Tahoma"/>
          <w:bCs/>
          <w:color w:val="000000"/>
          <w:szCs w:val="18"/>
          <w:lang w:val="de-DE"/>
        </w:rPr>
        <w:t xml:space="preserve"> </w:t>
      </w:r>
      <w:r w:rsidRPr="00BB5519">
        <w:rPr>
          <w:rFonts w:eastAsia="Calibri" w:cs="Tahoma"/>
          <w:color w:val="000000"/>
          <w:szCs w:val="18"/>
          <w:lang w:val="de-DE"/>
        </w:rPr>
        <w:t xml:space="preserve">Die Verwendung dieser Version der Software unterliegt den Produktbenutzungsrechten fürBizTalk Server 2010 Branch -Prozessorlizenzen, jedoch mit folgenden Einschränkungen: </w:t>
      </w:r>
    </w:p>
    <w:p w:rsidR="008233B3" w:rsidRPr="00BB5519" w:rsidRDefault="008233B3" w:rsidP="00F4605A">
      <w:pPr>
        <w:keepNext/>
        <w:keepLines/>
        <w:numPr>
          <w:ilvl w:val="1"/>
          <w:numId w:val="67"/>
        </w:numPr>
        <w:tabs>
          <w:tab w:val="left" w:pos="2160"/>
        </w:tabs>
        <w:spacing w:after="60"/>
        <w:ind w:left="2160"/>
        <w:rPr>
          <w:lang w:val="de-DE"/>
        </w:rPr>
      </w:pPr>
      <w:r w:rsidRPr="00BB5519">
        <w:rPr>
          <w:rFonts w:eastAsia="Calibri" w:cs="Tahoma"/>
          <w:color w:val="000000"/>
          <w:szCs w:val="18"/>
          <w:lang w:val="de-DE"/>
        </w:rPr>
        <w:lastRenderedPageBreak/>
        <w:t xml:space="preserve">Kunden verfügen nicht mehr über die Lizenzmobilität innerhalb von Serverfarmen oder Lizenzmobilität durch Software Assurance, und </w:t>
      </w:r>
    </w:p>
    <w:p w:rsidR="008233B3" w:rsidRPr="00BB5519" w:rsidRDefault="008233B3" w:rsidP="008233B3">
      <w:pPr>
        <w:numPr>
          <w:ilvl w:val="1"/>
          <w:numId w:val="67"/>
        </w:numPr>
        <w:tabs>
          <w:tab w:val="left" w:pos="2160"/>
          <w:tab w:val="left" w:pos="2970"/>
        </w:tabs>
        <w:spacing w:after="60"/>
        <w:ind w:left="2160"/>
      </w:pPr>
      <w:r w:rsidRPr="00BB5519">
        <w:rPr>
          <w:rFonts w:eastAsia="Calibri" w:cs="Tahoma"/>
          <w:color w:val="000000"/>
          <w:szCs w:val="18"/>
          <w:lang w:val="de-DE"/>
        </w:rPr>
        <w:t xml:space="preserve">Neuzuweisungen von Lizenzen unterliegen den Beschränkungen unten in Bezug auf ihre „Core-Lizenzäquivalenz“. </w:t>
      </w:r>
      <w:r w:rsidRPr="00BB5519">
        <w:rPr>
          <w:rFonts w:eastAsia="Calibri" w:cs="Tahoma"/>
          <w:color w:val="000000"/>
          <w:szCs w:val="18"/>
        </w:rPr>
        <w:t xml:space="preserve">Die Core-Lizenzäquivalenz wird wie folgt bestimmt. </w:t>
      </w:r>
    </w:p>
    <w:p w:rsidR="008233B3" w:rsidRPr="00BB5519" w:rsidRDefault="008233B3" w:rsidP="00F4605A">
      <w:pPr>
        <w:numPr>
          <w:ilvl w:val="2"/>
          <w:numId w:val="67"/>
        </w:numPr>
        <w:tabs>
          <w:tab w:val="left" w:pos="2520"/>
        </w:tabs>
        <w:spacing w:after="60"/>
        <w:ind w:left="2520"/>
        <w:rPr>
          <w:lang w:val="de-DE"/>
        </w:rPr>
      </w:pPr>
      <w:r w:rsidRPr="00BB5519">
        <w:rPr>
          <w:rFonts w:eastAsia="Calibri" w:cs="Tahoma"/>
          <w:color w:val="000000"/>
          <w:szCs w:val="18"/>
          <w:lang w:val="de-DE"/>
        </w:rPr>
        <w:t>Für jede qualifizierende Lizenz, die dem Server zugewiesen wurde, handelt es sich bei</w:t>
      </w:r>
      <w:r w:rsidR="00F4605A">
        <w:rPr>
          <w:rFonts w:eastAsia="Calibri" w:cs="Tahoma"/>
          <w:color w:val="000000"/>
          <w:szCs w:val="18"/>
          <w:lang w:val="de-DE"/>
        </w:rPr>
        <w:t> </w:t>
      </w:r>
      <w:r w:rsidRPr="00BB5519">
        <w:rPr>
          <w:rFonts w:eastAsia="Calibri" w:cs="Tahoma"/>
          <w:color w:val="000000"/>
          <w:szCs w:val="18"/>
          <w:lang w:val="de-DE"/>
        </w:rPr>
        <w:t xml:space="preserve">der Core-Lizenzäquivalenz um den jeweils größeren der folgenden Werte: </w:t>
      </w:r>
    </w:p>
    <w:p w:rsidR="008233B3" w:rsidRPr="00BB5519" w:rsidRDefault="008233B3" w:rsidP="008233B3">
      <w:pPr>
        <w:numPr>
          <w:ilvl w:val="4"/>
          <w:numId w:val="155"/>
        </w:numPr>
        <w:tabs>
          <w:tab w:val="left" w:pos="2880"/>
        </w:tabs>
        <w:spacing w:after="60"/>
        <w:ind w:left="2880"/>
      </w:pPr>
      <w:r w:rsidRPr="00BB5519">
        <w:rPr>
          <w:rFonts w:eastAsia="Calibri" w:cs="Tahoma"/>
          <w:color w:val="000000"/>
          <w:szCs w:val="18"/>
        </w:rPr>
        <w:t xml:space="preserve">vier Cores pro Prozessorlizenz ODER </w:t>
      </w:r>
    </w:p>
    <w:p w:rsidR="008233B3" w:rsidRPr="00BB5519" w:rsidRDefault="008233B3" w:rsidP="008233B3">
      <w:pPr>
        <w:numPr>
          <w:ilvl w:val="4"/>
          <w:numId w:val="155"/>
        </w:numPr>
        <w:tabs>
          <w:tab w:val="left" w:pos="2880"/>
        </w:tabs>
        <w:spacing w:after="60"/>
        <w:ind w:left="2880"/>
        <w:rPr>
          <w:lang w:val="de-DE"/>
        </w:rPr>
      </w:pPr>
      <w:r w:rsidRPr="00BB5519">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BB5519" w:rsidRDefault="008233B3" w:rsidP="008233B3">
      <w:pPr>
        <w:numPr>
          <w:ilvl w:val="1"/>
          <w:numId w:val="157"/>
        </w:numPr>
        <w:tabs>
          <w:tab w:val="left" w:pos="1800"/>
        </w:tabs>
        <w:spacing w:after="60"/>
        <w:rPr>
          <w:lang w:val="de-DE"/>
        </w:rPr>
      </w:pPr>
      <w:r w:rsidRPr="00BB5519">
        <w:rPr>
          <w:rFonts w:eastAsia="Calibri" w:cs="Tahoma"/>
          <w:color w:val="000000"/>
          <w:szCs w:val="18"/>
          <w:lang w:val="de-DE"/>
        </w:rPr>
        <w:t xml:space="preserve">Kunden </w:t>
      </w:r>
      <w:r w:rsidRPr="00BB5519">
        <w:rPr>
          <w:rFonts w:eastAsia="Calibri" w:cs="Tahoma"/>
          <w:szCs w:val="18"/>
          <w:lang w:val="de-DE"/>
        </w:rPr>
        <w:t>sind berechtigt, Lizenzen einem anderen Server neu zuzuweisen. Wenn der Kunde jedoch eine Lizenz einem anderen Server neu zuweist, muss der Kunde die Nutzungsrechte für BizTalk Server 2013 befolgen. Beim Zuweisen von Core-Lizenzen zu Servern unter den Nutzungsrechten für BizTalk 2013 ist der Kunde berechtigt, die Core-Äquivalenz seiner vorhandenen Lizenzen mit zusätzlichen Core-Lizenzen für BizTalk Server 2013 zu kombinieren.</w:t>
      </w:r>
    </w:p>
    <w:p w:rsidR="008233B3" w:rsidRPr="00BB5519" w:rsidRDefault="008233B3" w:rsidP="008233B3">
      <w:pPr>
        <w:numPr>
          <w:ilvl w:val="1"/>
          <w:numId w:val="157"/>
        </w:numPr>
        <w:tabs>
          <w:tab w:val="left" w:pos="1800"/>
          <w:tab w:val="left" w:pos="2970"/>
        </w:tabs>
        <w:spacing w:after="60"/>
        <w:rPr>
          <w:lang w:val="de-DE"/>
        </w:rPr>
      </w:pPr>
      <w:r w:rsidRPr="00BB5519">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8233B3" w:rsidRPr="00BB5519" w:rsidRDefault="008233B3" w:rsidP="008233B3">
      <w:pPr>
        <w:ind w:left="1440"/>
        <w:rPr>
          <w:lang w:val="de-DE"/>
        </w:rPr>
      </w:pPr>
    </w:p>
    <w:p w:rsidR="008233B3" w:rsidRPr="00BB5519" w:rsidRDefault="008233B3" w:rsidP="008233B3">
      <w:pPr>
        <w:tabs>
          <w:tab w:val="left" w:pos="720"/>
        </w:tabs>
        <w:spacing w:after="60"/>
        <w:ind w:left="720"/>
        <w:rPr>
          <w:lang w:val="de-DE"/>
        </w:rPr>
      </w:pPr>
      <w:r w:rsidRPr="00BB5519">
        <w:rPr>
          <w:b/>
          <w:lang w:val="de-DE"/>
        </w:rPr>
        <w:t>Für Kunden in der Volksrepublik</w:t>
      </w:r>
      <w:r w:rsidRPr="00BB5519">
        <w:rPr>
          <w:lang w:val="de-DE"/>
        </w:rPr>
        <w:t xml:space="preserve"> </w:t>
      </w:r>
      <w:r w:rsidRPr="00BB5519">
        <w:rPr>
          <w:b/>
          <w:lang w:val="de-DE"/>
        </w:rPr>
        <w:t>China, die dort Prozessorlizenzen und Software Assurance für BizTalk Server 2010 erwerben</w:t>
      </w:r>
    </w:p>
    <w:p w:rsidR="008233B3" w:rsidRPr="00BB5519" w:rsidRDefault="008233B3" w:rsidP="008233B3">
      <w:pPr>
        <w:tabs>
          <w:tab w:val="left" w:pos="720"/>
        </w:tabs>
        <w:ind w:left="720"/>
        <w:rPr>
          <w:lang w:val="de-DE"/>
        </w:rPr>
      </w:pPr>
      <w:r w:rsidRPr="00BB5519">
        <w:rPr>
          <w:lang w:val="de-DE"/>
        </w:rPr>
        <w:t>Die Verweise auf den 1. April 2013 in dieser Produktliste sind nicht anwendbar. Das anwendbare Datum für diese Kunden ist der 1. Mai 2013.</w:t>
      </w:r>
    </w:p>
    <w:p w:rsidR="008233B3" w:rsidRPr="00BB5519" w:rsidRDefault="008233B3" w:rsidP="008233B3">
      <w:pPr>
        <w:rPr>
          <w:lang w:val="de-DE"/>
        </w:rPr>
      </w:pPr>
    </w:p>
    <w:p w:rsidR="008233B3" w:rsidRPr="00BB5519" w:rsidRDefault="004668D9" w:rsidP="008233B3">
      <w:pPr>
        <w:pStyle w:val="Heading3"/>
        <w:rPr>
          <w:lang w:val="de-DE"/>
        </w:rPr>
      </w:pPr>
      <w:bookmarkStart w:id="1184" w:name="_33_BizTalk_Server®"/>
      <w:bookmarkStart w:id="1185" w:name="_Toc354054988"/>
      <w:bookmarkStart w:id="1186" w:name="_Toc343596567"/>
      <w:bookmarkEnd w:id="1184"/>
      <w:r w:rsidRPr="00BB5519">
        <w:rPr>
          <w:rFonts w:ascii="Tahoma" w:hAnsi="Tahoma"/>
          <w:caps/>
          <w:color w:val="F66400"/>
          <w:sz w:val="22"/>
          <w:vertAlign w:val="superscript"/>
          <w:lang w:val="de-DE"/>
        </w:rPr>
        <w:t xml:space="preserve">33 </w:t>
      </w:r>
      <w:r w:rsidRPr="00BB5519">
        <w:rPr>
          <w:rFonts w:ascii="Tahoma" w:hAnsi="Tahoma"/>
          <w:color w:val="F66400"/>
          <w:sz w:val="22"/>
          <w:lang w:val="de-DE"/>
        </w:rPr>
        <w:t>BizTalk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2013 Enterprise</w:t>
      </w:r>
      <w:bookmarkEnd w:id="1185"/>
      <w:r w:rsidRPr="00BB5519">
        <w:rPr>
          <w:rFonts w:ascii="Tahoma" w:hAnsi="Tahoma"/>
          <w:color w:val="F66400"/>
          <w:sz w:val="22"/>
          <w:lang w:val="de-DE"/>
        </w:rPr>
        <w:t xml:space="preserve"> </w:t>
      </w:r>
      <w:bookmarkEnd w:id="1186"/>
    </w:p>
    <w:p w:rsidR="008233B3" w:rsidRPr="00BB5519" w:rsidRDefault="008233B3" w:rsidP="008233B3">
      <w:pPr>
        <w:ind w:left="720"/>
        <w:rPr>
          <w:lang w:val="de-DE"/>
        </w:rPr>
      </w:pPr>
    </w:p>
    <w:p w:rsidR="008233B3" w:rsidRPr="00BB5519" w:rsidRDefault="008233B3" w:rsidP="008233B3">
      <w:pPr>
        <w:spacing w:after="60"/>
        <w:ind w:left="720"/>
        <w:rPr>
          <w:lang w:val="de-DE"/>
        </w:rPr>
      </w:pPr>
      <w:r w:rsidRPr="00BB5519">
        <w:rPr>
          <w:rFonts w:eastAsia="Calibri" w:cs="Tahoma"/>
          <w:b/>
          <w:color w:val="000000"/>
          <w:szCs w:val="18"/>
          <w:lang w:val="de-DE"/>
        </w:rPr>
        <w:t>Lizenzgewährungen im Zusammenhang mit der Änderung des Lizenzmodells</w:t>
      </w:r>
    </w:p>
    <w:p w:rsidR="008233B3" w:rsidRPr="00BB5519" w:rsidRDefault="008233B3" w:rsidP="008233B3">
      <w:pPr>
        <w:ind w:left="720"/>
        <w:rPr>
          <w:lang w:val="de-DE"/>
        </w:rPr>
      </w:pPr>
      <w:r w:rsidRPr="00BB5519">
        <w:rPr>
          <w:rFonts w:eastAsia="Calibri" w:cs="Tahoma"/>
          <w:color w:val="000000"/>
          <w:szCs w:val="18"/>
          <w:lang w:val="de-DE"/>
        </w:rPr>
        <w:t>BizTalk Server 2010 ist die letzte Version von BizTalk Server, die unter dem Pro-Prozessor-Lizenzmodell lizenziert wird.</w:t>
      </w:r>
      <w:r w:rsidR="009E4976" w:rsidRPr="00BB5519">
        <w:rPr>
          <w:rFonts w:eastAsia="Calibri" w:cs="Tahoma"/>
          <w:color w:val="000000"/>
          <w:szCs w:val="18"/>
          <w:lang w:val="de-DE"/>
        </w:rPr>
        <w:t xml:space="preserve"> </w:t>
      </w:r>
      <w:r w:rsidRPr="00BB5519">
        <w:rPr>
          <w:rFonts w:eastAsia="Calibri" w:cs="Tahoma"/>
          <w:color w:val="000000"/>
          <w:szCs w:val="18"/>
          <w:lang w:val="de-DE"/>
        </w:rPr>
        <w:t>Als Ausnahme erhalten Volumenlizenzkunden, die am 1. April 2013 über aktive Software Assurance für BizTalk Server 2010 Enterprise-Prozessorlizenzen („qualifizierende Lizenzen“) verfügen, die folgenden Optionen. BizTalk Server 2010 Enterprise-Prozessor</w:t>
      </w:r>
      <w:r w:rsidRPr="00BB5519">
        <w:rPr>
          <w:rFonts w:cs="Tahoma"/>
          <w:bCs/>
          <w:color w:val="000000"/>
          <w:szCs w:val="18"/>
          <w:lang w:val="de-DE"/>
        </w:rPr>
        <w:t>lizenzen, die danach unter derselben Laufzeit des Beitritts, jedoch im Rahmen eines Konzern-, Konzern-Abonnement-, Open Value Subscription-Prozesses oder des geplanten jährlichen True Up-Prozesses des EES-Kunden erworben werden, sind ebenfalls qualifizierende Lizenzen im Sinne dieser Optionen.</w:t>
      </w:r>
      <w:r w:rsidR="009E4976" w:rsidRPr="00BB5519">
        <w:rPr>
          <w:rFonts w:cs="Tahoma"/>
          <w:bCs/>
          <w:color w:val="000000"/>
          <w:szCs w:val="18"/>
          <w:lang w:val="de-DE"/>
        </w:rPr>
        <w:t xml:space="preserve"> </w:t>
      </w:r>
      <w:r w:rsidRPr="00BB5519">
        <w:rPr>
          <w:rFonts w:cs="Tahoma"/>
          <w:bCs/>
          <w:color w:val="000000"/>
          <w:szCs w:val="18"/>
          <w:lang w:val="de-DE"/>
        </w:rPr>
        <w:t>Lizenzen, die im Rahmen einer nachfolgenden Laufzeit des Beitritts, eines separaten Vertrags oder eines Beitritts mit einem Wirksamkeitsdatum nach dem 1. April 2013 erworben wurden, sind keine qualifizierenden Lizenzen.</w:t>
      </w:r>
    </w:p>
    <w:p w:rsidR="008233B3" w:rsidRPr="00BB5519" w:rsidRDefault="008233B3" w:rsidP="008233B3">
      <w:pPr>
        <w:ind w:left="720"/>
        <w:rPr>
          <w:lang w:val="de-DE"/>
        </w:rPr>
      </w:pPr>
    </w:p>
    <w:p w:rsidR="008233B3" w:rsidRPr="00BB5519" w:rsidRDefault="008233B3" w:rsidP="008233B3">
      <w:pPr>
        <w:spacing w:after="60"/>
        <w:ind w:left="720"/>
        <w:rPr>
          <w:lang w:val="de-DE"/>
        </w:rPr>
      </w:pPr>
      <w:r w:rsidRPr="00BB5519">
        <w:rPr>
          <w:rFonts w:eastAsia="Calibri" w:cs="Tahoma"/>
          <w:b/>
          <w:color w:val="000000"/>
          <w:szCs w:val="18"/>
          <w:lang w:val="de-DE"/>
        </w:rPr>
        <w:t>Aktuelle Laufzeit</w:t>
      </w:r>
    </w:p>
    <w:p w:rsidR="008233B3" w:rsidRPr="00BB5519" w:rsidRDefault="008233B3" w:rsidP="008233B3">
      <w:pPr>
        <w:ind w:left="720"/>
        <w:rPr>
          <w:lang w:val="de-DE"/>
        </w:rPr>
      </w:pPr>
      <w:r w:rsidRPr="00BB5519">
        <w:rPr>
          <w:rFonts w:eastAsia="Calibri" w:cs="Tahoma"/>
          <w:color w:val="000000"/>
          <w:szCs w:val="18"/>
          <w:lang w:val="de-DE"/>
        </w:rPr>
        <w:t xml:space="preserve">Während der aktuellen Laufzeit ihrer Software Assurance zum 1. April 2013 sind Kunden (einschließlich Kunden mit Abonnementverträgen) unter qualifizierenden Lizenzen berechtigt, vorbehaltlich der Produktbenutzungsrechte für BizTalk Server 2010 Enterprise-Prozessorlizenzen (wie in den Produktbenutzungsrechten von Januar 2013 dargestellt) auf BizTalk Server 2013 Enterprise-Software anstelle von BizTalk Server 2010 Enterprise upzugraden und diese zu verwenden. </w:t>
      </w:r>
    </w:p>
    <w:p w:rsidR="008233B3" w:rsidRPr="00BB5519" w:rsidRDefault="008233B3" w:rsidP="008233B3">
      <w:pPr>
        <w:ind w:left="720"/>
        <w:rPr>
          <w:lang w:val="de-DE"/>
        </w:rPr>
      </w:pPr>
    </w:p>
    <w:p w:rsidR="008233B3" w:rsidRPr="00BB5519" w:rsidRDefault="008233B3" w:rsidP="008233B3">
      <w:pPr>
        <w:spacing w:after="60"/>
        <w:ind w:left="720"/>
        <w:rPr>
          <w:lang w:val="de-DE"/>
        </w:rPr>
      </w:pPr>
      <w:r w:rsidRPr="00BB5519">
        <w:rPr>
          <w:rFonts w:eastAsia="Calibri" w:cs="Tahoma"/>
          <w:b/>
          <w:color w:val="000000"/>
          <w:szCs w:val="18"/>
          <w:lang w:val="de-DE"/>
        </w:rPr>
        <w:t>Erster Verlängerungszeitraum</w:t>
      </w:r>
    </w:p>
    <w:p w:rsidR="008233B3" w:rsidRPr="00BB5519" w:rsidRDefault="008233B3" w:rsidP="008233B3">
      <w:pPr>
        <w:tabs>
          <w:tab w:val="left" w:pos="1800"/>
        </w:tabs>
        <w:spacing w:after="60"/>
        <w:ind w:left="720"/>
        <w:rPr>
          <w:lang w:val="de-DE"/>
        </w:rPr>
      </w:pPr>
      <w:r w:rsidRPr="00BB5519">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Enterprise-Core-Lizenzen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BB5519" w:rsidRDefault="008233B3" w:rsidP="008233B3">
      <w:pPr>
        <w:numPr>
          <w:ilvl w:val="3"/>
          <w:numId w:val="112"/>
        </w:numPr>
        <w:tabs>
          <w:tab w:val="left" w:pos="2160"/>
        </w:tabs>
        <w:spacing w:after="60"/>
        <w:ind w:left="2160"/>
      </w:pPr>
      <w:r w:rsidRPr="00BB5519">
        <w:rPr>
          <w:rFonts w:eastAsia="Calibri" w:cs="Tahoma"/>
          <w:color w:val="000000"/>
          <w:szCs w:val="18"/>
        </w:rPr>
        <w:lastRenderedPageBreak/>
        <w:t>vier ODER</w:t>
      </w:r>
    </w:p>
    <w:p w:rsidR="008233B3" w:rsidRPr="00BB5519" w:rsidRDefault="008233B3" w:rsidP="00021BF7">
      <w:pPr>
        <w:keepNext/>
        <w:keepLines/>
        <w:numPr>
          <w:ilvl w:val="3"/>
          <w:numId w:val="112"/>
        </w:numPr>
        <w:tabs>
          <w:tab w:val="left" w:pos="2160"/>
        </w:tabs>
        <w:spacing w:after="60"/>
        <w:ind w:left="2160"/>
        <w:rPr>
          <w:lang w:val="de-DE"/>
        </w:rPr>
      </w:pPr>
      <w:r w:rsidRPr="00BB5519">
        <w:rPr>
          <w:rFonts w:eastAsia="Calibri" w:cs="Tahoma"/>
          <w:color w:val="000000"/>
          <w:szCs w:val="18"/>
          <w:lang w:val="de-DE"/>
        </w:rPr>
        <w:t>der tatsächlichen Anzahl von Cores pro physischem Prozessor multipliziert mit dem entsprechenden Core-Faktor.</w:t>
      </w:r>
      <w:r w:rsidR="009E4976" w:rsidRPr="00BB5519">
        <w:rPr>
          <w:rFonts w:eastAsia="Calibri" w:cs="Tahoma"/>
          <w:color w:val="000000"/>
          <w:szCs w:val="18"/>
          <w:lang w:val="de-DE"/>
        </w:rPr>
        <w:t xml:space="preserve"> </w:t>
      </w:r>
      <w:r w:rsidRPr="00BB5519">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BB5519" w:rsidRDefault="008233B3" w:rsidP="008233B3">
      <w:pPr>
        <w:tabs>
          <w:tab w:val="left" w:pos="1800"/>
        </w:tabs>
        <w:ind w:left="1080"/>
        <w:rPr>
          <w:lang w:val="de-DE"/>
        </w:rPr>
      </w:pPr>
    </w:p>
    <w:p w:rsidR="008233B3" w:rsidRPr="00BB5519" w:rsidRDefault="008233B3" w:rsidP="008233B3">
      <w:pPr>
        <w:spacing w:after="60"/>
        <w:ind w:left="720"/>
        <w:rPr>
          <w:lang w:val="de-DE"/>
        </w:rPr>
      </w:pPr>
      <w:r w:rsidRPr="00BB5519">
        <w:rPr>
          <w:rFonts w:eastAsia="Calibri" w:cs="Tahoma"/>
          <w:color w:val="000000"/>
          <w:szCs w:val="18"/>
          <w:lang w:val="de-DE"/>
        </w:rPr>
        <w:t xml:space="preserve">Die Prozessorlizenzen des Kunden sind bei Erwerb von Software Assurance für Core-Lizenzen unter diesem Angebot nicht mehr gültig. </w:t>
      </w:r>
      <w:r w:rsidRPr="00BB5519">
        <w:rPr>
          <w:rFonts w:eastAsia="Calibri" w:cs="Tahoma"/>
          <w:szCs w:val="18"/>
          <w:lang w:val="de-DE"/>
        </w:rPr>
        <w:t>Die Option zum Erwerb von Core-Lizenzen für Software Assurance für BizTalk Server ist nicht auf die Software Assurance-Verlängerung unter Abonnementprogrammen anwendbar.</w:t>
      </w:r>
      <w:r w:rsidR="009E4976" w:rsidRPr="00BB5519">
        <w:rPr>
          <w:rFonts w:eastAsia="Calibri" w:cs="Tahoma"/>
          <w:szCs w:val="18"/>
          <w:lang w:val="de-DE"/>
        </w:rPr>
        <w:t xml:space="preserve"> </w:t>
      </w:r>
    </w:p>
    <w:p w:rsidR="008233B3" w:rsidRPr="00BB5519" w:rsidRDefault="008233B3" w:rsidP="008233B3">
      <w:pPr>
        <w:ind w:left="1440"/>
        <w:rPr>
          <w:lang w:val="de-DE"/>
        </w:rPr>
      </w:pPr>
    </w:p>
    <w:p w:rsidR="008233B3" w:rsidRPr="00BB5519" w:rsidRDefault="008233B3" w:rsidP="008233B3">
      <w:pPr>
        <w:tabs>
          <w:tab w:val="left" w:pos="1440"/>
        </w:tabs>
        <w:spacing w:after="60"/>
        <w:ind w:left="720"/>
        <w:rPr>
          <w:lang w:val="de-DE"/>
        </w:rPr>
      </w:pPr>
      <w:r w:rsidRPr="00BB5519">
        <w:rPr>
          <w:rFonts w:eastAsia="Calibri" w:cs="Tahoma"/>
          <w:b/>
          <w:color w:val="000000"/>
          <w:szCs w:val="18"/>
          <w:lang w:val="de-DE"/>
        </w:rPr>
        <w:t>Für Kunden mit aktiver Software Assurance, die nicht verlängern möchten</w:t>
      </w:r>
    </w:p>
    <w:p w:rsidR="008233B3" w:rsidRPr="00BB5519" w:rsidRDefault="008233B3" w:rsidP="008233B3">
      <w:pPr>
        <w:tabs>
          <w:tab w:val="left" w:pos="1440"/>
        </w:tabs>
        <w:ind w:left="720"/>
        <w:rPr>
          <w:lang w:val="de-DE"/>
        </w:rPr>
      </w:pPr>
      <w:r w:rsidRPr="00BB5519">
        <w:rPr>
          <w:rFonts w:eastAsia="Calibri" w:cs="Tahoma"/>
          <w:color w:val="000000"/>
          <w:szCs w:val="18"/>
          <w:lang w:val="de-DE"/>
        </w:rPr>
        <w:t xml:space="preserve">Konzern-Abonnement- </w:t>
      </w:r>
      <w:r w:rsidRPr="00BB5519">
        <w:rPr>
          <w:rFonts w:cs="Tahoma"/>
          <w:bCs/>
          <w:color w:val="000000"/>
          <w:szCs w:val="18"/>
          <w:lang w:val="de-DE"/>
        </w:rPr>
        <w:t>und Open Value Subscription-</w:t>
      </w:r>
      <w:r w:rsidRPr="00BB5519">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von Software Assurance entscheiden, sind berechtigt, BizTalk Server 2010 oder BizTalk Server 2013 wie folgt unter diesen Lizenzen auszuführen:</w:t>
      </w:r>
    </w:p>
    <w:p w:rsidR="008233B3" w:rsidRPr="00BB5519" w:rsidRDefault="008233B3" w:rsidP="008233B3">
      <w:pPr>
        <w:tabs>
          <w:tab w:val="left" w:pos="1440"/>
        </w:tabs>
        <w:ind w:left="720"/>
        <w:rPr>
          <w:lang w:val="de-DE"/>
        </w:rPr>
      </w:pPr>
    </w:p>
    <w:p w:rsidR="008233B3" w:rsidRPr="00BB5519" w:rsidRDefault="008233B3" w:rsidP="008233B3">
      <w:pPr>
        <w:numPr>
          <w:ilvl w:val="0"/>
          <w:numId w:val="67"/>
        </w:numPr>
        <w:spacing w:after="60"/>
        <w:ind w:left="1440"/>
        <w:rPr>
          <w:lang w:val="de-DE"/>
        </w:rPr>
      </w:pPr>
      <w:r w:rsidRPr="00BB5519">
        <w:rPr>
          <w:rFonts w:eastAsia="Calibri" w:cs="Tahoma"/>
          <w:b/>
          <w:color w:val="000000"/>
          <w:szCs w:val="18"/>
          <w:lang w:val="de-DE"/>
        </w:rPr>
        <w:t>BizTalk Server 2010 Enterprise:</w:t>
      </w:r>
      <w:r w:rsidRPr="00BB5519">
        <w:rPr>
          <w:rFonts w:eastAsia="Calibri" w:cs="Tahoma"/>
          <w:color w:val="000000"/>
          <w:szCs w:val="18"/>
          <w:lang w:val="de-DE"/>
        </w:rPr>
        <w:t xml:space="preserve"> Die kontinuierliche Verwendung dieser Version der Software unterliegt den Produktbenutzungsrechten für BizTalk Server 2010 Enterprise-Prozessorlizenzen, jedoch verfügen die Kunden nicht mehr über die Lizenzmobilität durch Software Assurance.</w:t>
      </w:r>
    </w:p>
    <w:p w:rsidR="008233B3" w:rsidRPr="00BB5519" w:rsidRDefault="008233B3" w:rsidP="008233B3">
      <w:pPr>
        <w:numPr>
          <w:ilvl w:val="0"/>
          <w:numId w:val="67"/>
        </w:numPr>
        <w:tabs>
          <w:tab w:val="left" w:pos="1800"/>
        </w:tabs>
        <w:spacing w:after="60"/>
        <w:ind w:left="1440"/>
        <w:rPr>
          <w:lang w:val="de-DE"/>
        </w:rPr>
      </w:pPr>
      <w:r w:rsidRPr="00BB5519">
        <w:rPr>
          <w:rFonts w:eastAsia="Calibri" w:cs="Tahoma"/>
          <w:b/>
          <w:color w:val="000000"/>
          <w:szCs w:val="18"/>
          <w:lang w:val="de-DE"/>
        </w:rPr>
        <w:t>BizTalk Server 2013 Enterprise:</w:t>
      </w:r>
      <w:r w:rsidRPr="00F4605A">
        <w:rPr>
          <w:rFonts w:eastAsia="Calibri" w:cs="Tahoma"/>
          <w:bCs/>
          <w:color w:val="000000"/>
          <w:szCs w:val="18"/>
          <w:lang w:val="de-DE"/>
        </w:rPr>
        <w:t xml:space="preserve"> </w:t>
      </w:r>
      <w:r w:rsidRPr="00BB5519">
        <w:rPr>
          <w:rFonts w:eastAsia="Calibri" w:cs="Tahoma"/>
          <w:color w:val="000000"/>
          <w:szCs w:val="18"/>
          <w:lang w:val="de-DE"/>
        </w:rPr>
        <w:t xml:space="preserve">Die Verwendung dieser Version der Software unterliegt den Produktbenutzungsrechten für BizTalk Server 2010 Enterprise-Prozessorlizenzen, jedoch mit folgenden Einschränkungen: </w:t>
      </w:r>
    </w:p>
    <w:p w:rsidR="008233B3" w:rsidRPr="00BB5519" w:rsidRDefault="008233B3" w:rsidP="008233B3">
      <w:pPr>
        <w:numPr>
          <w:ilvl w:val="1"/>
          <w:numId w:val="67"/>
        </w:numPr>
        <w:tabs>
          <w:tab w:val="left" w:pos="2160"/>
        </w:tabs>
        <w:spacing w:after="60"/>
        <w:ind w:left="2160"/>
        <w:rPr>
          <w:lang w:val="de-DE"/>
        </w:rPr>
      </w:pPr>
      <w:r w:rsidRPr="00BB5519">
        <w:rPr>
          <w:rFonts w:eastAsia="Calibri" w:cs="Tahoma"/>
          <w:color w:val="000000"/>
          <w:szCs w:val="18"/>
          <w:lang w:val="de-DE"/>
        </w:rPr>
        <w:t xml:space="preserve">Kunden verfügen nicht mehr über die Lizenzmobilität innerhalb von Serverfarmen oder Lizenzmobilität durch Software Assurance, und </w:t>
      </w:r>
    </w:p>
    <w:p w:rsidR="008233B3" w:rsidRPr="00BB5519" w:rsidRDefault="008233B3" w:rsidP="008233B3">
      <w:pPr>
        <w:numPr>
          <w:ilvl w:val="1"/>
          <w:numId w:val="67"/>
        </w:numPr>
        <w:tabs>
          <w:tab w:val="left" w:pos="2160"/>
          <w:tab w:val="left" w:pos="2970"/>
        </w:tabs>
        <w:spacing w:after="60"/>
        <w:ind w:left="2160"/>
      </w:pPr>
      <w:r w:rsidRPr="00BB5519">
        <w:rPr>
          <w:rFonts w:eastAsia="Calibri" w:cs="Tahoma"/>
          <w:color w:val="000000"/>
          <w:szCs w:val="18"/>
          <w:lang w:val="de-DE"/>
        </w:rPr>
        <w:t xml:space="preserve">Neuzuweisungen von Lizenzen unterliegen den Beschränkungen unten in Bezug auf ihre „Core-Lizenzäquivalenz“. </w:t>
      </w:r>
      <w:r w:rsidRPr="00BB5519">
        <w:rPr>
          <w:rFonts w:eastAsia="Calibri" w:cs="Tahoma"/>
          <w:color w:val="000000"/>
          <w:szCs w:val="18"/>
        </w:rPr>
        <w:t xml:space="preserve">Die Core-Lizenzäquivalenz wird wie folgt bestimmt. </w:t>
      </w:r>
    </w:p>
    <w:p w:rsidR="008233B3" w:rsidRPr="00BB5519" w:rsidRDefault="008233B3" w:rsidP="008233B3">
      <w:pPr>
        <w:numPr>
          <w:ilvl w:val="2"/>
          <w:numId w:val="67"/>
        </w:numPr>
        <w:tabs>
          <w:tab w:val="left" w:pos="2520"/>
        </w:tabs>
        <w:spacing w:after="60"/>
        <w:ind w:left="2520"/>
        <w:rPr>
          <w:lang w:val="de-DE"/>
        </w:rPr>
      </w:pPr>
      <w:r w:rsidRPr="00BB5519">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8233B3" w:rsidRPr="00BB5519" w:rsidRDefault="008233B3" w:rsidP="008233B3">
      <w:pPr>
        <w:numPr>
          <w:ilvl w:val="4"/>
          <w:numId w:val="155"/>
        </w:numPr>
        <w:tabs>
          <w:tab w:val="left" w:pos="2880"/>
        </w:tabs>
        <w:spacing w:after="60"/>
        <w:ind w:left="2880"/>
      </w:pPr>
      <w:r w:rsidRPr="00BB5519">
        <w:rPr>
          <w:rFonts w:eastAsia="Calibri" w:cs="Tahoma"/>
          <w:color w:val="000000"/>
          <w:szCs w:val="18"/>
        </w:rPr>
        <w:t xml:space="preserve">vier Cores pro Prozessorlizenz ODER </w:t>
      </w:r>
    </w:p>
    <w:p w:rsidR="008233B3" w:rsidRPr="00BB5519" w:rsidRDefault="008233B3" w:rsidP="008233B3">
      <w:pPr>
        <w:numPr>
          <w:ilvl w:val="4"/>
          <w:numId w:val="155"/>
        </w:numPr>
        <w:tabs>
          <w:tab w:val="left" w:pos="2880"/>
        </w:tabs>
        <w:spacing w:after="60"/>
        <w:ind w:left="2880"/>
        <w:rPr>
          <w:lang w:val="de-DE"/>
        </w:rPr>
      </w:pPr>
      <w:r w:rsidRPr="00BB5519">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BB5519" w:rsidRDefault="008233B3" w:rsidP="008233B3">
      <w:pPr>
        <w:numPr>
          <w:ilvl w:val="1"/>
          <w:numId w:val="156"/>
        </w:numPr>
        <w:tabs>
          <w:tab w:val="left" w:pos="1800"/>
        </w:tabs>
        <w:spacing w:after="60"/>
        <w:rPr>
          <w:lang w:val="de-DE"/>
        </w:rPr>
      </w:pPr>
      <w:r w:rsidRPr="00BB5519">
        <w:rPr>
          <w:rFonts w:eastAsia="Calibri" w:cs="Tahoma"/>
          <w:color w:val="000000"/>
          <w:szCs w:val="18"/>
          <w:lang w:val="de-DE"/>
        </w:rPr>
        <w:t>Kunden sind berechtigt, Lizenzen einem anderen Server neu zuzuweisen. Wenn der Kunde jedoch eine Lizenz einem anderen Server neu zuweist, muss der Kunde die Nutzungsrechte für BizTalk Server 2013 befolgen. Beim Zuweisen von Core-Lizenzen zu Servern unter den Nutzungsrechten für BizTalk 2013 ist der Kunde berechtigt, die Core-Äquivalenz seiner vorhandenen Lizenzen mit zusätzlichen Core-Lizenzen für BizTalk Server 2013 zu kombinieren.</w:t>
      </w:r>
    </w:p>
    <w:p w:rsidR="008233B3" w:rsidRPr="00BB5519" w:rsidRDefault="008233B3" w:rsidP="008233B3">
      <w:pPr>
        <w:numPr>
          <w:ilvl w:val="1"/>
          <w:numId w:val="156"/>
        </w:numPr>
        <w:tabs>
          <w:tab w:val="left" w:pos="1800"/>
          <w:tab w:val="left" w:pos="2970"/>
        </w:tabs>
        <w:spacing w:after="60"/>
        <w:rPr>
          <w:lang w:val="de-DE"/>
        </w:rPr>
      </w:pPr>
      <w:r w:rsidRPr="00BB5519">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8233B3" w:rsidRPr="00BB5519" w:rsidRDefault="008233B3" w:rsidP="008233B3">
      <w:pPr>
        <w:ind w:left="1440"/>
        <w:rPr>
          <w:lang w:val="de-DE"/>
        </w:rPr>
      </w:pPr>
    </w:p>
    <w:p w:rsidR="008233B3" w:rsidRPr="00BB5519" w:rsidRDefault="008233B3" w:rsidP="008233B3">
      <w:pPr>
        <w:tabs>
          <w:tab w:val="left" w:pos="720"/>
        </w:tabs>
        <w:spacing w:after="60"/>
        <w:ind w:left="720"/>
        <w:rPr>
          <w:lang w:val="de-DE"/>
        </w:rPr>
      </w:pPr>
      <w:r w:rsidRPr="00BB5519">
        <w:rPr>
          <w:b/>
          <w:lang w:val="de-DE"/>
        </w:rPr>
        <w:t>Für Kunden in der Volksrepublik</w:t>
      </w:r>
      <w:r w:rsidRPr="00BB5519">
        <w:rPr>
          <w:lang w:val="de-DE"/>
        </w:rPr>
        <w:t xml:space="preserve"> </w:t>
      </w:r>
      <w:r w:rsidRPr="00BB5519">
        <w:rPr>
          <w:b/>
          <w:lang w:val="de-DE"/>
        </w:rPr>
        <w:t>China, die dort Prozessorlizenzen und Software Assurance für BizTalk Server 2010 erwerben</w:t>
      </w:r>
    </w:p>
    <w:p w:rsidR="008233B3" w:rsidRPr="00BB5519" w:rsidRDefault="008233B3" w:rsidP="008233B3">
      <w:pPr>
        <w:tabs>
          <w:tab w:val="left" w:pos="720"/>
        </w:tabs>
        <w:ind w:left="720"/>
        <w:rPr>
          <w:lang w:val="de-DE"/>
        </w:rPr>
      </w:pPr>
      <w:r w:rsidRPr="00BB5519">
        <w:rPr>
          <w:lang w:val="de-DE"/>
        </w:rPr>
        <w:t>Die Verweise auf den 1. April 2013 in dieser Produktliste sind nicht anwendbar. Das anwendbare Datum für diese Kunden ist der 1. Mai 2013.</w:t>
      </w:r>
    </w:p>
    <w:p w:rsidR="008233B3" w:rsidRPr="00BB5519" w:rsidRDefault="008233B3" w:rsidP="008233B3">
      <w:pPr>
        <w:ind w:left="720"/>
        <w:rPr>
          <w:lang w:val="de-DE"/>
        </w:rPr>
      </w:pPr>
    </w:p>
    <w:p w:rsidR="008233B3" w:rsidRPr="00BB5519" w:rsidRDefault="004668D9" w:rsidP="00021BF7">
      <w:pPr>
        <w:pStyle w:val="Heading3"/>
        <w:keepNext/>
        <w:keepLines/>
        <w:rPr>
          <w:lang w:val="de-DE"/>
        </w:rPr>
      </w:pPr>
      <w:bookmarkStart w:id="1187" w:name="_34_BizTalk_Server®"/>
      <w:bookmarkStart w:id="1188" w:name="_Toc354054989"/>
      <w:bookmarkStart w:id="1189" w:name="_Toc343596569"/>
      <w:bookmarkEnd w:id="1187"/>
      <w:r w:rsidRPr="00BB5519">
        <w:rPr>
          <w:rFonts w:ascii="Tahoma" w:hAnsi="Tahoma" w:cs="Tahoma"/>
          <w:caps/>
          <w:color w:val="F66400"/>
          <w:sz w:val="22"/>
          <w:vertAlign w:val="superscript"/>
          <w:lang w:val="de-DE"/>
        </w:rPr>
        <w:lastRenderedPageBreak/>
        <w:t>34</w:t>
      </w:r>
      <w:r w:rsidRPr="00BB5519">
        <w:rPr>
          <w:rFonts w:ascii="Tahoma" w:hAnsi="Tahoma" w:cs="Tahoma"/>
          <w:color w:val="F66400"/>
          <w:sz w:val="22"/>
          <w:lang w:val="de-DE"/>
        </w:rPr>
        <w:t xml:space="preserve"> BizTalk Server</w:t>
      </w:r>
      <w:r w:rsidRPr="00BB5519">
        <w:rPr>
          <w:rFonts w:ascii="Tahoma" w:hAnsi="Tahoma" w:cs="Tahoma"/>
          <w:color w:val="F66400"/>
          <w:sz w:val="22"/>
          <w:vertAlign w:val="superscript"/>
          <w:lang w:val="de-DE"/>
        </w:rPr>
        <w:t>®</w:t>
      </w:r>
      <w:r w:rsidRPr="00BB5519">
        <w:rPr>
          <w:rFonts w:ascii="Tahoma" w:hAnsi="Tahoma" w:cs="Tahoma"/>
          <w:color w:val="F66400"/>
          <w:sz w:val="22"/>
          <w:lang w:val="de-DE"/>
        </w:rPr>
        <w:t xml:space="preserve"> 2013 Standard</w:t>
      </w:r>
      <w:bookmarkEnd w:id="1188"/>
      <w:r w:rsidRPr="00BB5519">
        <w:rPr>
          <w:rFonts w:ascii="Tahoma" w:eastAsia="Calibri" w:hAnsi="Tahoma" w:cs="Tahoma"/>
          <w:color w:val="F66400"/>
          <w:sz w:val="22"/>
          <w:szCs w:val="18"/>
          <w:lang w:val="de-DE"/>
        </w:rPr>
        <w:t xml:space="preserve"> </w:t>
      </w:r>
      <w:bookmarkEnd w:id="1189"/>
    </w:p>
    <w:p w:rsidR="008233B3" w:rsidRPr="00BB5519" w:rsidRDefault="008233B3" w:rsidP="00021BF7">
      <w:pPr>
        <w:keepNext/>
        <w:keepLines/>
        <w:rPr>
          <w:lang w:val="de-DE"/>
        </w:rPr>
      </w:pPr>
    </w:p>
    <w:p w:rsidR="008233B3" w:rsidRPr="00BB5519" w:rsidRDefault="008233B3" w:rsidP="008233B3">
      <w:pPr>
        <w:spacing w:after="60"/>
        <w:ind w:left="720"/>
        <w:rPr>
          <w:lang w:val="de-DE"/>
        </w:rPr>
      </w:pPr>
      <w:r w:rsidRPr="00BB5519">
        <w:rPr>
          <w:rFonts w:eastAsia="Calibri" w:cs="Tahoma"/>
          <w:b/>
          <w:color w:val="000000"/>
          <w:szCs w:val="18"/>
          <w:lang w:val="de-DE"/>
        </w:rPr>
        <w:t>Lizenzgewährungen im Zusammenhang mit der Änderung des Lizenzmodells</w:t>
      </w:r>
    </w:p>
    <w:p w:rsidR="008233B3" w:rsidRPr="00BB5519" w:rsidRDefault="008233B3" w:rsidP="009374EE">
      <w:pPr>
        <w:ind w:left="720"/>
        <w:rPr>
          <w:lang w:val="de-DE"/>
        </w:rPr>
      </w:pPr>
      <w:r w:rsidRPr="00BB5519">
        <w:rPr>
          <w:rFonts w:eastAsia="Calibri" w:cs="Tahoma"/>
          <w:color w:val="000000"/>
          <w:szCs w:val="18"/>
          <w:lang w:val="de-DE"/>
        </w:rPr>
        <w:t>BizTalk Server 2010 ist die letzte Version von BizTalk Server, die unter dem Pro-Prozessor-Lizenzmodell lizenziert wird.</w:t>
      </w:r>
      <w:r w:rsidR="009E4976" w:rsidRPr="00BB5519">
        <w:rPr>
          <w:rFonts w:eastAsia="Calibri" w:cs="Tahoma"/>
          <w:color w:val="000000"/>
          <w:szCs w:val="18"/>
          <w:lang w:val="de-DE"/>
        </w:rPr>
        <w:t xml:space="preserve"> </w:t>
      </w:r>
      <w:r w:rsidRPr="00BB5519">
        <w:rPr>
          <w:rFonts w:eastAsia="Calibri" w:cs="Tahoma"/>
          <w:color w:val="000000"/>
          <w:szCs w:val="18"/>
          <w:lang w:val="de-DE"/>
        </w:rPr>
        <w:t>Als Ausnahme erhalten Volumenlizenzkunden, die am 1. April 2013 über aktive Software Assurance für BizTalk Server 2010 Standard-Prozessorlizenzen („qualifizierende Lizenzen“) verfügen, die folgenden Optionen. BizTalk Server 2010 Standard-Prozessor</w:t>
      </w:r>
      <w:r w:rsidRPr="00BB5519">
        <w:rPr>
          <w:rFonts w:cs="Tahoma"/>
          <w:bCs/>
          <w:color w:val="000000"/>
          <w:szCs w:val="18"/>
          <w:lang w:val="de-DE"/>
        </w:rPr>
        <w:t>lizenzen, die danach unter derselben Laufzeit des Beitritts, jedoch im Rahmen eines Konzern-, Konzern-Abonnement-, Open Value Subscription-Prozesses oder des geplanten jährlichen True Up-Prozesses des EES-Kunden erworben werden, sind ebenfalls qualifizierende Lizenzen im Sinne dieser Optionen.</w:t>
      </w:r>
      <w:r w:rsidR="009E4976" w:rsidRPr="00BB5519">
        <w:rPr>
          <w:rFonts w:cs="Tahoma"/>
          <w:bCs/>
          <w:color w:val="000000"/>
          <w:szCs w:val="18"/>
          <w:lang w:val="de-DE"/>
        </w:rPr>
        <w:t xml:space="preserve"> </w:t>
      </w:r>
      <w:r w:rsidRPr="00BB5519">
        <w:rPr>
          <w:rFonts w:cs="Tahoma"/>
          <w:bCs/>
          <w:color w:val="000000"/>
          <w:szCs w:val="18"/>
          <w:lang w:val="de-DE"/>
        </w:rPr>
        <w:t>Lizenzen, die im Rahmen einer nachfolgenden Laufzeit des Beitritts, eines separaten Vertrags oder eines Beitritts mit einem Wirksamkeitsdatum nach dem 1.</w:t>
      </w:r>
      <w:r w:rsidR="009374EE">
        <w:rPr>
          <w:rFonts w:cs="Tahoma"/>
          <w:bCs/>
          <w:color w:val="000000"/>
          <w:szCs w:val="18"/>
          <w:lang w:val="de-DE"/>
        </w:rPr>
        <w:t> </w:t>
      </w:r>
      <w:r w:rsidRPr="00BB5519">
        <w:rPr>
          <w:rFonts w:cs="Tahoma"/>
          <w:bCs/>
          <w:color w:val="000000"/>
          <w:szCs w:val="18"/>
          <w:lang w:val="de-DE"/>
        </w:rPr>
        <w:t>April</w:t>
      </w:r>
      <w:r w:rsidR="009374EE">
        <w:rPr>
          <w:rFonts w:cs="Tahoma"/>
          <w:bCs/>
          <w:color w:val="000000"/>
          <w:szCs w:val="18"/>
          <w:lang w:val="de-DE"/>
        </w:rPr>
        <w:t> </w:t>
      </w:r>
      <w:r w:rsidRPr="00BB5519">
        <w:rPr>
          <w:rFonts w:cs="Tahoma"/>
          <w:bCs/>
          <w:color w:val="000000"/>
          <w:szCs w:val="18"/>
          <w:lang w:val="de-DE"/>
        </w:rPr>
        <w:t>2013 erworben wurden, sind keine qualifizierenden Lizenzen.</w:t>
      </w:r>
    </w:p>
    <w:p w:rsidR="008233B3" w:rsidRPr="00BB5519" w:rsidRDefault="008233B3" w:rsidP="008233B3">
      <w:pPr>
        <w:ind w:left="720"/>
        <w:rPr>
          <w:lang w:val="de-DE"/>
        </w:rPr>
      </w:pPr>
    </w:p>
    <w:p w:rsidR="008233B3" w:rsidRPr="00BB5519" w:rsidRDefault="008233B3" w:rsidP="008233B3">
      <w:pPr>
        <w:spacing w:after="60"/>
        <w:ind w:left="720"/>
        <w:rPr>
          <w:lang w:val="de-DE"/>
        </w:rPr>
      </w:pPr>
      <w:r w:rsidRPr="00BB5519">
        <w:rPr>
          <w:rFonts w:eastAsia="Calibri" w:cs="Tahoma"/>
          <w:b/>
          <w:color w:val="000000"/>
          <w:szCs w:val="18"/>
          <w:lang w:val="de-DE"/>
        </w:rPr>
        <w:t>Aktuelle Laufzeit</w:t>
      </w:r>
    </w:p>
    <w:p w:rsidR="008233B3" w:rsidRPr="00BB5519" w:rsidRDefault="008233B3" w:rsidP="008233B3">
      <w:pPr>
        <w:ind w:left="720"/>
        <w:rPr>
          <w:lang w:val="de-DE"/>
        </w:rPr>
      </w:pPr>
      <w:r w:rsidRPr="00BB5519">
        <w:rPr>
          <w:rFonts w:eastAsia="Calibri" w:cs="Tahoma"/>
          <w:color w:val="000000"/>
          <w:szCs w:val="18"/>
          <w:lang w:val="de-DE"/>
        </w:rPr>
        <w:t xml:space="preserve">Während der aktuellen Laufzeit ihrer Software Assurance zum 1. April 2013 sind Kunden (einschließlich Kunden mit Abonnementverträgen) unter qualifizierenden Lizenzen berechtigt, vorbehaltlich der Produktbenutzungsrechte für BizTalk Server 2010 Standard-Prozessorlizenzen (wie in den Produktbenutzungsrechten von Januar 2013 dargestellt) auf BizTalk Server 2013 Standard Software anstelle von BizTalk Server 2010 Standard upzugraden und diese zu verwenden. </w:t>
      </w:r>
    </w:p>
    <w:p w:rsidR="008233B3" w:rsidRPr="00BB5519" w:rsidRDefault="008233B3" w:rsidP="008233B3">
      <w:pPr>
        <w:ind w:left="720"/>
        <w:rPr>
          <w:lang w:val="de-DE"/>
        </w:rPr>
      </w:pPr>
    </w:p>
    <w:p w:rsidR="008233B3" w:rsidRPr="00BB5519" w:rsidRDefault="008233B3" w:rsidP="008233B3">
      <w:pPr>
        <w:spacing w:after="60"/>
        <w:ind w:left="720"/>
        <w:rPr>
          <w:lang w:val="de-DE"/>
        </w:rPr>
      </w:pPr>
      <w:r w:rsidRPr="00BB5519">
        <w:rPr>
          <w:rFonts w:eastAsia="Calibri" w:cs="Tahoma"/>
          <w:b/>
          <w:color w:val="000000"/>
          <w:szCs w:val="18"/>
          <w:lang w:val="de-DE"/>
        </w:rPr>
        <w:t>Erster Verlängerungszeitraum</w:t>
      </w:r>
    </w:p>
    <w:p w:rsidR="008233B3" w:rsidRPr="00BB5519" w:rsidRDefault="008233B3" w:rsidP="008233B3">
      <w:pPr>
        <w:tabs>
          <w:tab w:val="left" w:pos="1800"/>
        </w:tabs>
        <w:spacing w:after="60"/>
        <w:ind w:left="720"/>
        <w:rPr>
          <w:lang w:val="de-DE"/>
        </w:rPr>
      </w:pPr>
      <w:r w:rsidRPr="00BB5519">
        <w:rPr>
          <w:rFonts w:eastAsia="Calibri" w:cs="Tahoma"/>
          <w:color w:val="000000"/>
          <w:szCs w:val="18"/>
          <w:lang w:val="de-DE"/>
        </w:rPr>
        <w:t xml:space="preserve">Bei der ersten Software Assurance-Verlängerung am oder nach dem 1. April 2013 ist ein Kunde berechtigt, für jeden Server, den der Kunde unter den Produktbenutzungsrechten für BizTalk Server 2010-Prozessorlizenzen ordnungsgemäß lizenziert hat, Software Assurance für BizTalk Server Standard-Core-Lizenzen zu erwerben, ohne die zugrunde liegenden Core-Lizenzen für die Anzahl der Core-Lizenzen erwerben zu müssen, die der Summe der qualifizierenden Prozessorlizenzen entspricht, die dem Server zugewiesen wurde, multipliziert mit dem jeweils größeren der folgenden Werte: </w:t>
      </w:r>
    </w:p>
    <w:p w:rsidR="008233B3" w:rsidRPr="00BB5519" w:rsidRDefault="008233B3" w:rsidP="008233B3">
      <w:pPr>
        <w:numPr>
          <w:ilvl w:val="3"/>
          <w:numId w:val="112"/>
        </w:numPr>
        <w:tabs>
          <w:tab w:val="left" w:pos="2160"/>
        </w:tabs>
        <w:spacing w:after="60"/>
        <w:ind w:left="2160"/>
      </w:pPr>
      <w:r w:rsidRPr="00BB5519">
        <w:rPr>
          <w:rFonts w:eastAsia="Calibri" w:cs="Tahoma"/>
          <w:color w:val="000000"/>
          <w:szCs w:val="18"/>
        </w:rPr>
        <w:t>vier ODER</w:t>
      </w:r>
    </w:p>
    <w:p w:rsidR="008233B3" w:rsidRPr="00BB5519" w:rsidRDefault="008233B3" w:rsidP="008233B3">
      <w:pPr>
        <w:numPr>
          <w:ilvl w:val="3"/>
          <w:numId w:val="112"/>
        </w:numPr>
        <w:tabs>
          <w:tab w:val="left" w:pos="2160"/>
        </w:tabs>
        <w:spacing w:after="60"/>
        <w:ind w:left="2160"/>
        <w:rPr>
          <w:lang w:val="de-DE"/>
        </w:rPr>
      </w:pPr>
      <w:r w:rsidRPr="00BB5519">
        <w:rPr>
          <w:rFonts w:eastAsia="Calibri" w:cs="Tahoma"/>
          <w:color w:val="000000"/>
          <w:szCs w:val="18"/>
          <w:lang w:val="de-DE"/>
        </w:rPr>
        <w:t>der tatsächlichen Anzahl von Cores pro physischem Prozessor multipliziert mit dem entsprechenden Core-Faktor.</w:t>
      </w:r>
      <w:r w:rsidR="009E4976" w:rsidRPr="00BB5519">
        <w:rPr>
          <w:rFonts w:eastAsia="Calibri" w:cs="Tahoma"/>
          <w:color w:val="000000"/>
          <w:szCs w:val="18"/>
          <w:lang w:val="de-DE"/>
        </w:rPr>
        <w:t xml:space="preserve"> </w:t>
      </w:r>
      <w:r w:rsidRPr="00BB5519">
        <w:rPr>
          <w:rFonts w:eastAsia="Calibri" w:cs="Tahoma"/>
          <w:color w:val="000000"/>
          <w:szCs w:val="18"/>
          <w:lang w:val="de-DE"/>
        </w:rPr>
        <w:t xml:space="preserve">(Wenn die tatsächliche Anzahl von Cores pro physischem Prozessor mehr als vier beträgt, muss der Kunde unmittelbar vor der Verlängerung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BB5519" w:rsidRDefault="008233B3" w:rsidP="008233B3">
      <w:pPr>
        <w:tabs>
          <w:tab w:val="left" w:pos="1800"/>
        </w:tabs>
        <w:ind w:left="1080"/>
        <w:rPr>
          <w:lang w:val="de-DE"/>
        </w:rPr>
      </w:pPr>
    </w:p>
    <w:p w:rsidR="008233B3" w:rsidRPr="00BB5519" w:rsidRDefault="008233B3" w:rsidP="008233B3">
      <w:pPr>
        <w:spacing w:after="60"/>
        <w:ind w:left="720"/>
        <w:rPr>
          <w:lang w:val="de-DE"/>
        </w:rPr>
      </w:pPr>
      <w:r w:rsidRPr="00BB5519">
        <w:rPr>
          <w:rFonts w:eastAsia="Calibri" w:cs="Tahoma"/>
          <w:color w:val="000000"/>
          <w:szCs w:val="18"/>
          <w:lang w:val="de-DE"/>
        </w:rPr>
        <w:t xml:space="preserve">Die Prozessorlizenzen des Kunden sind bei Erwerb von Software Assurance für Core-Lizenzen unter diesem Angebot nicht mehr gültig. </w:t>
      </w:r>
      <w:r w:rsidRPr="00BB5519">
        <w:rPr>
          <w:rFonts w:eastAsia="Calibri" w:cs="Tahoma"/>
          <w:szCs w:val="18"/>
          <w:lang w:val="de-DE"/>
        </w:rPr>
        <w:t>Die Option zum Erwerb von Core-Lizenzen für Software Assurance für BizTalk Server ist nicht auf die Software Assurance-Verlängerung unter Abonnementprogrammen anwendbar.</w:t>
      </w:r>
      <w:r w:rsidR="009E4976" w:rsidRPr="00BB5519">
        <w:rPr>
          <w:rFonts w:eastAsia="Calibri" w:cs="Tahoma"/>
          <w:szCs w:val="18"/>
          <w:lang w:val="de-DE"/>
        </w:rPr>
        <w:t xml:space="preserve"> </w:t>
      </w:r>
    </w:p>
    <w:p w:rsidR="008233B3" w:rsidRPr="00BB5519" w:rsidRDefault="008233B3" w:rsidP="008233B3">
      <w:pPr>
        <w:ind w:left="1440"/>
        <w:rPr>
          <w:lang w:val="de-DE"/>
        </w:rPr>
      </w:pPr>
    </w:p>
    <w:p w:rsidR="008233B3" w:rsidRPr="00BB5519" w:rsidRDefault="008233B3" w:rsidP="008233B3">
      <w:pPr>
        <w:tabs>
          <w:tab w:val="left" w:pos="1440"/>
        </w:tabs>
        <w:spacing w:after="60"/>
        <w:ind w:left="720"/>
        <w:rPr>
          <w:lang w:val="de-DE"/>
        </w:rPr>
      </w:pPr>
      <w:r w:rsidRPr="00BB5519">
        <w:rPr>
          <w:rFonts w:eastAsia="Calibri" w:cs="Tahoma"/>
          <w:b/>
          <w:color w:val="000000"/>
          <w:szCs w:val="18"/>
          <w:lang w:val="de-DE"/>
        </w:rPr>
        <w:t>Für Kunden mit aktiver Software Assurance, die nicht verlängern möchten</w:t>
      </w:r>
    </w:p>
    <w:p w:rsidR="008233B3" w:rsidRPr="00BB5519" w:rsidRDefault="008233B3" w:rsidP="008233B3">
      <w:pPr>
        <w:tabs>
          <w:tab w:val="left" w:pos="1440"/>
        </w:tabs>
        <w:ind w:left="720"/>
        <w:rPr>
          <w:lang w:val="de-DE"/>
        </w:rPr>
      </w:pPr>
      <w:r w:rsidRPr="00BB5519">
        <w:rPr>
          <w:rFonts w:eastAsia="Calibri" w:cs="Tahoma"/>
          <w:color w:val="000000"/>
          <w:szCs w:val="18"/>
          <w:lang w:val="de-DE"/>
        </w:rPr>
        <w:t xml:space="preserve">Konzern-Abonnement- </w:t>
      </w:r>
      <w:r w:rsidRPr="00BB5519">
        <w:rPr>
          <w:rFonts w:cs="Tahoma"/>
          <w:bCs/>
          <w:color w:val="000000"/>
          <w:szCs w:val="18"/>
          <w:lang w:val="de-DE"/>
        </w:rPr>
        <w:t>und Open Value Subscription-</w:t>
      </w:r>
      <w:r w:rsidRPr="00BB5519">
        <w:rPr>
          <w:rFonts w:eastAsia="Calibri" w:cs="Tahoma"/>
          <w:color w:val="000000"/>
          <w:szCs w:val="18"/>
          <w:lang w:val="de-DE"/>
        </w:rPr>
        <w:t>Kunden, die sich für ein Buy-Out von Prozessorlizenzen entscheiden, sowie sonstige Kunden, die qualifizierende, zeitlich unbeschränkte Lizenzen unter ihrem Vertrag erwerben und sich gegen die Verlängerung von Software Assurance entscheiden, sind berechtigt, BizTalk Server 2010 oder BizTalk Server 2013 wie folgt unter diesen Lizenzen auszuführen:</w:t>
      </w:r>
    </w:p>
    <w:p w:rsidR="008233B3" w:rsidRPr="00BB5519" w:rsidRDefault="008233B3" w:rsidP="008233B3">
      <w:pPr>
        <w:tabs>
          <w:tab w:val="left" w:pos="1440"/>
        </w:tabs>
        <w:ind w:left="720"/>
        <w:rPr>
          <w:lang w:val="de-DE"/>
        </w:rPr>
      </w:pPr>
    </w:p>
    <w:p w:rsidR="008233B3" w:rsidRPr="00BB5519" w:rsidRDefault="008233B3" w:rsidP="008233B3">
      <w:pPr>
        <w:numPr>
          <w:ilvl w:val="0"/>
          <w:numId w:val="67"/>
        </w:numPr>
        <w:spacing w:after="60"/>
        <w:ind w:left="1440"/>
        <w:rPr>
          <w:lang w:val="de-DE"/>
        </w:rPr>
      </w:pPr>
      <w:r w:rsidRPr="00BB5519">
        <w:rPr>
          <w:rFonts w:eastAsia="Calibri" w:cs="Tahoma"/>
          <w:b/>
          <w:color w:val="000000"/>
          <w:szCs w:val="18"/>
          <w:lang w:val="de-DE"/>
        </w:rPr>
        <w:t>BizTalk Server 2010 Standard:</w:t>
      </w:r>
      <w:r w:rsidRPr="00BB5519">
        <w:rPr>
          <w:rFonts w:eastAsia="Calibri" w:cs="Tahoma"/>
          <w:color w:val="000000"/>
          <w:szCs w:val="18"/>
          <w:lang w:val="de-DE"/>
        </w:rPr>
        <w:t xml:space="preserve"> Die kontinuierliche Verwendung dieser Version der Software unterliegt den Produktbenutzungsrechten für BizTalk Server 2010 Standard-Prozessorlizenzen, jedoch verfügen die Kunden nicht mehr über die Lizenzmobilität durch Software Assurance.</w:t>
      </w:r>
    </w:p>
    <w:p w:rsidR="008233B3" w:rsidRPr="00BB5519" w:rsidRDefault="008233B3" w:rsidP="008233B3">
      <w:pPr>
        <w:numPr>
          <w:ilvl w:val="0"/>
          <w:numId w:val="67"/>
        </w:numPr>
        <w:tabs>
          <w:tab w:val="left" w:pos="1800"/>
        </w:tabs>
        <w:spacing w:after="60"/>
        <w:ind w:left="1440"/>
        <w:rPr>
          <w:lang w:val="de-DE"/>
        </w:rPr>
      </w:pPr>
      <w:r w:rsidRPr="00BB5519">
        <w:rPr>
          <w:rFonts w:eastAsia="Calibri" w:cs="Tahoma"/>
          <w:b/>
          <w:color w:val="000000"/>
          <w:szCs w:val="18"/>
          <w:lang w:val="de-DE"/>
        </w:rPr>
        <w:t xml:space="preserve">BizTalk Server 2013 Standard: </w:t>
      </w:r>
      <w:r w:rsidRPr="00BB5519">
        <w:rPr>
          <w:rFonts w:eastAsia="Calibri" w:cs="Tahoma"/>
          <w:color w:val="000000"/>
          <w:szCs w:val="18"/>
          <w:lang w:val="de-DE"/>
        </w:rPr>
        <w:t xml:space="preserve">Die Verwendung dieser Version der Software unterliegt den Produktbenutzungsrechten für BizTalk Server 2010 Standard-Prozessorlizenzen, jedoch mit folgenden Einschränkungen: </w:t>
      </w:r>
    </w:p>
    <w:p w:rsidR="008233B3" w:rsidRPr="00BB5519" w:rsidRDefault="008233B3" w:rsidP="00F4605A">
      <w:pPr>
        <w:keepNext/>
        <w:keepLines/>
        <w:numPr>
          <w:ilvl w:val="1"/>
          <w:numId w:val="67"/>
        </w:numPr>
        <w:tabs>
          <w:tab w:val="left" w:pos="2160"/>
        </w:tabs>
        <w:spacing w:after="60"/>
        <w:ind w:left="2160"/>
        <w:rPr>
          <w:lang w:val="de-DE"/>
        </w:rPr>
      </w:pPr>
      <w:r w:rsidRPr="00BB5519">
        <w:rPr>
          <w:rFonts w:eastAsia="Calibri" w:cs="Tahoma"/>
          <w:color w:val="000000"/>
          <w:szCs w:val="18"/>
          <w:lang w:val="de-DE"/>
        </w:rPr>
        <w:lastRenderedPageBreak/>
        <w:t xml:space="preserve">Kunden verfügen nicht mehr über die Lizenzmobilität innerhalb von Serverfarmen oder Lizenzmobilität durch Software Assurance, und </w:t>
      </w:r>
    </w:p>
    <w:p w:rsidR="008233B3" w:rsidRPr="00BB5519" w:rsidRDefault="008233B3" w:rsidP="009374EE">
      <w:pPr>
        <w:keepNext/>
        <w:keepLines/>
        <w:numPr>
          <w:ilvl w:val="1"/>
          <w:numId w:val="67"/>
        </w:numPr>
        <w:tabs>
          <w:tab w:val="left" w:pos="2160"/>
          <w:tab w:val="left" w:pos="2970"/>
        </w:tabs>
        <w:spacing w:after="60"/>
        <w:ind w:left="2160"/>
      </w:pPr>
      <w:r w:rsidRPr="00BB5519">
        <w:rPr>
          <w:rFonts w:eastAsia="Calibri" w:cs="Tahoma"/>
          <w:color w:val="000000"/>
          <w:szCs w:val="18"/>
          <w:lang w:val="de-DE"/>
        </w:rPr>
        <w:t xml:space="preserve">Neuzuweisungen von Lizenzen unterliegen den Beschränkungen unten in Bezug auf ihre „Core-Lizenzäquivalenz“. </w:t>
      </w:r>
      <w:r w:rsidRPr="00BB5519">
        <w:rPr>
          <w:rFonts w:eastAsia="Calibri" w:cs="Tahoma"/>
          <w:color w:val="000000"/>
          <w:szCs w:val="18"/>
        </w:rPr>
        <w:t xml:space="preserve">Die Core-Lizenzäquivalenz wird wie folgt bestimmt. </w:t>
      </w:r>
    </w:p>
    <w:p w:rsidR="008233B3" w:rsidRPr="00BB5519" w:rsidRDefault="008233B3" w:rsidP="008233B3">
      <w:pPr>
        <w:numPr>
          <w:ilvl w:val="2"/>
          <w:numId w:val="67"/>
        </w:numPr>
        <w:tabs>
          <w:tab w:val="left" w:pos="2520"/>
        </w:tabs>
        <w:spacing w:after="60"/>
        <w:ind w:left="2520"/>
        <w:rPr>
          <w:lang w:val="de-DE"/>
        </w:rPr>
      </w:pPr>
      <w:r w:rsidRPr="00BB5519">
        <w:rPr>
          <w:rFonts w:eastAsia="Calibri" w:cs="Tahoma"/>
          <w:color w:val="000000"/>
          <w:szCs w:val="18"/>
          <w:lang w:val="de-DE"/>
        </w:rPr>
        <w:t xml:space="preserve">Für jede qualifizierende Lizenz, die dem Server zugewiesen wurde, handelt es sich bei der Core-Lizenzäquivalenz um den jeweils größeren der folgenden Werte: </w:t>
      </w:r>
    </w:p>
    <w:p w:rsidR="008233B3" w:rsidRPr="00BB5519" w:rsidRDefault="008233B3" w:rsidP="008233B3">
      <w:pPr>
        <w:numPr>
          <w:ilvl w:val="4"/>
          <w:numId w:val="155"/>
        </w:numPr>
        <w:tabs>
          <w:tab w:val="left" w:pos="2880"/>
        </w:tabs>
        <w:spacing w:after="60"/>
        <w:ind w:left="2880"/>
      </w:pPr>
      <w:r w:rsidRPr="00BB5519">
        <w:rPr>
          <w:rFonts w:eastAsia="Calibri" w:cs="Tahoma"/>
          <w:color w:val="000000"/>
          <w:szCs w:val="18"/>
        </w:rPr>
        <w:t xml:space="preserve">vier Cores pro Prozessorlizenz ODER </w:t>
      </w:r>
    </w:p>
    <w:p w:rsidR="008233B3" w:rsidRPr="00BB5519" w:rsidRDefault="008233B3" w:rsidP="008233B3">
      <w:pPr>
        <w:numPr>
          <w:ilvl w:val="4"/>
          <w:numId w:val="155"/>
        </w:numPr>
        <w:tabs>
          <w:tab w:val="left" w:pos="2880"/>
        </w:tabs>
        <w:spacing w:after="60"/>
        <w:ind w:left="2880"/>
        <w:rPr>
          <w:lang w:val="de-DE"/>
        </w:rPr>
      </w:pPr>
      <w:r w:rsidRPr="00BB5519">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rsidR="008233B3" w:rsidRPr="00BB5519" w:rsidRDefault="008233B3" w:rsidP="008233B3">
      <w:pPr>
        <w:numPr>
          <w:ilvl w:val="1"/>
          <w:numId w:val="157"/>
        </w:numPr>
        <w:tabs>
          <w:tab w:val="left" w:pos="1800"/>
        </w:tabs>
        <w:spacing w:after="60"/>
        <w:rPr>
          <w:lang w:val="de-DE"/>
        </w:rPr>
      </w:pPr>
      <w:r w:rsidRPr="00BB5519">
        <w:rPr>
          <w:rFonts w:eastAsia="Calibri" w:cs="Tahoma"/>
          <w:color w:val="000000"/>
          <w:szCs w:val="18"/>
          <w:lang w:val="de-DE"/>
        </w:rPr>
        <w:t xml:space="preserve">Kunden </w:t>
      </w:r>
      <w:r w:rsidRPr="00BB5519">
        <w:rPr>
          <w:rFonts w:eastAsia="Calibri" w:cs="Tahoma"/>
          <w:szCs w:val="18"/>
          <w:lang w:val="de-DE"/>
        </w:rPr>
        <w:t>sind berechtigt, Lizenzen einem anderen Server neu zuzuweisen. Wenn der Kunde jedoch eine Lizenz einem anderen Server neu zuweist, muss der Kunde die Nutzungsrechte für BizTalk Server 2013 befolgen. Beim Zuweisen von Core-Lizenzen zu Servern unter den Nutzungsrechten für BizTalk 2013 ist der Kunde berechtigt, die Core-Äquivalenz seiner vorhandenen Lizenzen mit zusätzlichen Core-Lizenzen für BizTalk Server 2013 zu kombinieren.</w:t>
      </w:r>
    </w:p>
    <w:p w:rsidR="008233B3" w:rsidRPr="00BB5519" w:rsidRDefault="008233B3" w:rsidP="008233B3">
      <w:pPr>
        <w:numPr>
          <w:ilvl w:val="1"/>
          <w:numId w:val="157"/>
        </w:numPr>
        <w:tabs>
          <w:tab w:val="left" w:pos="1800"/>
          <w:tab w:val="left" w:pos="2970"/>
        </w:tabs>
        <w:spacing w:after="60"/>
        <w:rPr>
          <w:lang w:val="de-DE"/>
        </w:rPr>
      </w:pPr>
      <w:r w:rsidRPr="00BB5519">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8233B3" w:rsidRPr="00BB5519" w:rsidRDefault="008233B3" w:rsidP="008233B3">
      <w:pPr>
        <w:ind w:left="1440"/>
        <w:rPr>
          <w:lang w:val="de-DE"/>
        </w:rPr>
      </w:pPr>
    </w:p>
    <w:p w:rsidR="008233B3" w:rsidRPr="00BB5519" w:rsidRDefault="008233B3" w:rsidP="008233B3">
      <w:pPr>
        <w:tabs>
          <w:tab w:val="left" w:pos="720"/>
        </w:tabs>
        <w:spacing w:after="60"/>
        <w:ind w:left="720"/>
        <w:rPr>
          <w:lang w:val="de-DE"/>
        </w:rPr>
      </w:pPr>
      <w:r w:rsidRPr="00BB5519">
        <w:rPr>
          <w:b/>
          <w:lang w:val="de-DE"/>
        </w:rPr>
        <w:t>Für Kunden in der Volksrepublik</w:t>
      </w:r>
      <w:r w:rsidRPr="00BB5519">
        <w:rPr>
          <w:lang w:val="de-DE"/>
        </w:rPr>
        <w:t xml:space="preserve"> </w:t>
      </w:r>
      <w:r w:rsidRPr="00BB5519">
        <w:rPr>
          <w:b/>
          <w:lang w:val="de-DE"/>
        </w:rPr>
        <w:t>China, die dort Prozessorlizenzen und Software Assurance für BizTalk Server 2010 erwerben</w:t>
      </w:r>
    </w:p>
    <w:p w:rsidR="008233B3" w:rsidRPr="00BB5519" w:rsidRDefault="008233B3" w:rsidP="008233B3">
      <w:pPr>
        <w:tabs>
          <w:tab w:val="left" w:pos="720"/>
        </w:tabs>
        <w:ind w:left="720"/>
        <w:rPr>
          <w:lang w:val="de-DE"/>
        </w:rPr>
      </w:pPr>
      <w:r w:rsidRPr="00BB5519">
        <w:rPr>
          <w:lang w:val="de-DE"/>
        </w:rPr>
        <w:t>Die Verweise auf den 1. April 2013 in dieser Produktliste sind nicht anwendbar. Das anwendbare Datum für diese Kunden ist der 1. Mai 2013.</w:t>
      </w:r>
    </w:p>
    <w:p w:rsidR="003540FA" w:rsidRPr="00BB5519" w:rsidRDefault="003540FA" w:rsidP="00A66BD2">
      <w:pPr>
        <w:ind w:left="540"/>
        <w:rPr>
          <w:lang w:val="de-DE"/>
        </w:rPr>
      </w:pPr>
    </w:p>
    <w:p w:rsidR="00676723" w:rsidRPr="00BB5519" w:rsidRDefault="00676723" w:rsidP="00A66BD2">
      <w:pPr>
        <w:ind w:left="540"/>
        <w:rPr>
          <w:lang w:val="de-DE"/>
        </w:rPr>
      </w:pPr>
    </w:p>
    <w:p w:rsidR="007B48BC" w:rsidRPr="00BB5519" w:rsidRDefault="004668D9" w:rsidP="000773D2">
      <w:pPr>
        <w:pStyle w:val="Heading3"/>
        <w:ind w:left="270" w:hanging="270"/>
        <w:rPr>
          <w:lang w:val="de-DE"/>
        </w:rPr>
      </w:pPr>
      <w:bookmarkStart w:id="1190" w:name="_35_Business_Intelligence"/>
      <w:bookmarkStart w:id="1191" w:name="_Toc336338293"/>
      <w:bookmarkStart w:id="1192" w:name="_Toc354054990"/>
      <w:bookmarkStart w:id="1193" w:name="Srv_35BusinessIntellApp2012"/>
      <w:bookmarkStart w:id="1194" w:name="Srv_35CoreCALBridgeWinIntune"/>
      <w:bookmarkEnd w:id="1190"/>
      <w:r w:rsidRPr="00BB5519">
        <w:rPr>
          <w:rFonts w:ascii="Tahoma" w:hAnsi="Tahoma"/>
          <w:caps/>
          <w:color w:val="F66400"/>
          <w:sz w:val="22"/>
          <w:vertAlign w:val="superscript"/>
          <w:lang w:val="de-DE"/>
        </w:rPr>
        <w:t xml:space="preserve">35 </w:t>
      </w:r>
      <w:r w:rsidRPr="00BB5519">
        <w:rPr>
          <w:rFonts w:ascii="Tahoma" w:hAnsi="Tahoma"/>
          <w:color w:val="F66400"/>
          <w:sz w:val="22"/>
          <w:lang w:val="de-DE"/>
        </w:rPr>
        <w:t>Business Intelligence Appliance 2012</w:t>
      </w:r>
      <w:bookmarkEnd w:id="1191"/>
      <w:bookmarkEnd w:id="1192"/>
      <w:r w:rsidRPr="00BB5519">
        <w:rPr>
          <w:rFonts w:ascii="Tahoma" w:hAnsi="Tahoma"/>
          <w:caps/>
          <w:color w:val="F66400"/>
          <w:sz w:val="22"/>
          <w:vertAlign w:val="superscript"/>
          <w:lang w:val="de-DE"/>
        </w:rPr>
        <w:t xml:space="preserve"> </w:t>
      </w:r>
    </w:p>
    <w:bookmarkEnd w:id="1193"/>
    <w:p w:rsidR="007B48BC" w:rsidRPr="00BB5519" w:rsidRDefault="007B48BC" w:rsidP="007B48BC">
      <w:pPr>
        <w:rPr>
          <w:lang w:val="de-DE"/>
        </w:rPr>
      </w:pPr>
    </w:p>
    <w:p w:rsidR="00E03856" w:rsidRPr="00BB5519" w:rsidRDefault="00E50460" w:rsidP="00021BF7">
      <w:pPr>
        <w:ind w:left="720" w:right="180"/>
        <w:rPr>
          <w:lang w:val="de-DE"/>
        </w:rPr>
      </w:pPr>
      <w:r w:rsidRPr="00BB5519">
        <w:rPr>
          <w:rFonts w:cs="Tahoma"/>
          <w:szCs w:val="18"/>
          <w:lang w:val="de-DE"/>
        </w:rPr>
        <w:t>Die Business Intelligence Appliance 2012-Software, die SQL Server 2008 R2 und SharePoint Server 2010 enthält, ist nur in von Microsoft genehmigten Hardware- und Softwarekonfigurationen verfügbar.</w:t>
      </w:r>
      <w:r w:rsidR="009E4976" w:rsidRPr="00BB5519">
        <w:rPr>
          <w:rFonts w:cs="Tahoma"/>
          <w:szCs w:val="18"/>
          <w:lang w:val="de-DE"/>
        </w:rPr>
        <w:t xml:space="preserve"> </w:t>
      </w:r>
      <w:r w:rsidRPr="00BB5519">
        <w:rPr>
          <w:rFonts w:cs="Tahoma"/>
          <w:szCs w:val="18"/>
          <w:lang w:val="de-DE"/>
        </w:rPr>
        <w:t>Die Nutzung der Software in anderen Konfigurationen wird nicht unterstützt und kann die Leistung beeinträchtigen.</w:t>
      </w:r>
      <w:r w:rsidR="009E4976" w:rsidRPr="00BB5519">
        <w:rPr>
          <w:rFonts w:cs="Tahoma"/>
          <w:szCs w:val="18"/>
          <w:lang w:val="de-DE"/>
        </w:rPr>
        <w:t xml:space="preserve"> </w:t>
      </w:r>
      <w:r w:rsidRPr="00BB5519">
        <w:rPr>
          <w:rFonts w:cs="Tahoma"/>
          <w:szCs w:val="18"/>
          <w:lang w:val="de-DE"/>
        </w:rPr>
        <w:t>Weitere Informationen finden Sie unter</w:t>
      </w:r>
      <w:r w:rsidRPr="00BB5519">
        <w:rPr>
          <w:rFonts w:cs="Tahoma"/>
          <w:color w:val="1F497D"/>
          <w:szCs w:val="18"/>
          <w:lang w:val="de-DE"/>
        </w:rPr>
        <w:t xml:space="preserve"> </w:t>
      </w:r>
      <w:r w:rsidR="00021BF7">
        <w:rPr>
          <w:rFonts w:cs="Tahoma"/>
          <w:color w:val="1F497D"/>
          <w:szCs w:val="18"/>
          <w:lang w:val="de-DE"/>
        </w:rPr>
        <w:br/>
      </w:r>
      <w:hyperlink r:id="rId50" w:tooltip="http://www.microsoft.com/sqlserver/en/us/get-sql-server/how-to-buy.aspx" w:history="1">
        <w:r w:rsidRPr="00BB5519">
          <w:rPr>
            <w:rStyle w:val="Hyperlink"/>
            <w:rFonts w:cs="Tahoma"/>
            <w:szCs w:val="18"/>
            <w:lang w:val="de-DE"/>
          </w:rPr>
          <w:t>http://www.microsoft.com/sqlserver/en/us/get-sql-server/how-to-buy.aspx</w:t>
        </w:r>
      </w:hyperlink>
      <w:r w:rsidRPr="00BB5519">
        <w:rPr>
          <w:rFonts w:cs="Tahoma"/>
          <w:szCs w:val="18"/>
          <w:lang w:val="de-DE"/>
        </w:rPr>
        <w:t>.</w:t>
      </w:r>
      <w:r w:rsidR="009E4976" w:rsidRPr="00BB5519">
        <w:rPr>
          <w:rFonts w:cs="Tahoma"/>
          <w:szCs w:val="18"/>
          <w:lang w:val="de-DE"/>
        </w:rPr>
        <w:t xml:space="preserve"> </w:t>
      </w:r>
    </w:p>
    <w:p w:rsidR="00A66BD2" w:rsidRPr="00BB5519" w:rsidRDefault="00A66BD2" w:rsidP="00A66BD2">
      <w:pPr>
        <w:rPr>
          <w:lang w:val="de-DE"/>
        </w:rPr>
      </w:pPr>
    </w:p>
    <w:p w:rsidR="00A66BD2" w:rsidRPr="00BB5519" w:rsidRDefault="00A66BD2" w:rsidP="00A66BD2">
      <w:pPr>
        <w:rPr>
          <w:lang w:val="de-DE"/>
        </w:rPr>
      </w:pPr>
    </w:p>
    <w:p w:rsidR="003540FA" w:rsidRPr="00BB5519" w:rsidRDefault="004668D9" w:rsidP="000773D2">
      <w:pPr>
        <w:pStyle w:val="Heading3"/>
        <w:ind w:left="270" w:hanging="270"/>
        <w:rPr>
          <w:lang w:val="de-DE"/>
        </w:rPr>
      </w:pPr>
      <w:bookmarkStart w:id="1195" w:name="_36_Core_CAL"/>
      <w:bookmarkStart w:id="1196" w:name="_Toc336338294"/>
      <w:bookmarkStart w:id="1197" w:name="_Toc354054991"/>
      <w:bookmarkEnd w:id="1195"/>
      <w:r w:rsidRPr="00BB5519">
        <w:rPr>
          <w:rFonts w:ascii="Tahoma" w:hAnsi="Tahoma"/>
          <w:caps/>
          <w:color w:val="F66400"/>
          <w:sz w:val="22"/>
          <w:vertAlign w:val="superscript"/>
          <w:lang w:val="de-DE"/>
        </w:rPr>
        <w:t>36</w:t>
      </w:r>
      <w:r w:rsidRPr="00BB5519">
        <w:rPr>
          <w:rFonts w:ascii="Tahoma" w:hAnsi="Tahoma"/>
          <w:color w:val="F66400"/>
          <w:sz w:val="22"/>
          <w:lang w:val="de-DE"/>
        </w:rPr>
        <w:t xml:space="preserve"> Core </w:t>
      </w:r>
      <w:r w:rsidRPr="00BB5519">
        <w:rPr>
          <w:rFonts w:ascii="Tahoma" w:hAnsi="Tahoma"/>
          <w:color w:val="FF6600"/>
          <w:sz w:val="22"/>
          <w:lang w:val="de-DE"/>
        </w:rPr>
        <w:t>CAL Suite Bridge für Office 365, Core CAL Suite Bridge für Office 365 und Windows Intun sowie Core CAL Suite Bridge für Windows Intune</w:t>
      </w:r>
      <w:bookmarkEnd w:id="1196"/>
      <w:bookmarkEnd w:id="1197"/>
    </w:p>
    <w:bookmarkEnd w:id="1194"/>
    <w:p w:rsidR="003540FA" w:rsidRPr="00BB5519" w:rsidRDefault="003540FA" w:rsidP="00A66BD2">
      <w:pPr>
        <w:ind w:left="540"/>
        <w:rPr>
          <w:lang w:val="de-DE"/>
        </w:rPr>
      </w:pPr>
    </w:p>
    <w:p w:rsidR="00A66BD2" w:rsidRPr="00BB5519" w:rsidRDefault="000773D2" w:rsidP="00A66BD2">
      <w:pPr>
        <w:spacing w:after="60"/>
        <w:ind w:left="720"/>
        <w:rPr>
          <w:lang w:val="de-DE"/>
        </w:rPr>
      </w:pPr>
      <w:r w:rsidRPr="00BB5519">
        <w:rPr>
          <w:b/>
          <w:szCs w:val="18"/>
          <w:lang w:val="de-DE"/>
        </w:rPr>
        <w:t>Definition</w:t>
      </w:r>
    </w:p>
    <w:p w:rsidR="000773D2" w:rsidRPr="00BB5519" w:rsidRDefault="00A66BD2" w:rsidP="00A66BD2">
      <w:pPr>
        <w:ind w:left="720"/>
        <w:rPr>
          <w:lang w:val="de-DE"/>
        </w:rPr>
      </w:pPr>
      <w:r w:rsidRPr="00BB5519">
        <w:rPr>
          <w:b/>
          <w:szCs w:val="18"/>
          <w:lang w:val="de-DE"/>
        </w:rPr>
        <w:t>„</w:t>
      </w:r>
      <w:r w:rsidRPr="00BB5519">
        <w:rPr>
          <w:szCs w:val="18"/>
          <w:lang w:val="de-DE"/>
        </w:rPr>
        <w:t xml:space="preserve">Übergang“ ist die Umwandlung einer Lizenz </w:t>
      </w:r>
      <w:r w:rsidRPr="00BB5519">
        <w:rPr>
          <w:rFonts w:cs="Tahoma"/>
          <w:szCs w:val="18"/>
          <w:lang w:val="de-DE"/>
        </w:rPr>
        <w:t>mit aktueller Software Assurance in eine oder von einer Abonnementlizenz.</w:t>
      </w:r>
      <w:r w:rsidR="009E4976" w:rsidRPr="00BB5519">
        <w:rPr>
          <w:rFonts w:cs="Tahoma"/>
          <w:szCs w:val="18"/>
          <w:lang w:val="de-DE"/>
        </w:rPr>
        <w:t xml:space="preserve"> </w:t>
      </w:r>
    </w:p>
    <w:p w:rsidR="00A66BD2" w:rsidRPr="00BB5519" w:rsidRDefault="00A66BD2" w:rsidP="00A66BD2">
      <w:pPr>
        <w:ind w:left="720"/>
        <w:rPr>
          <w:lang w:val="de-DE"/>
        </w:rPr>
      </w:pPr>
    </w:p>
    <w:p w:rsidR="00A66BD2" w:rsidRPr="00BB5519" w:rsidRDefault="000773D2" w:rsidP="00A66BD2">
      <w:pPr>
        <w:spacing w:after="60"/>
        <w:ind w:left="720"/>
        <w:rPr>
          <w:lang w:val="de-DE"/>
        </w:rPr>
      </w:pPr>
      <w:r w:rsidRPr="00BB5519">
        <w:rPr>
          <w:b/>
          <w:szCs w:val="18"/>
          <w:lang w:val="de-DE"/>
        </w:rPr>
        <w:t>Anwendbare Nutzungsrechte.</w:t>
      </w:r>
    </w:p>
    <w:p w:rsidR="000773D2" w:rsidRPr="00BB5519" w:rsidRDefault="000773D2" w:rsidP="00A66BD2">
      <w:pPr>
        <w:spacing w:line="276" w:lineRule="auto"/>
        <w:ind w:left="720"/>
        <w:rPr>
          <w:lang w:val="de-DE"/>
        </w:rPr>
      </w:pPr>
      <w:r w:rsidRPr="00BB5519">
        <w:rPr>
          <w:rFonts w:eastAsia="Calibri" w:cs="Tahoma"/>
          <w:szCs w:val="18"/>
          <w:lang w:val="de-DE"/>
        </w:rPr>
        <w:t>Eine CAL Suite Bridge hat keine Versionsnummer, und die Produktbenutzungsrechte hängen vom Status der Software Assurance dafür ab.</w:t>
      </w:r>
      <w:r w:rsidR="009E4976" w:rsidRPr="00BB5519">
        <w:rPr>
          <w:rFonts w:eastAsia="Calibri" w:cs="Tahoma"/>
          <w:szCs w:val="18"/>
          <w:lang w:val="de-DE"/>
        </w:rPr>
        <w:t xml:space="preserve"> </w:t>
      </w:r>
      <w:r w:rsidRPr="00BB5519">
        <w:rPr>
          <w:rFonts w:eastAsia="Calibri" w:cs="Tahoma"/>
          <w:szCs w:val="18"/>
          <w:lang w:val="de-DE"/>
        </w:rPr>
        <w:t>Falls Software Assurance unterbrochen wird, hängen die Zugriffsrechte im Rahmen zeitlich unbeschränkter Lizenzen von den Produktbenutzungsrechten ab, die vor der Unterbrechung galten.</w:t>
      </w:r>
      <w:r w:rsidR="009E4976" w:rsidRPr="00BB5519">
        <w:rPr>
          <w:rFonts w:eastAsia="Calibri" w:cs="Tahoma"/>
          <w:szCs w:val="18"/>
          <w:lang w:val="de-DE"/>
        </w:rPr>
        <w:t xml:space="preserve"> </w:t>
      </w:r>
      <w:r w:rsidRPr="00BB5519">
        <w:rPr>
          <w:rFonts w:eastAsia="Calibri" w:cs="Tahoma"/>
          <w:szCs w:val="18"/>
          <w:lang w:val="de-DE"/>
        </w:rPr>
        <w:t>Eine Lizenz für eine CAL Suite Bridge ist eine einzelne Lizenz, die einem einzelnen Nutzer oder Gerät zugewiesen werden muss.</w:t>
      </w:r>
    </w:p>
    <w:p w:rsidR="00A66BD2" w:rsidRPr="00BB5519" w:rsidRDefault="00A66BD2" w:rsidP="00A66BD2">
      <w:pPr>
        <w:spacing w:line="276" w:lineRule="auto"/>
        <w:ind w:left="720"/>
        <w:rPr>
          <w:lang w:val="de-DE"/>
        </w:rPr>
      </w:pPr>
    </w:p>
    <w:p w:rsidR="00A66BD2" w:rsidRPr="00BB5519" w:rsidRDefault="000773D2" w:rsidP="00021BF7">
      <w:pPr>
        <w:keepNext/>
        <w:keepLines/>
        <w:spacing w:after="60"/>
        <w:ind w:left="720"/>
        <w:rPr>
          <w:lang w:val="de-DE"/>
        </w:rPr>
      </w:pPr>
      <w:r w:rsidRPr="00BB5519">
        <w:rPr>
          <w:b/>
          <w:szCs w:val="18"/>
          <w:lang w:val="de-DE"/>
        </w:rPr>
        <w:lastRenderedPageBreak/>
        <w:t>Anforderungen</w:t>
      </w:r>
    </w:p>
    <w:p w:rsidR="000773D2" w:rsidRPr="00BB5519" w:rsidRDefault="000773D2" w:rsidP="00021BF7">
      <w:pPr>
        <w:keepNext/>
        <w:keepLines/>
        <w:spacing w:line="276" w:lineRule="auto"/>
        <w:ind w:left="720"/>
        <w:rPr>
          <w:lang w:val="de-DE"/>
        </w:rPr>
      </w:pPr>
      <w:r w:rsidRPr="00BB5519">
        <w:rPr>
          <w:rFonts w:eastAsia="Calibri" w:cs="Tahoma"/>
          <w:szCs w:val="18"/>
          <w:lang w:val="de-DE"/>
        </w:rPr>
        <w:t>Eine CAL Suite Bridge ist möglicherweise bei einem Übergang von einer CAL Suite zu einer vergleichbaren Kombination aus Produkt und Onlinediensten erforderlich.</w:t>
      </w:r>
      <w:r w:rsidR="009E4976" w:rsidRPr="00BB5519">
        <w:rPr>
          <w:rFonts w:eastAsia="Calibri" w:cs="Tahoma"/>
          <w:szCs w:val="18"/>
          <w:lang w:val="de-DE"/>
        </w:rPr>
        <w:t xml:space="preserve"> </w:t>
      </w:r>
      <w:r w:rsidRPr="00BB5519">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9E4976" w:rsidRPr="00BB5519">
        <w:rPr>
          <w:rFonts w:eastAsia="Calibri" w:cs="Tahoma"/>
          <w:szCs w:val="18"/>
          <w:lang w:val="de-DE"/>
        </w:rPr>
        <w:t xml:space="preserve"> </w:t>
      </w:r>
      <w:r w:rsidRPr="00BB5519">
        <w:rPr>
          <w:rFonts w:eastAsia="Calibri" w:cs="Tahoma"/>
          <w:szCs w:val="18"/>
          <w:lang w:val="de-DE"/>
        </w:rPr>
        <w:t>Stattdessen kann am Jahrestag des Beitritts, für den der Übergang wirksam ist, Software Assurance für die CAL Suite Bridge erworben werden.</w:t>
      </w:r>
      <w:r w:rsidR="009E4976" w:rsidRPr="00BB5519">
        <w:rPr>
          <w:rFonts w:eastAsia="Calibri" w:cs="Tahoma"/>
          <w:szCs w:val="18"/>
          <w:lang w:val="de-DE"/>
        </w:rPr>
        <w:t xml:space="preserve"> </w:t>
      </w:r>
      <w:r w:rsidRPr="00BB5519">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9E4976" w:rsidRPr="00BB5519">
        <w:rPr>
          <w:rFonts w:eastAsia="Calibri" w:cs="Tahoma"/>
          <w:szCs w:val="18"/>
          <w:lang w:val="de-DE"/>
        </w:rPr>
        <w:t xml:space="preserve"> </w:t>
      </w:r>
    </w:p>
    <w:p w:rsidR="00A66BD2" w:rsidRPr="00BB5519" w:rsidRDefault="00A66BD2" w:rsidP="00A66BD2">
      <w:pPr>
        <w:spacing w:line="276" w:lineRule="auto"/>
        <w:ind w:left="720"/>
        <w:rPr>
          <w:lang w:val="de-DE"/>
        </w:rPr>
      </w:pPr>
    </w:p>
    <w:p w:rsidR="000773D2" w:rsidRPr="00BB5519" w:rsidRDefault="000773D2" w:rsidP="00A66BD2">
      <w:pPr>
        <w:spacing w:line="276" w:lineRule="auto"/>
        <w:ind w:left="720"/>
        <w:rPr>
          <w:lang w:val="de-DE"/>
        </w:rPr>
      </w:pPr>
      <w:r w:rsidRPr="00BB5519">
        <w:rPr>
          <w:rFonts w:eastAsia="Calibri" w:cs="Tahoma"/>
          <w:szCs w:val="18"/>
          <w:lang w:val="de-DE"/>
        </w:rPr>
        <w:t>Eine CAL Suite Bridge ist ein Konzernprodukt und darf nur in Verbindung mit ihrem qualifizierenden Onlinedienst lizenziert werden, um die unternehmensweite Anforderung dieser CAL Suite Bridge oder der übergeordneten CAL Suite zu erfüllen.</w:t>
      </w:r>
    </w:p>
    <w:p w:rsidR="002A6416" w:rsidRPr="00BB5519" w:rsidRDefault="002A6416" w:rsidP="002A6416">
      <w:pPr>
        <w:spacing w:line="276" w:lineRule="auto"/>
        <w:ind w:left="720"/>
        <w:rPr>
          <w:lang w:val="de-DE"/>
        </w:rPr>
      </w:pPr>
    </w:p>
    <w:tbl>
      <w:tblPr>
        <w:tblW w:w="4606" w:type="pct"/>
        <w:tblInd w:w="730" w:type="dxa"/>
        <w:tblCellMar>
          <w:left w:w="0" w:type="dxa"/>
          <w:right w:w="0" w:type="dxa"/>
        </w:tblCellMar>
        <w:tblLook w:val="04A0" w:firstRow="1" w:lastRow="0" w:firstColumn="1" w:lastColumn="0" w:noHBand="0" w:noVBand="1"/>
      </w:tblPr>
      <w:tblGrid>
        <w:gridCol w:w="2781"/>
        <w:gridCol w:w="2600"/>
        <w:gridCol w:w="3223"/>
      </w:tblGrid>
      <w:tr w:rsidR="005A36EF" w:rsidRPr="00BB5519" w:rsidTr="00F4605A">
        <w:trPr>
          <w:tblHeader/>
        </w:trPr>
        <w:tc>
          <w:tcPr>
            <w:tcW w:w="1616"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BB5519" w:rsidRDefault="000773D2" w:rsidP="000773D2">
            <w:pPr>
              <w:spacing w:before="80" w:after="200" w:line="276" w:lineRule="auto"/>
              <w:jc w:val="center"/>
              <w:rPr>
                <w:rFonts w:eastAsia="Calibri" w:cs="Tahoma"/>
                <w:b/>
                <w:bCs/>
                <w:color w:val="000000"/>
                <w:szCs w:val="18"/>
                <w:lang w:eastAsia="ja-JP"/>
              </w:rPr>
            </w:pPr>
            <w:r w:rsidRPr="00BB5519">
              <w:rPr>
                <w:rFonts w:eastAsia="Calibri" w:cs="Tahoma"/>
                <w:b/>
                <w:bCs/>
                <w:szCs w:val="18"/>
              </w:rPr>
              <w:t>CAL Suite Bridge</w:t>
            </w:r>
          </w:p>
        </w:tc>
        <w:tc>
          <w:tcPr>
            <w:tcW w:w="1511" w:type="pct"/>
            <w:tcBorders>
              <w:top w:val="single" w:sz="8" w:space="0" w:color="auto"/>
              <w:left w:val="nil"/>
              <w:bottom w:val="single" w:sz="8" w:space="0" w:color="auto"/>
              <w:right w:val="single" w:sz="8" w:space="0" w:color="auto"/>
            </w:tcBorders>
            <w:shd w:val="clear" w:color="auto" w:fill="FABF8F"/>
            <w:vAlign w:val="center"/>
            <w:hideMark/>
          </w:tcPr>
          <w:p w:rsidR="000773D2" w:rsidRPr="00BB5519" w:rsidRDefault="000773D2" w:rsidP="000773D2">
            <w:pPr>
              <w:spacing w:before="80" w:after="200" w:line="276" w:lineRule="auto"/>
              <w:jc w:val="center"/>
              <w:rPr>
                <w:rFonts w:eastAsia="Calibri" w:cs="Tahoma"/>
                <w:b/>
                <w:bCs/>
                <w:color w:val="000000"/>
                <w:szCs w:val="18"/>
                <w:lang w:eastAsia="ja-JP"/>
              </w:rPr>
            </w:pPr>
            <w:r w:rsidRPr="00BB5519">
              <w:rPr>
                <w:rFonts w:eastAsia="Calibri" w:cs="Tahoma"/>
                <w:b/>
                <w:bCs/>
                <w:szCs w:val="18"/>
              </w:rPr>
              <w:t>Übergeordnete CAL Suite</w:t>
            </w:r>
          </w:p>
        </w:tc>
        <w:tc>
          <w:tcPr>
            <w:tcW w:w="1873" w:type="pct"/>
            <w:tcBorders>
              <w:top w:val="single" w:sz="8" w:space="0" w:color="auto"/>
              <w:left w:val="nil"/>
              <w:bottom w:val="single" w:sz="8" w:space="0" w:color="auto"/>
              <w:right w:val="single" w:sz="8" w:space="0" w:color="auto"/>
            </w:tcBorders>
            <w:shd w:val="clear" w:color="auto" w:fill="FABF8F"/>
            <w:hideMark/>
          </w:tcPr>
          <w:p w:rsidR="000773D2" w:rsidRPr="00BB5519" w:rsidRDefault="000773D2" w:rsidP="005A36EF">
            <w:pPr>
              <w:spacing w:before="80" w:after="200" w:line="276" w:lineRule="auto"/>
              <w:ind w:left="180" w:right="180"/>
              <w:jc w:val="center"/>
              <w:rPr>
                <w:rFonts w:eastAsia="Calibri" w:cs="Tahoma"/>
                <w:b/>
                <w:bCs/>
                <w:color w:val="000000"/>
                <w:szCs w:val="18"/>
                <w:lang w:eastAsia="ja-JP"/>
              </w:rPr>
            </w:pPr>
            <w:r w:rsidRPr="00BB5519">
              <w:rPr>
                <w:rFonts w:eastAsia="Calibri" w:cs="Tahoma"/>
                <w:b/>
                <w:bCs/>
                <w:szCs w:val="18"/>
              </w:rPr>
              <w:t>Qualifizierende Onlinedienste</w:t>
            </w:r>
          </w:p>
        </w:tc>
      </w:tr>
      <w:tr w:rsidR="005A36EF" w:rsidRPr="00BB5519" w:rsidTr="00F4605A">
        <w:trPr>
          <w:trHeight w:val="576"/>
        </w:trPr>
        <w:tc>
          <w:tcPr>
            <w:tcW w:w="1616" w:type="pct"/>
            <w:tcBorders>
              <w:top w:val="nil"/>
              <w:left w:val="single" w:sz="8" w:space="0" w:color="auto"/>
              <w:bottom w:val="single" w:sz="8" w:space="0" w:color="auto"/>
              <w:right w:val="single" w:sz="8" w:space="0" w:color="auto"/>
            </w:tcBorders>
          </w:tcPr>
          <w:p w:rsidR="000773D2" w:rsidRPr="00BB5519" w:rsidRDefault="000773D2" w:rsidP="002C1048">
            <w:pPr>
              <w:numPr>
                <w:ilvl w:val="0"/>
                <w:numId w:val="52"/>
              </w:numPr>
              <w:spacing w:before="120" w:after="200" w:line="276" w:lineRule="auto"/>
              <w:ind w:left="679" w:right="181" w:hanging="450"/>
              <w:rPr>
                <w:rFonts w:eastAsia="Calibri" w:cs="Tahoma"/>
                <w:color w:val="000000"/>
                <w:szCs w:val="18"/>
              </w:rPr>
            </w:pPr>
            <w:r w:rsidRPr="00BB5519">
              <w:rPr>
                <w:rFonts w:eastAsia="Calibri" w:cs="Tahoma"/>
                <w:color w:val="000000"/>
                <w:szCs w:val="18"/>
              </w:rPr>
              <w:t>Core CAL Suite Bridge für Office 365</w:t>
            </w:r>
          </w:p>
        </w:tc>
        <w:tc>
          <w:tcPr>
            <w:tcW w:w="1511" w:type="pct"/>
            <w:tcBorders>
              <w:top w:val="nil"/>
              <w:left w:val="nil"/>
              <w:bottom w:val="single" w:sz="8" w:space="0" w:color="auto"/>
              <w:right w:val="single" w:sz="8" w:space="0" w:color="auto"/>
            </w:tcBorders>
          </w:tcPr>
          <w:p w:rsidR="000773D2" w:rsidRPr="00BB5519" w:rsidRDefault="000773D2" w:rsidP="002C1048">
            <w:pPr>
              <w:numPr>
                <w:ilvl w:val="0"/>
                <w:numId w:val="53"/>
              </w:numPr>
              <w:spacing w:before="120" w:after="200" w:line="276" w:lineRule="auto"/>
              <w:ind w:left="682" w:hanging="450"/>
              <w:rPr>
                <w:rFonts w:eastAsia="Calibri" w:cs="Tahoma"/>
                <w:color w:val="000000"/>
                <w:szCs w:val="18"/>
              </w:rPr>
            </w:pPr>
            <w:r w:rsidRPr="00BB5519">
              <w:rPr>
                <w:rFonts w:eastAsia="Calibri" w:cs="Tahoma"/>
                <w:color w:val="000000"/>
                <w:szCs w:val="18"/>
              </w:rPr>
              <w:t>Core-CAL-Suite</w:t>
            </w:r>
          </w:p>
        </w:tc>
        <w:tc>
          <w:tcPr>
            <w:tcW w:w="1873" w:type="pct"/>
            <w:tcBorders>
              <w:top w:val="nil"/>
              <w:left w:val="nil"/>
              <w:bottom w:val="single" w:sz="8" w:space="0" w:color="auto"/>
              <w:right w:val="single" w:sz="8" w:space="0" w:color="auto"/>
            </w:tcBorders>
          </w:tcPr>
          <w:p w:rsidR="000773D2" w:rsidRPr="00BB5519" w:rsidRDefault="000773D2" w:rsidP="002C1048">
            <w:pPr>
              <w:numPr>
                <w:ilvl w:val="0"/>
                <w:numId w:val="54"/>
              </w:numPr>
              <w:spacing w:before="120" w:after="200" w:line="276" w:lineRule="auto"/>
              <w:ind w:left="684" w:right="181" w:hanging="450"/>
            </w:pPr>
            <w:r w:rsidRPr="00BB5519">
              <w:rPr>
                <w:rFonts w:eastAsia="Calibri" w:cs="Tahoma"/>
                <w:color w:val="000000"/>
                <w:szCs w:val="18"/>
              </w:rPr>
              <w:t>Office 365 Enterprise E1 oder</w:t>
            </w:r>
          </w:p>
          <w:p w:rsidR="000773D2" w:rsidRPr="00BB5519" w:rsidRDefault="000773D2" w:rsidP="002C1048">
            <w:pPr>
              <w:numPr>
                <w:ilvl w:val="0"/>
                <w:numId w:val="54"/>
              </w:numPr>
              <w:spacing w:before="120" w:after="200" w:line="276" w:lineRule="auto"/>
              <w:ind w:left="684" w:right="181" w:hanging="450"/>
            </w:pPr>
            <w:r w:rsidRPr="00BB5519">
              <w:rPr>
                <w:rFonts w:eastAsia="Calibri" w:cs="Tahoma"/>
                <w:color w:val="000000"/>
                <w:szCs w:val="18"/>
              </w:rPr>
              <w:t>Office 365 Enterprise E2 oder</w:t>
            </w:r>
          </w:p>
          <w:p w:rsidR="000773D2" w:rsidRPr="00BB5519" w:rsidRDefault="000773D2" w:rsidP="002C1048">
            <w:pPr>
              <w:numPr>
                <w:ilvl w:val="0"/>
                <w:numId w:val="54"/>
              </w:numPr>
              <w:spacing w:before="120" w:after="200" w:line="276" w:lineRule="auto"/>
              <w:ind w:left="684" w:right="181" w:hanging="450"/>
            </w:pPr>
            <w:r w:rsidRPr="00BB5519">
              <w:rPr>
                <w:rFonts w:eastAsia="Calibri" w:cs="Tahoma"/>
                <w:color w:val="000000"/>
                <w:szCs w:val="18"/>
              </w:rPr>
              <w:t>Office 365 Enterprise E3 oder</w:t>
            </w:r>
          </w:p>
          <w:p w:rsidR="000773D2" w:rsidRPr="00BB5519" w:rsidRDefault="000773D2" w:rsidP="009B3FA2">
            <w:pPr>
              <w:numPr>
                <w:ilvl w:val="0"/>
                <w:numId w:val="54"/>
              </w:numPr>
              <w:spacing w:before="120" w:after="200" w:line="276" w:lineRule="auto"/>
              <w:ind w:left="684" w:right="181" w:hanging="450"/>
              <w:rPr>
                <w:rFonts w:eastAsia="Calibri" w:cs="Tahoma"/>
                <w:color w:val="000000"/>
                <w:szCs w:val="18"/>
              </w:rPr>
            </w:pPr>
            <w:r w:rsidRPr="00BB5519">
              <w:rPr>
                <w:rFonts w:eastAsia="Calibri" w:cs="Tahoma"/>
                <w:color w:val="000000"/>
                <w:szCs w:val="18"/>
              </w:rPr>
              <w:t>Office 365 Enterprise E4</w:t>
            </w:r>
          </w:p>
        </w:tc>
      </w:tr>
      <w:tr w:rsidR="005A36EF" w:rsidRPr="00BB5519" w:rsidTr="00F4605A">
        <w:trPr>
          <w:trHeight w:val="576"/>
        </w:trPr>
        <w:tc>
          <w:tcPr>
            <w:tcW w:w="1616" w:type="pct"/>
            <w:tcBorders>
              <w:top w:val="nil"/>
              <w:left w:val="single" w:sz="8" w:space="0" w:color="auto"/>
              <w:bottom w:val="single" w:sz="8" w:space="0" w:color="auto"/>
              <w:right w:val="single" w:sz="8" w:space="0" w:color="auto"/>
            </w:tcBorders>
          </w:tcPr>
          <w:p w:rsidR="000773D2" w:rsidRPr="00BB5519" w:rsidRDefault="000773D2" w:rsidP="002C1048">
            <w:pPr>
              <w:numPr>
                <w:ilvl w:val="0"/>
                <w:numId w:val="52"/>
              </w:numPr>
              <w:spacing w:before="120" w:after="200" w:line="276" w:lineRule="auto"/>
              <w:ind w:left="679" w:right="181" w:hanging="450"/>
              <w:rPr>
                <w:rFonts w:eastAsia="Calibri" w:cs="Tahoma"/>
                <w:color w:val="000000"/>
                <w:szCs w:val="18"/>
              </w:rPr>
            </w:pPr>
            <w:r w:rsidRPr="00BB5519">
              <w:rPr>
                <w:rFonts w:eastAsia="Calibri" w:cs="Tahoma"/>
                <w:color w:val="000000"/>
                <w:szCs w:val="18"/>
              </w:rPr>
              <w:t>Core CAL Suite Bridge für Office 365 und Windows Intune</w:t>
            </w:r>
          </w:p>
        </w:tc>
        <w:tc>
          <w:tcPr>
            <w:tcW w:w="1511" w:type="pct"/>
            <w:tcBorders>
              <w:top w:val="nil"/>
              <w:left w:val="nil"/>
              <w:bottom w:val="single" w:sz="8" w:space="0" w:color="auto"/>
              <w:right w:val="single" w:sz="8" w:space="0" w:color="auto"/>
            </w:tcBorders>
          </w:tcPr>
          <w:p w:rsidR="000773D2" w:rsidRPr="00BB5519" w:rsidRDefault="000773D2" w:rsidP="002C1048">
            <w:pPr>
              <w:numPr>
                <w:ilvl w:val="0"/>
                <w:numId w:val="53"/>
              </w:numPr>
              <w:spacing w:before="120" w:after="200" w:line="276" w:lineRule="auto"/>
              <w:ind w:left="682" w:hanging="450"/>
              <w:rPr>
                <w:rFonts w:eastAsia="Calibri" w:cs="Tahoma"/>
                <w:color w:val="000000"/>
                <w:szCs w:val="18"/>
              </w:rPr>
            </w:pPr>
            <w:r w:rsidRPr="00BB5519">
              <w:rPr>
                <w:rFonts w:eastAsia="Calibri" w:cs="Tahoma"/>
                <w:color w:val="000000"/>
                <w:szCs w:val="18"/>
              </w:rPr>
              <w:t>Core-CAL-Suite</w:t>
            </w:r>
          </w:p>
        </w:tc>
        <w:tc>
          <w:tcPr>
            <w:tcW w:w="1873" w:type="pct"/>
            <w:tcBorders>
              <w:top w:val="nil"/>
              <w:left w:val="nil"/>
              <w:bottom w:val="single" w:sz="8" w:space="0" w:color="auto"/>
              <w:right w:val="single" w:sz="8" w:space="0" w:color="auto"/>
            </w:tcBorders>
          </w:tcPr>
          <w:p w:rsidR="000773D2" w:rsidRPr="00BB5519" w:rsidRDefault="000773D2" w:rsidP="002C1048">
            <w:pPr>
              <w:numPr>
                <w:ilvl w:val="0"/>
                <w:numId w:val="54"/>
              </w:numPr>
              <w:spacing w:before="120" w:after="200" w:line="276" w:lineRule="auto"/>
              <w:ind w:left="684" w:right="181" w:hanging="450"/>
              <w:rPr>
                <w:lang w:val="de-DE"/>
              </w:rPr>
            </w:pPr>
            <w:r w:rsidRPr="00BB5519">
              <w:rPr>
                <w:rFonts w:eastAsia="Calibri" w:cs="Tahoma"/>
                <w:color w:val="000000"/>
                <w:szCs w:val="18"/>
                <w:lang w:val="de-DE"/>
              </w:rPr>
              <w:t>Office 365 Enterprise E1 und Windows Intune oder</w:t>
            </w:r>
          </w:p>
          <w:p w:rsidR="000773D2" w:rsidRPr="00BB5519" w:rsidRDefault="000773D2" w:rsidP="002C1048">
            <w:pPr>
              <w:numPr>
                <w:ilvl w:val="0"/>
                <w:numId w:val="54"/>
              </w:numPr>
              <w:spacing w:before="120" w:after="200" w:line="276" w:lineRule="auto"/>
              <w:ind w:left="684" w:right="181" w:hanging="450"/>
              <w:rPr>
                <w:lang w:val="de-DE"/>
              </w:rPr>
            </w:pPr>
            <w:r w:rsidRPr="00BB5519">
              <w:rPr>
                <w:rFonts w:eastAsia="Calibri" w:cs="Tahoma"/>
                <w:color w:val="000000"/>
                <w:szCs w:val="18"/>
                <w:lang w:val="de-DE"/>
              </w:rPr>
              <w:t>Office 365 Enterprise E2 und Windows Intune oder</w:t>
            </w:r>
          </w:p>
          <w:p w:rsidR="000773D2" w:rsidRPr="00BB5519" w:rsidRDefault="000773D2" w:rsidP="002C1048">
            <w:pPr>
              <w:numPr>
                <w:ilvl w:val="0"/>
                <w:numId w:val="54"/>
              </w:numPr>
              <w:spacing w:before="120" w:after="200" w:line="276" w:lineRule="auto"/>
              <w:ind w:left="684" w:right="181" w:hanging="450"/>
              <w:rPr>
                <w:lang w:val="de-DE"/>
              </w:rPr>
            </w:pPr>
            <w:r w:rsidRPr="00BB5519">
              <w:rPr>
                <w:rFonts w:eastAsia="Calibri" w:cs="Tahoma"/>
                <w:color w:val="000000"/>
                <w:szCs w:val="18"/>
                <w:lang w:val="de-DE"/>
              </w:rPr>
              <w:t>Office 365 Enterprise E3 und Windows Intune oder</w:t>
            </w:r>
          </w:p>
          <w:p w:rsidR="000773D2" w:rsidRPr="00BB5519" w:rsidRDefault="000773D2" w:rsidP="009B3FA2">
            <w:pPr>
              <w:numPr>
                <w:ilvl w:val="0"/>
                <w:numId w:val="54"/>
              </w:numPr>
              <w:spacing w:before="120" w:after="200" w:line="276" w:lineRule="auto"/>
              <w:ind w:left="684" w:right="181" w:hanging="450"/>
              <w:rPr>
                <w:rFonts w:eastAsia="Calibri" w:cs="Tahoma"/>
                <w:color w:val="000000"/>
                <w:szCs w:val="18"/>
              </w:rPr>
            </w:pPr>
            <w:r w:rsidRPr="00BB5519">
              <w:rPr>
                <w:rFonts w:eastAsia="Calibri" w:cs="Tahoma"/>
                <w:color w:val="000000"/>
                <w:szCs w:val="18"/>
              </w:rPr>
              <w:t>Office 365 Enterprise E4 und Windows Intune</w:t>
            </w:r>
          </w:p>
        </w:tc>
      </w:tr>
      <w:tr w:rsidR="00A2083B" w:rsidRPr="00BB5519" w:rsidTr="00F4605A">
        <w:trPr>
          <w:trHeight w:val="576"/>
        </w:trPr>
        <w:tc>
          <w:tcPr>
            <w:tcW w:w="1616" w:type="pct"/>
            <w:tcBorders>
              <w:top w:val="single" w:sz="8" w:space="0" w:color="auto"/>
              <w:left w:val="single" w:sz="8" w:space="0" w:color="auto"/>
              <w:bottom w:val="single" w:sz="8" w:space="0" w:color="auto"/>
              <w:right w:val="single" w:sz="8" w:space="0" w:color="auto"/>
            </w:tcBorders>
          </w:tcPr>
          <w:p w:rsidR="00A2083B" w:rsidRPr="00BB5519" w:rsidRDefault="00A2083B" w:rsidP="002C1048">
            <w:pPr>
              <w:numPr>
                <w:ilvl w:val="0"/>
                <w:numId w:val="52"/>
              </w:numPr>
              <w:spacing w:before="120" w:after="200" w:line="276" w:lineRule="auto"/>
              <w:ind w:left="679" w:right="181" w:hanging="450"/>
              <w:rPr>
                <w:rFonts w:eastAsia="Calibri" w:cs="Tahoma"/>
                <w:color w:val="000000"/>
                <w:szCs w:val="18"/>
              </w:rPr>
            </w:pPr>
            <w:r w:rsidRPr="00BB5519">
              <w:rPr>
                <w:rFonts w:cs="Tahoma"/>
                <w:color w:val="000000"/>
                <w:szCs w:val="18"/>
              </w:rPr>
              <w:t>Core CAL Suite Bridge für Windows Intune</w:t>
            </w:r>
          </w:p>
        </w:tc>
        <w:tc>
          <w:tcPr>
            <w:tcW w:w="1511" w:type="pct"/>
            <w:tcBorders>
              <w:top w:val="single" w:sz="8" w:space="0" w:color="auto"/>
              <w:left w:val="nil"/>
              <w:bottom w:val="single" w:sz="8" w:space="0" w:color="auto"/>
              <w:right w:val="single" w:sz="8" w:space="0" w:color="auto"/>
            </w:tcBorders>
          </w:tcPr>
          <w:p w:rsidR="00A2083B" w:rsidRPr="00BB5519" w:rsidRDefault="00A2083B" w:rsidP="002C1048">
            <w:pPr>
              <w:numPr>
                <w:ilvl w:val="0"/>
                <w:numId w:val="53"/>
              </w:numPr>
              <w:spacing w:before="120" w:after="200" w:line="276" w:lineRule="auto"/>
              <w:ind w:left="682" w:hanging="450"/>
              <w:rPr>
                <w:rFonts w:eastAsia="Calibri" w:cs="Tahoma"/>
                <w:color w:val="000000"/>
                <w:szCs w:val="18"/>
              </w:rPr>
            </w:pPr>
            <w:r w:rsidRPr="00BB5519">
              <w:rPr>
                <w:rFonts w:cs="Tahoma"/>
                <w:color w:val="000000"/>
                <w:szCs w:val="18"/>
              </w:rPr>
              <w:t>Core-CAL-Suite</w:t>
            </w:r>
          </w:p>
        </w:tc>
        <w:tc>
          <w:tcPr>
            <w:tcW w:w="1873" w:type="pct"/>
            <w:tcBorders>
              <w:top w:val="single" w:sz="8" w:space="0" w:color="auto"/>
              <w:left w:val="nil"/>
              <w:bottom w:val="single" w:sz="8" w:space="0" w:color="auto"/>
              <w:right w:val="single" w:sz="8" w:space="0" w:color="auto"/>
            </w:tcBorders>
          </w:tcPr>
          <w:p w:rsidR="00A2083B" w:rsidRPr="00BB5519" w:rsidRDefault="00A2083B" w:rsidP="002C1048">
            <w:pPr>
              <w:numPr>
                <w:ilvl w:val="0"/>
                <w:numId w:val="54"/>
              </w:numPr>
              <w:spacing w:before="120" w:after="200" w:line="276" w:lineRule="auto"/>
              <w:ind w:left="684" w:right="181" w:hanging="450"/>
              <w:rPr>
                <w:rFonts w:eastAsia="Calibri" w:cs="Tahoma"/>
                <w:color w:val="000000"/>
                <w:szCs w:val="18"/>
              </w:rPr>
            </w:pPr>
            <w:r w:rsidRPr="00BB5519">
              <w:rPr>
                <w:rFonts w:cs="Tahoma"/>
                <w:color w:val="000000"/>
                <w:szCs w:val="18"/>
              </w:rPr>
              <w:t>Windows</w:t>
            </w:r>
            <w:r w:rsidRPr="00BB5519">
              <w:rPr>
                <w:rFonts w:cs="Tahoma"/>
                <w:color w:val="000000"/>
                <w:szCs w:val="18"/>
                <w:vertAlign w:val="superscript"/>
              </w:rPr>
              <w:t xml:space="preserve"> </w:t>
            </w:r>
            <w:r w:rsidRPr="00BB5519">
              <w:rPr>
                <w:rFonts w:cs="Tahoma"/>
                <w:color w:val="000000"/>
                <w:szCs w:val="18"/>
              </w:rPr>
              <w:t>Intune</w:t>
            </w:r>
          </w:p>
        </w:tc>
      </w:tr>
    </w:tbl>
    <w:p w:rsidR="00A66BD2" w:rsidRPr="00BB5519" w:rsidRDefault="00A66BD2" w:rsidP="00AF3B19">
      <w:pPr>
        <w:pStyle w:val="Heading3"/>
      </w:pPr>
      <w:bookmarkStart w:id="1198" w:name="_Toc336338295"/>
      <w:bookmarkStart w:id="1199" w:name="Srv_34CoreCALSuite"/>
      <w:bookmarkStart w:id="1200" w:name="Srv_31CoreCALSuite"/>
    </w:p>
    <w:p w:rsidR="00A66BD2" w:rsidRPr="00BB5519" w:rsidRDefault="00A66BD2" w:rsidP="00AF3B19">
      <w:pPr>
        <w:pStyle w:val="Heading3"/>
      </w:pPr>
    </w:p>
    <w:p w:rsidR="00023FE7" w:rsidRPr="00BB5519" w:rsidRDefault="004668D9" w:rsidP="00F4605A">
      <w:pPr>
        <w:pStyle w:val="Heading3"/>
        <w:keepNext/>
        <w:keepLines/>
      </w:pPr>
      <w:bookmarkStart w:id="1201" w:name="_37_Core_CAL"/>
      <w:bookmarkStart w:id="1202" w:name="_Toc354054992"/>
      <w:bookmarkEnd w:id="1201"/>
      <w:r w:rsidRPr="00BB5519">
        <w:rPr>
          <w:rFonts w:ascii="Tahoma" w:hAnsi="Tahoma"/>
          <w:caps/>
          <w:color w:val="F66400"/>
          <w:sz w:val="22"/>
          <w:vertAlign w:val="superscript"/>
        </w:rPr>
        <w:lastRenderedPageBreak/>
        <w:t>37</w:t>
      </w:r>
      <w:r w:rsidRPr="00BB5519">
        <w:rPr>
          <w:rFonts w:ascii="Tahoma" w:hAnsi="Tahoma"/>
          <w:color w:val="F66400"/>
          <w:sz w:val="22"/>
        </w:rPr>
        <w:t xml:space="preserve"> Core CAL Suite</w:t>
      </w:r>
      <w:bookmarkEnd w:id="1198"/>
      <w:bookmarkEnd w:id="1202"/>
    </w:p>
    <w:bookmarkEnd w:id="1199"/>
    <w:bookmarkEnd w:id="1200"/>
    <w:p w:rsidR="00023FE7" w:rsidRPr="00BB5519" w:rsidRDefault="00023FE7" w:rsidP="00F4605A">
      <w:pPr>
        <w:keepNext/>
        <w:keepLines/>
        <w:ind w:firstLine="540"/>
      </w:pPr>
    </w:p>
    <w:p w:rsidR="000D76F0" w:rsidRPr="00BB5519" w:rsidRDefault="000D76F0" w:rsidP="00F4605A">
      <w:pPr>
        <w:keepNext/>
        <w:keepLines/>
        <w:ind w:left="720"/>
        <w:rPr>
          <w:lang w:val="de-DE"/>
        </w:rPr>
      </w:pPr>
      <w:r w:rsidRPr="00BB5519">
        <w:rPr>
          <w:rFonts w:cs="Tahoma"/>
          <w:szCs w:val="20"/>
          <w:lang w:val="de-DE"/>
        </w:rPr>
        <w:t>Core CAL Suite hat keine Versionsnummer, und die Produktbenutzungsrechte hängen vom Status der Software Assurance für Core CAL Suite ab.</w:t>
      </w:r>
      <w:r w:rsidR="009E4976" w:rsidRPr="00BB5519">
        <w:rPr>
          <w:rFonts w:cs="Tahoma"/>
          <w:szCs w:val="20"/>
          <w:lang w:val="de-DE"/>
        </w:rPr>
        <w:t xml:space="preserve"> </w:t>
      </w:r>
      <w:r w:rsidRPr="00BB5519">
        <w:rPr>
          <w:rFonts w:cs="Tahoma"/>
          <w:szCs w:val="20"/>
          <w:lang w:val="de-DE"/>
        </w:rPr>
        <w:t>Falls Software Assurance unterbrochen wurde, hängen die Zugriffsrechte im Rahmen zeitlich unbeschränkter Lizenzen von den Produktbenutzungsrechten ab, die vor der Unterbrechung galten.</w:t>
      </w:r>
      <w:r w:rsidR="009E4976" w:rsidRPr="00BB5519">
        <w:rPr>
          <w:rFonts w:cs="Tahoma"/>
          <w:szCs w:val="20"/>
          <w:lang w:val="de-DE"/>
        </w:rPr>
        <w:t xml:space="preserve"> </w:t>
      </w:r>
      <w:r w:rsidRPr="00BB5519">
        <w:rPr>
          <w:rFonts w:cs="Tahoma"/>
          <w:szCs w:val="20"/>
          <w:lang w:val="de-DE"/>
        </w:rPr>
        <w:t xml:space="preserve">Ab dem 1. Dezember 2012 gewährt eine Lizenz für Core </w:t>
      </w:r>
      <w:r w:rsidRPr="00BB5519">
        <w:rPr>
          <w:rFonts w:cs="Tahoma"/>
          <w:color w:val="000000"/>
          <w:szCs w:val="20"/>
          <w:lang w:val="de-DE"/>
        </w:rPr>
        <w:t xml:space="preserve">CAL Suite mit aktiver Software Assurance Rechte an Folgendem: CAL für Windows Server 2012, Standard-CAL für Exchange Server 2013, </w:t>
      </w:r>
      <w:r w:rsidRPr="00BB5519">
        <w:rPr>
          <w:color w:val="000000"/>
          <w:lang w:val="de-DE"/>
        </w:rPr>
        <w:t xml:space="preserve">Standard-CAL für Lync Server 2013, Standard-CAL für </w:t>
      </w:r>
      <w:r w:rsidRPr="00BB5519">
        <w:rPr>
          <w:rFonts w:cs="Tahoma"/>
          <w:color w:val="000000"/>
          <w:szCs w:val="20"/>
          <w:lang w:val="de-DE"/>
        </w:rPr>
        <w:t>SharePoint</w:t>
      </w:r>
      <w:r w:rsidRPr="00BB5519">
        <w:rPr>
          <w:rFonts w:cs="Tahoma"/>
          <w:szCs w:val="20"/>
          <w:lang w:val="de-DE"/>
        </w:rPr>
        <w:t xml:space="preserve"> Server 2013, Client-Management-Lizenz für System Center 2012 Configuration Manager und System Center 2012 Endpoint Protection</w:t>
      </w:r>
      <w:r w:rsidRPr="00BB5519">
        <w:rPr>
          <w:rFonts w:cs="Tahoma"/>
          <w:color w:val="000000"/>
          <w:szCs w:val="20"/>
          <w:lang w:val="de-DE"/>
        </w:rPr>
        <w:t>.</w:t>
      </w:r>
      <w:r w:rsidR="009E4976" w:rsidRPr="00BB5519">
        <w:rPr>
          <w:rFonts w:cs="Tahoma"/>
          <w:color w:val="000000"/>
          <w:szCs w:val="20"/>
          <w:lang w:val="de-DE"/>
        </w:rPr>
        <w:t xml:space="preserve"> </w:t>
      </w:r>
      <w:r w:rsidRPr="00BB5519">
        <w:rPr>
          <w:rFonts w:cs="Tahoma"/>
          <w:color w:val="000000"/>
          <w:szCs w:val="18"/>
          <w:lang w:val="de-DE"/>
        </w:rPr>
        <w:t>Eine Lizenz für Core CAL Suite ist eine einzelne Lizenz, die einem einzelnen Nutzer oder Gerät zugewiesen werden muss.</w:t>
      </w:r>
      <w:r w:rsidR="009E4976" w:rsidRPr="00BB5519">
        <w:rPr>
          <w:rFonts w:cs="Tahoma"/>
          <w:color w:val="000000"/>
          <w:szCs w:val="18"/>
          <w:lang w:val="de-DE"/>
        </w:rPr>
        <w:t xml:space="preserve"> </w:t>
      </w:r>
      <w:r w:rsidRPr="00BB5519">
        <w:rPr>
          <w:rFonts w:cs="Tahoma"/>
          <w:color w:val="000000"/>
          <w:szCs w:val="18"/>
          <w:lang w:val="de-DE"/>
        </w:rPr>
        <w:t xml:space="preserve">Wie im Volumenlizenzvertrag dargelegt, dürfen Kunden die Rechte unter Core CAL Suite nicht trennen, um zwei oder mehr Nutzern oder Geräten, den gleichzeitigen Zugriff auf ihre verschiedenen Komponenten zu ermöglichen. </w:t>
      </w:r>
    </w:p>
    <w:p w:rsidR="00023FE7" w:rsidRPr="00BB5519" w:rsidRDefault="00023FE7" w:rsidP="001154B5">
      <w:pPr>
        <w:ind w:left="720"/>
        <w:rPr>
          <w:lang w:val="de-DE"/>
        </w:rPr>
      </w:pPr>
    </w:p>
    <w:p w:rsidR="00023FE7" w:rsidRPr="00BB5519" w:rsidRDefault="00023FE7" w:rsidP="00A66BD2">
      <w:pPr>
        <w:spacing w:after="60"/>
        <w:ind w:left="720"/>
        <w:rPr>
          <w:lang w:val="de-DE"/>
        </w:rPr>
      </w:pPr>
      <w:r w:rsidRPr="00BB5519">
        <w:rPr>
          <w:rFonts w:cs="Tahoma"/>
          <w:b/>
          <w:bCs/>
          <w:color w:val="000000"/>
          <w:szCs w:val="20"/>
          <w:lang w:val="de-DE"/>
        </w:rPr>
        <w:t>CALs für Studenten (Open- und Select-Lizenz für Forschung &amp; Lehre)</w:t>
      </w:r>
    </w:p>
    <w:p w:rsidR="00023FE7" w:rsidRPr="00BB5519" w:rsidRDefault="00023FE7" w:rsidP="00F4605A">
      <w:pPr>
        <w:ind w:left="720"/>
        <w:rPr>
          <w:lang w:val="de-DE"/>
        </w:rPr>
      </w:pPr>
      <w:r w:rsidRPr="00BB5519">
        <w:rPr>
          <w:rFonts w:cs="Tahoma"/>
          <w:szCs w:val="20"/>
          <w:lang w:val="de-DE"/>
        </w:rPr>
        <w:t>CALs für Studenten dienen nur der Lizenzierung von PCs, die Studenten oder Einrichtungen gehören und die</w:t>
      </w:r>
      <w:r w:rsidR="00F4605A">
        <w:rPr>
          <w:rFonts w:cs="Tahoma"/>
          <w:szCs w:val="20"/>
          <w:lang w:val="de-DE"/>
        </w:rPr>
        <w:t> </w:t>
      </w:r>
      <w:r w:rsidRPr="00BB5519">
        <w:rPr>
          <w:rFonts w:cs="Tahoma"/>
          <w:szCs w:val="20"/>
          <w:lang w:val="de-DE"/>
        </w:rPr>
        <w:t>ausschließlich für die individuelle studentische Nutzung und NICHT für die Nutzung in einem Labor oder Hörsaal bestimmt sind.</w:t>
      </w:r>
    </w:p>
    <w:p w:rsidR="0036063B" w:rsidRPr="00BB5519" w:rsidRDefault="0036063B" w:rsidP="00AF3B19">
      <w:pPr>
        <w:rPr>
          <w:lang w:val="de-DE"/>
        </w:rPr>
      </w:pPr>
    </w:p>
    <w:p w:rsidR="00285E3D" w:rsidRPr="00BB5519" w:rsidRDefault="00285E3D" w:rsidP="00AF3B19">
      <w:pPr>
        <w:rPr>
          <w:lang w:val="de-DE"/>
        </w:rPr>
      </w:pPr>
    </w:p>
    <w:p w:rsidR="00B947E4" w:rsidRPr="00BB5519" w:rsidRDefault="004668D9" w:rsidP="00416294">
      <w:pPr>
        <w:pStyle w:val="Heading3"/>
        <w:rPr>
          <w:lang w:val="de-DE"/>
        </w:rPr>
      </w:pPr>
      <w:bookmarkStart w:id="1203" w:name="_38_Core_Infrastructure_1"/>
      <w:bookmarkStart w:id="1204" w:name="_Toc336338296"/>
      <w:bookmarkStart w:id="1205" w:name="_Toc354054993"/>
      <w:bookmarkStart w:id="1206" w:name="Srv_35CoreInfraServerSuiteStd"/>
      <w:bookmarkStart w:id="1207" w:name="Srv_32CoreInfraServerSuiteStd"/>
      <w:bookmarkStart w:id="1208" w:name="Srv_35DynCRMWorkProEnt"/>
      <w:bookmarkEnd w:id="1203"/>
      <w:r w:rsidRPr="00BB5519">
        <w:rPr>
          <w:rFonts w:ascii="Tahoma" w:hAnsi="Tahoma"/>
          <w:caps/>
          <w:color w:val="F66400"/>
          <w:sz w:val="22"/>
          <w:vertAlign w:val="superscript"/>
          <w:lang w:val="de-DE"/>
        </w:rPr>
        <w:t>38</w:t>
      </w:r>
      <w:r w:rsidRPr="00BB5519">
        <w:rPr>
          <w:rFonts w:ascii="Tahoma" w:hAnsi="Tahoma"/>
          <w:color w:val="F66400"/>
          <w:sz w:val="22"/>
          <w:lang w:val="de-DE"/>
        </w:rPr>
        <w:t xml:space="preserve"> Core Infrastructure Server Suite Standard</w:t>
      </w:r>
      <w:bookmarkEnd w:id="1204"/>
      <w:bookmarkEnd w:id="1205"/>
    </w:p>
    <w:bookmarkEnd w:id="1206"/>
    <w:bookmarkEnd w:id="1207"/>
    <w:p w:rsidR="004D776B" w:rsidRPr="00BB5519" w:rsidRDefault="004D776B" w:rsidP="00416294">
      <w:pPr>
        <w:rPr>
          <w:lang w:val="de-DE"/>
        </w:rPr>
      </w:pPr>
    </w:p>
    <w:p w:rsidR="004D776B" w:rsidRPr="00BB5519" w:rsidRDefault="00A66BD2" w:rsidP="00A66BD2">
      <w:pPr>
        <w:spacing w:after="60"/>
        <w:ind w:left="720"/>
        <w:rPr>
          <w:lang w:val="de-DE"/>
        </w:rPr>
      </w:pPr>
      <w:r w:rsidRPr="00BB5519">
        <w:rPr>
          <w:rFonts w:eastAsia="Calibri" w:cs="Tahoma"/>
          <w:b/>
          <w:szCs w:val="18"/>
          <w:lang w:val="de-DE"/>
        </w:rPr>
        <w:t>Migration zu Neuem Lizenzmodell</w:t>
      </w:r>
    </w:p>
    <w:p w:rsidR="004D776B" w:rsidRPr="00BB5519" w:rsidRDefault="004D776B" w:rsidP="00A66BD2">
      <w:pPr>
        <w:ind w:left="720"/>
        <w:rPr>
          <w:lang w:val="de-DE"/>
        </w:rPr>
      </w:pPr>
      <w:r w:rsidRPr="00BB5519">
        <w:rPr>
          <w:rFonts w:eastAsia="Calibri" w:cs="Tahoma"/>
          <w:szCs w:val="18"/>
          <w:lang w:val="de-DE"/>
        </w:rPr>
        <w:t>Zum 1. April 2012 wurde das Lizenzmodell für CIS geändert. Unter neuen Beitritten, die nach dem 1. April 2012 wirksam wurden, erworbene Lizenzen können bis zu zwei physische Prozessoren lizenzieren.</w:t>
      </w:r>
    </w:p>
    <w:p w:rsidR="00A66BD2" w:rsidRPr="00BB5519" w:rsidRDefault="00A66BD2" w:rsidP="00A66BD2">
      <w:pPr>
        <w:ind w:left="720"/>
        <w:rPr>
          <w:lang w:val="de-DE"/>
        </w:rPr>
      </w:pPr>
    </w:p>
    <w:p w:rsidR="004D776B" w:rsidRPr="00BB5519" w:rsidRDefault="004D776B" w:rsidP="00A66BD2">
      <w:pPr>
        <w:ind w:left="720"/>
        <w:rPr>
          <w:lang w:val="de-DE"/>
        </w:rPr>
      </w:pPr>
      <w:r w:rsidRPr="00BB5519">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4D776B" w:rsidRPr="00BB5519" w:rsidRDefault="004D776B" w:rsidP="00A66BD2">
      <w:pPr>
        <w:pStyle w:val="ListParagraph"/>
        <w:contextualSpacing w:val="0"/>
        <w:rPr>
          <w:lang w:val="de-DE"/>
        </w:rPr>
      </w:pPr>
      <w:r w:rsidRPr="00BB5519">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1:1. Bei Verlängerung können Kunden Software Assurance zu Lizenzen unter dem neuen Modell verlängern.</w:t>
      </w:r>
    </w:p>
    <w:p w:rsidR="00973A93" w:rsidRPr="00BB5519" w:rsidRDefault="00973A93">
      <w:pPr>
        <w:rPr>
          <w:lang w:val="de-DE"/>
        </w:rPr>
      </w:pPr>
    </w:p>
    <w:p w:rsidR="004D776B" w:rsidRPr="00BB5519" w:rsidRDefault="004D776B" w:rsidP="00A66BD2">
      <w:pPr>
        <w:spacing w:after="60"/>
        <w:ind w:left="720"/>
        <w:rPr>
          <w:lang w:val="de-DE"/>
        </w:rPr>
      </w:pPr>
      <w:r w:rsidRPr="00BB5519">
        <w:rPr>
          <w:rFonts w:eastAsia="Calibri" w:cs="Tahoma"/>
          <w:b/>
          <w:szCs w:val="18"/>
          <w:lang w:val="de-DE"/>
        </w:rPr>
        <w:t>Herausgabe einer Neuen Version von Windows Server</w:t>
      </w:r>
    </w:p>
    <w:p w:rsidR="004D776B" w:rsidRPr="00BB5519" w:rsidRDefault="004D776B" w:rsidP="00A66BD2">
      <w:pPr>
        <w:ind w:left="720"/>
        <w:rPr>
          <w:lang w:val="de-DE"/>
        </w:rPr>
      </w:pPr>
      <w:r w:rsidRPr="00BB5519">
        <w:rPr>
          <w:rFonts w:eastAsia="Calibri" w:cs="Tahoma"/>
          <w:szCs w:val="18"/>
          <w:lang w:val="de-DE"/>
        </w:rPr>
        <w:t>Kunden mit Lizenzen für Core Infrastructure Server Suite Standard, die zum 1. September 2012 über aktive Software Assurance verfügen, sind berechtigt, die folgenden Produkte vorbehaltlich der Produktbenutzungsrechte für Core Infrastructure Server Suite Standard zu nutzen:</w:t>
      </w:r>
    </w:p>
    <w:p w:rsidR="00A66BD2" w:rsidRPr="00BB5519" w:rsidRDefault="00A66BD2" w:rsidP="00A66BD2">
      <w:pPr>
        <w:ind w:left="720"/>
        <w:rPr>
          <w:lang w:val="de-DE"/>
        </w:rPr>
      </w:pPr>
    </w:p>
    <w:p w:rsidR="004D776B" w:rsidRPr="00BB5519" w:rsidRDefault="004D776B" w:rsidP="00A66BD2">
      <w:pPr>
        <w:numPr>
          <w:ilvl w:val="0"/>
          <w:numId w:val="25"/>
        </w:numPr>
        <w:tabs>
          <w:tab w:val="left" w:pos="1440"/>
          <w:tab w:val="left" w:pos="3510"/>
        </w:tabs>
        <w:spacing w:after="60"/>
      </w:pPr>
      <w:r w:rsidRPr="00BB5519">
        <w:rPr>
          <w:rFonts w:eastAsia="Calibri" w:cs="Tahoma"/>
          <w:szCs w:val="18"/>
        </w:rPr>
        <w:t>Windows Server 2012 Standard</w:t>
      </w:r>
    </w:p>
    <w:p w:rsidR="004D776B" w:rsidRPr="00BB5519" w:rsidRDefault="004D776B" w:rsidP="00A66BD2">
      <w:pPr>
        <w:numPr>
          <w:ilvl w:val="0"/>
          <w:numId w:val="25"/>
        </w:numPr>
        <w:tabs>
          <w:tab w:val="left" w:pos="1440"/>
          <w:tab w:val="left" w:pos="3510"/>
        </w:tabs>
        <w:spacing w:after="60"/>
      </w:pPr>
      <w:r w:rsidRPr="00BB5519">
        <w:rPr>
          <w:rFonts w:eastAsia="Calibri" w:cs="Tahoma"/>
          <w:szCs w:val="18"/>
        </w:rPr>
        <w:t>System Center 2012 Standard</w:t>
      </w:r>
    </w:p>
    <w:p w:rsidR="00A66BD2" w:rsidRPr="00BB5519" w:rsidRDefault="00A66BD2" w:rsidP="00A66BD2">
      <w:pPr>
        <w:tabs>
          <w:tab w:val="left" w:pos="1440"/>
          <w:tab w:val="left" w:pos="3510"/>
        </w:tabs>
      </w:pPr>
    </w:p>
    <w:p w:rsidR="004D776B" w:rsidRPr="00BB5519" w:rsidRDefault="004D776B" w:rsidP="00A66BD2">
      <w:pPr>
        <w:ind w:left="720"/>
        <w:rPr>
          <w:lang w:val="de-DE"/>
        </w:rPr>
      </w:pPr>
      <w:r w:rsidRPr="00BB5519">
        <w:rPr>
          <w:rFonts w:eastAsia="Calibri" w:cs="Tahoma"/>
          <w:szCs w:val="18"/>
          <w:lang w:val="de-DE"/>
        </w:rPr>
        <w:t>Für jeden Server, der ordnungsgemäß für Core Infrastructure Server Suite Standard lizenziert ist, sind Kunden berechtigt, eine Instanz von Windows Server 2008 R2 Enterprise anstelle von Windows Server Standard auszuführen.</w:t>
      </w:r>
    </w:p>
    <w:p w:rsidR="00A66BD2" w:rsidRPr="00BB5519" w:rsidRDefault="00A66BD2" w:rsidP="00A66BD2">
      <w:pPr>
        <w:ind w:left="720"/>
        <w:rPr>
          <w:lang w:val="de-DE"/>
        </w:rPr>
      </w:pPr>
    </w:p>
    <w:p w:rsidR="004D776B" w:rsidRPr="00BB5519" w:rsidRDefault="004D776B" w:rsidP="00A66BD2">
      <w:pPr>
        <w:spacing w:after="60"/>
        <w:ind w:left="720"/>
        <w:rPr>
          <w:lang w:val="de-DE"/>
        </w:rPr>
      </w:pPr>
      <w:r w:rsidRPr="00BB5519">
        <w:rPr>
          <w:rFonts w:eastAsia="Calibri" w:cs="Tahoma"/>
          <w:b/>
          <w:szCs w:val="18"/>
          <w:lang w:val="de-DE"/>
        </w:rPr>
        <w:t>Software Assurance-Verlängerungsangebot für Windows Server Standard- und System Center Standard-Kunden sowie Windows Server Enterprise- und System Center Standard-Kunden</w:t>
      </w:r>
    </w:p>
    <w:p w:rsidR="004D776B" w:rsidRPr="00BB5519" w:rsidRDefault="004D776B" w:rsidP="00F4605A">
      <w:pPr>
        <w:ind w:left="720"/>
        <w:rPr>
          <w:lang w:val="de-DE"/>
        </w:rPr>
      </w:pPr>
      <w:r w:rsidRPr="00BB5519">
        <w:rPr>
          <w:rFonts w:eastAsia="Calibri" w:cs="Tahoma"/>
          <w:szCs w:val="18"/>
          <w:lang w:val="de-DE"/>
        </w:rPr>
        <w:t>Kunden, die über Lizenzen mit aktiver Software Assurance für alle Produkte in der nachfolgenden Tabelle A</w:t>
      </w:r>
      <w:r w:rsidR="00F4605A">
        <w:rPr>
          <w:rFonts w:eastAsia="Calibri" w:cs="Tahoma"/>
          <w:szCs w:val="18"/>
          <w:lang w:val="de-DE"/>
        </w:rPr>
        <w:t> </w:t>
      </w:r>
      <w:r w:rsidRPr="00BB5519">
        <w:rPr>
          <w:rFonts w:eastAsia="Calibri" w:cs="Tahoma"/>
          <w:szCs w:val="18"/>
          <w:lang w:val="de-DE"/>
        </w:rPr>
        <w:t>verfügen, sind berechtigt, nach Ablauf dieser Software Assurance Software Assurance für Core Infrastructure Server Suite Standard zu erwerben, ohne die zugrunde liegende Lizenz für Core Infrastructure</w:t>
      </w:r>
      <w:r w:rsidR="00F4605A">
        <w:rPr>
          <w:rFonts w:eastAsia="Calibri" w:cs="Tahoma"/>
          <w:szCs w:val="18"/>
          <w:lang w:val="de-DE"/>
        </w:rPr>
        <w:t> </w:t>
      </w:r>
      <w:r w:rsidRPr="00BB5519">
        <w:rPr>
          <w:rFonts w:eastAsia="Calibri" w:cs="Tahoma"/>
          <w:szCs w:val="18"/>
          <w:lang w:val="de-DE"/>
        </w:rPr>
        <w:t>Server Suite Standard zu erwerben.</w:t>
      </w:r>
    </w:p>
    <w:p w:rsidR="00A66BD2" w:rsidRDefault="00A66BD2" w:rsidP="00A66BD2">
      <w:pPr>
        <w:ind w:left="720"/>
        <w:rPr>
          <w:lang w:val="de-DE"/>
        </w:rPr>
      </w:pPr>
    </w:p>
    <w:p w:rsidR="00F4605A" w:rsidRDefault="00F4605A" w:rsidP="00A66BD2">
      <w:pPr>
        <w:ind w:left="720"/>
        <w:rPr>
          <w:lang w:val="de-DE"/>
        </w:rPr>
      </w:pPr>
    </w:p>
    <w:p w:rsidR="00F4605A" w:rsidRDefault="00F4605A" w:rsidP="00A66BD2">
      <w:pPr>
        <w:ind w:left="720"/>
        <w:rPr>
          <w:lang w:val="de-DE"/>
        </w:rPr>
      </w:pPr>
    </w:p>
    <w:p w:rsidR="00F4605A" w:rsidRPr="00BB5519" w:rsidRDefault="00F4605A" w:rsidP="00A66BD2">
      <w:pPr>
        <w:ind w:left="720"/>
        <w:rPr>
          <w:lang w:val="de-D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BB5519"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BB5519" w:rsidRDefault="004D776B" w:rsidP="007E466C">
            <w:pPr>
              <w:spacing w:before="120" w:after="120" w:line="276" w:lineRule="auto"/>
              <w:ind w:left="-404"/>
              <w:jc w:val="center"/>
              <w:rPr>
                <w:rFonts w:eastAsia="Calibri" w:cs="Tahoma"/>
                <w:b/>
                <w:szCs w:val="18"/>
              </w:rPr>
            </w:pPr>
            <w:r w:rsidRPr="00BB5519">
              <w:rPr>
                <w:rFonts w:eastAsia="Calibri" w:cs="Tahoma"/>
                <w:b/>
                <w:szCs w:val="18"/>
              </w:rPr>
              <w:lastRenderedPageBreak/>
              <w:t>Tabelle A</w:t>
            </w:r>
          </w:p>
        </w:tc>
      </w:tr>
      <w:tr w:rsidR="004D776B" w:rsidRPr="00BB5519"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BB5519" w:rsidRDefault="004D776B" w:rsidP="007E466C">
            <w:pPr>
              <w:spacing w:before="120" w:after="120" w:line="276" w:lineRule="auto"/>
              <w:ind w:left="-404"/>
              <w:jc w:val="center"/>
              <w:rPr>
                <w:rFonts w:eastAsia="Calibri" w:cs="Tahoma"/>
                <w:szCs w:val="18"/>
              </w:rPr>
            </w:pPr>
            <w:r w:rsidRPr="00BB5519">
              <w:rPr>
                <w:rFonts w:eastAsia="Calibri" w:cs="Tahoma"/>
                <w:szCs w:val="18"/>
              </w:rPr>
              <w:t>Windows Server Standard</w:t>
            </w:r>
          </w:p>
        </w:tc>
      </w:tr>
      <w:tr w:rsidR="004D776B" w:rsidRPr="00BB5519"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BB5519" w:rsidRDefault="004D776B" w:rsidP="007E466C">
            <w:pPr>
              <w:spacing w:before="120" w:after="120" w:line="276" w:lineRule="auto"/>
              <w:ind w:left="-404"/>
              <w:jc w:val="center"/>
              <w:rPr>
                <w:rFonts w:eastAsia="Calibri" w:cs="Tahoma"/>
                <w:szCs w:val="18"/>
              </w:rPr>
            </w:pPr>
            <w:r w:rsidRPr="00BB5519">
              <w:rPr>
                <w:rFonts w:eastAsia="Calibri" w:cs="Tahoma"/>
                <w:szCs w:val="18"/>
              </w:rPr>
              <w:t>System Center Standard</w:t>
            </w:r>
          </w:p>
        </w:tc>
      </w:tr>
    </w:tbl>
    <w:p w:rsidR="00416294" w:rsidRPr="00BB5519" w:rsidRDefault="00416294" w:rsidP="00416294">
      <w:pPr>
        <w:ind w:left="547"/>
      </w:pPr>
    </w:p>
    <w:p w:rsidR="004D776B" w:rsidRPr="00BB5519" w:rsidRDefault="004D776B" w:rsidP="00A66BD2">
      <w:pPr>
        <w:ind w:left="720"/>
        <w:rPr>
          <w:lang w:val="de-DE"/>
        </w:rPr>
      </w:pPr>
      <w:r w:rsidRPr="00BB5519">
        <w:rPr>
          <w:rFonts w:eastAsia="Calibri" w:cs="Tahoma"/>
          <w:szCs w:val="18"/>
          <w:lang w:val="de-DE"/>
        </w:rPr>
        <w:t xml:space="preserve">Kunden sind berechtigt, für jeden Satz qualifizierender Lizenzen in oben aufgeführter Tabelle A Software Assurance für eine Lizenz von Core Infrastructure Server Suite Standard zu erwerben. </w:t>
      </w:r>
    </w:p>
    <w:p w:rsidR="00A66BD2" w:rsidRPr="00BB5519" w:rsidRDefault="00A66BD2" w:rsidP="00A66BD2">
      <w:pPr>
        <w:ind w:left="720"/>
        <w:rPr>
          <w:lang w:val="de-DE"/>
        </w:rPr>
      </w:pPr>
    </w:p>
    <w:p w:rsidR="004D776B" w:rsidRPr="00BB5519" w:rsidRDefault="004D776B" w:rsidP="00A66BD2">
      <w:pPr>
        <w:ind w:left="720"/>
        <w:rPr>
          <w:lang w:val="de-DE"/>
        </w:rPr>
      </w:pPr>
      <w:r w:rsidRPr="00BB5519">
        <w:rPr>
          <w:rFonts w:eastAsia="Calibri" w:cs="Tahoma"/>
          <w:szCs w:val="18"/>
          <w:lang w:val="de-DE"/>
        </w:rPr>
        <w:t>Kunden, die Core Infrastructure Server Suite Standard unter diesem Angebot lizenzieren und verwenden, können Software unter ihren qualifizierenden Lizenzen nicht mehr nutzen. Lizenzen und Software Assurance, die unter einem Abonnementvertrag erworben wurden, sind für dieses Angebot nicht qualifiziert.</w:t>
      </w:r>
    </w:p>
    <w:p w:rsidR="00A66BD2" w:rsidRPr="00BB5519" w:rsidRDefault="00A66BD2" w:rsidP="00A66BD2">
      <w:pPr>
        <w:ind w:left="720"/>
        <w:rPr>
          <w:lang w:val="de-DE"/>
        </w:rPr>
      </w:pPr>
    </w:p>
    <w:p w:rsidR="00A66BD2" w:rsidRPr="00BB5519" w:rsidRDefault="004D776B" w:rsidP="00A66BD2">
      <w:pPr>
        <w:spacing w:after="60"/>
        <w:ind w:left="720"/>
        <w:rPr>
          <w:lang w:val="de-DE"/>
        </w:rPr>
      </w:pPr>
      <w:r w:rsidRPr="00BB5519">
        <w:rPr>
          <w:rFonts w:eastAsia="Calibri" w:cs="Tahoma"/>
          <w:b/>
          <w:szCs w:val="18"/>
          <w:lang w:val="de-DE"/>
        </w:rPr>
        <w:t>Step Up von Windows Server Standard oder System Center Standard zu Core Infrastructure Server Suite Standard</w:t>
      </w:r>
    </w:p>
    <w:p w:rsidR="004D776B" w:rsidRPr="00BB5519" w:rsidRDefault="004D776B" w:rsidP="00A66BD2">
      <w:pPr>
        <w:ind w:left="720"/>
        <w:rPr>
          <w:lang w:val="de-DE"/>
        </w:rPr>
      </w:pPr>
      <w:r w:rsidRPr="00BB5519">
        <w:rPr>
          <w:rFonts w:eastAsia="Calibri" w:cs="Tahoma"/>
          <w:szCs w:val="18"/>
          <w:lang w:val="de-DE"/>
        </w:rPr>
        <w:t>Kunden sind berechtigt, ein Step Up von Windows Server Standard oder System Center Standard zu Core Infrastructure Server Suite Standard durchzuführen, indem sie die entsprechende Step Up-Lizenz für Core Infrastructure Server Suite Standard erwerben.</w:t>
      </w:r>
      <w:r w:rsidR="009E4976" w:rsidRPr="00BB5519">
        <w:rPr>
          <w:rFonts w:eastAsia="Calibri" w:cs="Tahoma"/>
          <w:szCs w:val="18"/>
          <w:lang w:val="de-DE"/>
        </w:rPr>
        <w:t xml:space="preserve"> </w:t>
      </w:r>
      <w:r w:rsidRPr="00BB5519">
        <w:rPr>
          <w:rFonts w:eastAsia="Calibri" w:cs="Tahoma"/>
          <w:szCs w:val="18"/>
          <w:lang w:val="de-DE"/>
        </w:rPr>
        <w:t>Um diese Step Up-Lizenz erwerben zu können, müssen die Kunden über eine aktive Software Assurance für ihre Windows Server Standard- oder System Center Standard-Lizenz verfügen.</w:t>
      </w:r>
      <w:r w:rsidR="009E4976" w:rsidRPr="00BB5519">
        <w:rPr>
          <w:rFonts w:eastAsia="Calibri" w:cs="Tahoma"/>
          <w:szCs w:val="18"/>
          <w:lang w:val="de-DE"/>
        </w:rPr>
        <w:t xml:space="preserve"> </w:t>
      </w:r>
    </w:p>
    <w:p w:rsidR="00A66BD2" w:rsidRPr="00BB5519" w:rsidRDefault="00A66BD2" w:rsidP="00A66BD2">
      <w:pPr>
        <w:ind w:left="720"/>
        <w:rPr>
          <w:lang w:val="de-DE"/>
        </w:rPr>
      </w:pPr>
    </w:p>
    <w:p w:rsidR="004D776B" w:rsidRPr="00BB5519" w:rsidRDefault="004D776B" w:rsidP="00A66BD2">
      <w:pPr>
        <w:ind w:left="720"/>
        <w:rPr>
          <w:lang w:val="de-DE"/>
        </w:rPr>
      </w:pPr>
      <w:r w:rsidRPr="00BB5519">
        <w:rPr>
          <w:rFonts w:eastAsia="Calibri" w:cs="Tahoma"/>
          <w:szCs w:val="18"/>
          <w:lang w:val="de-DE"/>
        </w:rPr>
        <w:t>Für jede qualifizierende Windows Server Standard-Lizenz, die der Kunde besitzt, ist der Kunde berechtigt, eine Step Up-Lizenz für Core Infrastructure Server Suite Standard zu erwerben.</w:t>
      </w:r>
    </w:p>
    <w:p w:rsidR="00A66BD2" w:rsidRPr="00BB5519" w:rsidRDefault="00A66BD2" w:rsidP="00A66BD2">
      <w:pPr>
        <w:ind w:left="720"/>
        <w:rPr>
          <w:lang w:val="de-DE"/>
        </w:rPr>
      </w:pPr>
    </w:p>
    <w:p w:rsidR="004D776B" w:rsidRPr="00BB5519" w:rsidRDefault="004D776B" w:rsidP="00A66BD2">
      <w:pPr>
        <w:ind w:left="720"/>
        <w:rPr>
          <w:lang w:val="de-DE"/>
        </w:rPr>
      </w:pPr>
      <w:r w:rsidRPr="00BB5519">
        <w:rPr>
          <w:rFonts w:eastAsia="Calibri" w:cs="Tahoma"/>
          <w:szCs w:val="18"/>
          <w:lang w:val="de-DE"/>
        </w:rPr>
        <w:t>Für jede qualifizierende System Center Standard-Lizenz, die der Kunde besitzt, ist der Kunde berechtigt, eine Step Up-Lizenz für Core Infrastructure Server Suite Standard zu erwerben.</w:t>
      </w:r>
    </w:p>
    <w:p w:rsidR="00A66BD2" w:rsidRPr="00BB5519" w:rsidRDefault="00A66BD2" w:rsidP="00A66BD2">
      <w:pPr>
        <w:ind w:left="720"/>
        <w:rPr>
          <w:lang w:val="de-DE"/>
        </w:rPr>
      </w:pPr>
    </w:p>
    <w:p w:rsidR="004D776B" w:rsidRPr="00BB5519" w:rsidRDefault="004D776B" w:rsidP="004211C8">
      <w:pPr>
        <w:ind w:left="720"/>
        <w:rPr>
          <w:lang w:val="de-DE"/>
        </w:rPr>
      </w:pPr>
      <w:r w:rsidRPr="00BB5519">
        <w:rPr>
          <w:rFonts w:eastAsia="Calibri" w:cs="Tahoma"/>
          <w:szCs w:val="18"/>
          <w:lang w:val="de-DE"/>
        </w:rPr>
        <w:t>Das Recht der Kunden zur Nutzung der Software unter der Lizenz für Core Infrastructure Server Suite Standard setzt voraus, dass die Kunden alle übrigen Zahlungsverpflichtungen in Bezug auf die Lizenz für das</w:t>
      </w:r>
      <w:r w:rsidR="004211C8">
        <w:rPr>
          <w:rFonts w:eastAsia="Calibri" w:cs="Tahoma"/>
          <w:szCs w:val="18"/>
          <w:lang w:val="de-DE"/>
        </w:rPr>
        <w:t> </w:t>
      </w:r>
      <w:r w:rsidRPr="00BB5519">
        <w:rPr>
          <w:rFonts w:eastAsia="Calibri" w:cs="Tahoma"/>
          <w:szCs w:val="18"/>
          <w:lang w:val="de-DE"/>
        </w:rPr>
        <w:t>qualifizierende Produkt erfüllen.</w:t>
      </w:r>
      <w:r w:rsidR="009E4976" w:rsidRPr="00BB5519">
        <w:rPr>
          <w:rFonts w:eastAsia="Calibri" w:cs="Tahoma"/>
          <w:szCs w:val="18"/>
          <w:lang w:val="de-DE"/>
        </w:rPr>
        <w:t xml:space="preserve"> </w:t>
      </w:r>
      <w:r w:rsidRPr="00BB5519">
        <w:rPr>
          <w:rFonts w:eastAsia="Calibri" w:cs="Tahoma"/>
          <w:szCs w:val="18"/>
          <w:lang w:val="de-DE"/>
        </w:rPr>
        <w:t>Die Lizenz für Core Infrastructure Server Suite Standard hat Vorrang vor der und ersetzt die zugrunde liegende Lizenz für das qualifizierende Produkt.</w:t>
      </w:r>
    </w:p>
    <w:p w:rsidR="00A66BD2" w:rsidRPr="00BB5519" w:rsidRDefault="00A66BD2" w:rsidP="007E466C">
      <w:pPr>
        <w:rPr>
          <w:lang w:val="de-D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BB5519" w:rsidTr="001051D1">
        <w:trPr>
          <w:tblHeader/>
        </w:trPr>
        <w:tc>
          <w:tcPr>
            <w:tcW w:w="4140" w:type="dxa"/>
            <w:shd w:val="clear" w:color="auto" w:fill="FABF8F"/>
            <w:tcMar>
              <w:top w:w="0" w:type="dxa"/>
              <w:left w:w="108" w:type="dxa"/>
              <w:bottom w:w="0" w:type="dxa"/>
              <w:right w:w="108" w:type="dxa"/>
            </w:tcMar>
            <w:hideMark/>
          </w:tcPr>
          <w:p w:rsidR="004D776B" w:rsidRPr="00BB5519" w:rsidRDefault="004D776B" w:rsidP="007E466C">
            <w:pPr>
              <w:spacing w:before="120" w:after="120" w:line="276" w:lineRule="auto"/>
              <w:jc w:val="center"/>
              <w:rPr>
                <w:rFonts w:eastAsia="Calibri" w:cs="Tahoma"/>
                <w:b/>
                <w:szCs w:val="18"/>
              </w:rPr>
            </w:pPr>
            <w:r w:rsidRPr="00BB5519">
              <w:rPr>
                <w:rFonts w:eastAsia="Calibri" w:cs="Tahoma"/>
                <w:b/>
                <w:szCs w:val="18"/>
              </w:rPr>
              <w:t>Qualifizierendes Produkt</w:t>
            </w:r>
          </w:p>
        </w:tc>
        <w:tc>
          <w:tcPr>
            <w:tcW w:w="4050" w:type="dxa"/>
            <w:shd w:val="clear" w:color="auto" w:fill="FABF8F"/>
            <w:tcMar>
              <w:top w:w="0" w:type="dxa"/>
              <w:left w:w="108" w:type="dxa"/>
              <w:bottom w:w="0" w:type="dxa"/>
              <w:right w:w="108" w:type="dxa"/>
            </w:tcMar>
            <w:hideMark/>
          </w:tcPr>
          <w:p w:rsidR="004D776B" w:rsidRPr="00BB5519" w:rsidRDefault="004D776B" w:rsidP="007E466C">
            <w:pPr>
              <w:spacing w:before="120" w:after="120" w:line="276" w:lineRule="auto"/>
              <w:jc w:val="center"/>
              <w:rPr>
                <w:rFonts w:eastAsia="Calibri" w:cs="Tahoma"/>
                <w:b/>
                <w:szCs w:val="18"/>
              </w:rPr>
            </w:pPr>
            <w:r w:rsidRPr="00BB5519">
              <w:rPr>
                <w:rFonts w:eastAsia="Calibri" w:cs="Tahoma"/>
                <w:b/>
                <w:szCs w:val="18"/>
              </w:rPr>
              <w:t>Step Up zu</w:t>
            </w:r>
          </w:p>
        </w:tc>
      </w:tr>
      <w:tr w:rsidR="004D776B" w:rsidRPr="00D244F0" w:rsidTr="001051D1">
        <w:tc>
          <w:tcPr>
            <w:tcW w:w="4140" w:type="dxa"/>
            <w:tcMar>
              <w:top w:w="0" w:type="dxa"/>
              <w:left w:w="108" w:type="dxa"/>
              <w:bottom w:w="0" w:type="dxa"/>
              <w:right w:w="108" w:type="dxa"/>
            </w:tcMar>
            <w:hideMark/>
          </w:tcPr>
          <w:p w:rsidR="004D776B" w:rsidRPr="00BB5519" w:rsidRDefault="004D776B" w:rsidP="007E466C">
            <w:pPr>
              <w:spacing w:before="120" w:after="120" w:line="276" w:lineRule="auto"/>
              <w:rPr>
                <w:rFonts w:eastAsia="Calibri" w:cs="Tahoma"/>
                <w:szCs w:val="18"/>
              </w:rPr>
            </w:pPr>
            <w:r w:rsidRPr="00BB5519">
              <w:rPr>
                <w:rFonts w:eastAsia="Calibri" w:cs="Tahoma"/>
                <w:szCs w:val="18"/>
              </w:rPr>
              <w:t>Windows Server Standard</w:t>
            </w:r>
          </w:p>
        </w:tc>
        <w:tc>
          <w:tcPr>
            <w:tcW w:w="4050" w:type="dxa"/>
            <w:tcMar>
              <w:top w:w="0" w:type="dxa"/>
              <w:left w:w="108" w:type="dxa"/>
              <w:bottom w:w="0" w:type="dxa"/>
              <w:right w:w="108" w:type="dxa"/>
            </w:tcMar>
            <w:hideMark/>
          </w:tcPr>
          <w:p w:rsidR="004D776B" w:rsidRPr="00BB5519" w:rsidRDefault="004D776B" w:rsidP="007E466C">
            <w:pPr>
              <w:spacing w:before="120" w:after="120" w:line="276" w:lineRule="auto"/>
              <w:rPr>
                <w:rFonts w:eastAsia="Calibri" w:cs="Tahoma"/>
                <w:szCs w:val="18"/>
                <w:lang w:val="fr-FR"/>
              </w:rPr>
            </w:pPr>
            <w:r w:rsidRPr="00BB5519">
              <w:rPr>
                <w:rFonts w:eastAsia="Calibri" w:cs="Tahoma"/>
                <w:szCs w:val="18"/>
                <w:lang w:val="fr-FR"/>
              </w:rPr>
              <w:t>Core Infrastructure Server Suite Standard</w:t>
            </w:r>
          </w:p>
        </w:tc>
      </w:tr>
      <w:tr w:rsidR="004D776B" w:rsidRPr="00D244F0" w:rsidTr="001051D1">
        <w:tc>
          <w:tcPr>
            <w:tcW w:w="4140" w:type="dxa"/>
            <w:tcMar>
              <w:top w:w="0" w:type="dxa"/>
              <w:left w:w="108" w:type="dxa"/>
              <w:bottom w:w="0" w:type="dxa"/>
              <w:right w:w="108" w:type="dxa"/>
            </w:tcMar>
          </w:tcPr>
          <w:p w:rsidR="004D776B" w:rsidRPr="00BB5519" w:rsidRDefault="004D776B" w:rsidP="00026546">
            <w:pPr>
              <w:spacing w:before="120" w:after="120" w:line="276" w:lineRule="auto"/>
              <w:rPr>
                <w:rFonts w:eastAsia="Calibri" w:cs="Tahoma"/>
                <w:szCs w:val="18"/>
              </w:rPr>
            </w:pPr>
            <w:r w:rsidRPr="00BB5519">
              <w:rPr>
                <w:rFonts w:eastAsia="Calibri" w:cs="Tahoma"/>
                <w:szCs w:val="18"/>
              </w:rPr>
              <w:t>System Center Standard</w:t>
            </w:r>
          </w:p>
        </w:tc>
        <w:tc>
          <w:tcPr>
            <w:tcW w:w="4050" w:type="dxa"/>
            <w:tcMar>
              <w:top w:w="0" w:type="dxa"/>
              <w:left w:w="108" w:type="dxa"/>
              <w:bottom w:w="0" w:type="dxa"/>
              <w:right w:w="108" w:type="dxa"/>
            </w:tcMar>
          </w:tcPr>
          <w:p w:rsidR="004D776B" w:rsidRPr="00BB5519" w:rsidRDefault="004D776B" w:rsidP="00026546">
            <w:pPr>
              <w:spacing w:before="120" w:after="120" w:line="276" w:lineRule="auto"/>
              <w:rPr>
                <w:rFonts w:eastAsia="Calibri" w:cs="Tahoma"/>
                <w:szCs w:val="18"/>
                <w:lang w:val="fr-FR"/>
              </w:rPr>
            </w:pPr>
            <w:r w:rsidRPr="00BB5519">
              <w:rPr>
                <w:rFonts w:eastAsia="Calibri" w:cs="Tahoma"/>
                <w:szCs w:val="18"/>
                <w:lang w:val="fr-FR"/>
              </w:rPr>
              <w:t>Core Infrastructure Server Suite Standard</w:t>
            </w:r>
          </w:p>
        </w:tc>
      </w:tr>
    </w:tbl>
    <w:p w:rsidR="004D776B" w:rsidRPr="00BB5519" w:rsidRDefault="004D776B" w:rsidP="00A66BD2">
      <w:pPr>
        <w:rPr>
          <w:lang w:val="fr-FR"/>
        </w:rPr>
      </w:pPr>
    </w:p>
    <w:p w:rsidR="00BF1889" w:rsidRPr="00BB5519" w:rsidRDefault="00BF1889" w:rsidP="00A66BD2">
      <w:pPr>
        <w:rPr>
          <w:lang w:val="fr-FR"/>
        </w:rPr>
      </w:pPr>
    </w:p>
    <w:p w:rsidR="00B947E4" w:rsidRPr="00BB5519" w:rsidRDefault="004668D9" w:rsidP="00B947E4">
      <w:pPr>
        <w:pStyle w:val="Heading3"/>
        <w:rPr>
          <w:lang w:val="de-DE"/>
        </w:rPr>
      </w:pPr>
      <w:bookmarkStart w:id="1209" w:name="_38_Core_Infrastructure"/>
      <w:bookmarkStart w:id="1210" w:name="_Toc336338297"/>
      <w:bookmarkStart w:id="1211" w:name="_Toc354054994"/>
      <w:bookmarkStart w:id="1212" w:name="Srv_36CoreInfraServerSuiteEnt"/>
      <w:bookmarkStart w:id="1213" w:name="Srv_33CoreInfrastructureSvrSuiteEnt"/>
      <w:bookmarkEnd w:id="1209"/>
      <w:r w:rsidRPr="00BB5519">
        <w:rPr>
          <w:rFonts w:ascii="Tahoma" w:hAnsi="Tahoma"/>
          <w:caps/>
          <w:color w:val="F66400"/>
          <w:sz w:val="22"/>
          <w:vertAlign w:val="superscript"/>
          <w:lang w:val="de-DE"/>
        </w:rPr>
        <w:t>39</w:t>
      </w:r>
      <w:r w:rsidRPr="00BB5519">
        <w:rPr>
          <w:rFonts w:ascii="Tahoma" w:hAnsi="Tahoma"/>
          <w:color w:val="F66400"/>
          <w:sz w:val="22"/>
          <w:lang w:val="de-DE"/>
        </w:rPr>
        <w:t xml:space="preserve"> Core Infrastructure Server Suite Enterprise</w:t>
      </w:r>
      <w:bookmarkEnd w:id="1210"/>
      <w:bookmarkEnd w:id="1211"/>
    </w:p>
    <w:p w:rsidR="000A297A" w:rsidRPr="00BB5519" w:rsidRDefault="000A297A" w:rsidP="00A66BD2">
      <w:pPr>
        <w:rPr>
          <w:lang w:val="de-DE"/>
        </w:rPr>
      </w:pPr>
    </w:p>
    <w:bookmarkEnd w:id="1212"/>
    <w:bookmarkEnd w:id="1213"/>
    <w:p w:rsidR="00B947E4" w:rsidRPr="00BB5519" w:rsidRDefault="001E68E2" w:rsidP="004211C8">
      <w:pPr>
        <w:ind w:left="720"/>
        <w:rPr>
          <w:lang w:val="de-DE"/>
        </w:rPr>
      </w:pPr>
      <w:r w:rsidRPr="00BB5519">
        <w:rPr>
          <w:rFonts w:eastAsia="Calibri" w:cs="Tahoma"/>
          <w:szCs w:val="18"/>
          <w:lang w:val="de-DE"/>
        </w:rPr>
        <w:t>Mit Wirkung vom 1. April 2012 stellt Microsoft Core Infrastructure Server Suite Enterprise ein. Core Infrastructure Server Suite Enterprise-Kunden, die am 1. April 2012 über aktive Software Assurance verfügen, sind für jede Lizenz für Core Infrastructure Server Suite Enterprise mit Software Assurance, die sie</w:t>
      </w:r>
      <w:r w:rsidR="004211C8">
        <w:rPr>
          <w:rFonts w:eastAsia="Calibri" w:cs="Tahoma"/>
          <w:szCs w:val="18"/>
          <w:lang w:val="de-DE"/>
        </w:rPr>
        <w:t> </w:t>
      </w:r>
      <w:r w:rsidRPr="00BB5519">
        <w:rPr>
          <w:rFonts w:eastAsia="Calibri" w:cs="Tahoma"/>
          <w:szCs w:val="18"/>
          <w:lang w:val="de-DE"/>
        </w:rPr>
        <w:t>an dem Datum besitzen, zu einer Lizenz für Core Infrastructure Server Standard berechtigt.</w:t>
      </w:r>
      <w:r w:rsidR="009E4976" w:rsidRPr="00BB5519">
        <w:rPr>
          <w:rFonts w:eastAsia="Calibri" w:cs="Tahoma"/>
          <w:szCs w:val="18"/>
          <w:lang w:val="de-DE"/>
        </w:rPr>
        <w:t xml:space="preserve"> </w:t>
      </w:r>
      <w:r w:rsidRPr="00BB5519">
        <w:rPr>
          <w:rFonts w:eastAsia="Calibri" w:cs="Tahoma"/>
          <w:szCs w:val="18"/>
          <w:lang w:val="de-DE"/>
        </w:rPr>
        <w:t>Lizenzen für</w:t>
      </w:r>
      <w:r w:rsidR="004211C8">
        <w:rPr>
          <w:rFonts w:eastAsia="Calibri" w:cs="Tahoma"/>
          <w:szCs w:val="18"/>
          <w:lang w:val="de-DE"/>
        </w:rPr>
        <w:t> </w:t>
      </w:r>
      <w:r w:rsidRPr="00BB5519">
        <w:rPr>
          <w:rFonts w:eastAsia="Calibri" w:cs="Tahoma"/>
          <w:szCs w:val="18"/>
          <w:lang w:val="de-DE"/>
        </w:rPr>
        <w:t>Core Infrastructure Server Suite Standard, die unter diesem Angebot gewährt werden, umfassen Software Assurance, die bei Ablauf der Software Assurance für ihre qualifizierenden Core Infrastructure Server Suite Enterprise-Lizenzen endet. Kunden, die Core Infrastructure Server Suite Standard unter diesem</w:t>
      </w:r>
      <w:r w:rsidR="004211C8">
        <w:rPr>
          <w:rFonts w:eastAsia="Calibri" w:cs="Tahoma"/>
          <w:szCs w:val="18"/>
          <w:lang w:val="de-DE"/>
        </w:rPr>
        <w:t> </w:t>
      </w:r>
      <w:r w:rsidRPr="00BB5519">
        <w:rPr>
          <w:rFonts w:eastAsia="Calibri" w:cs="Tahoma"/>
          <w:szCs w:val="18"/>
          <w:lang w:val="de-DE"/>
        </w:rPr>
        <w:t>Angebot verwenden, können Software unter ihren qualifizierenden Lizenzen nicht mehr nutzen.</w:t>
      </w:r>
      <w:r w:rsidR="009E4976" w:rsidRPr="00BB5519">
        <w:rPr>
          <w:rFonts w:eastAsia="Calibri" w:cs="Tahoma"/>
          <w:szCs w:val="18"/>
          <w:lang w:val="de-DE"/>
        </w:rPr>
        <w:t xml:space="preserve"> </w:t>
      </w:r>
      <w:r w:rsidRPr="00BB5519">
        <w:rPr>
          <w:rFonts w:eastAsia="Calibri" w:cs="Tahoma"/>
          <w:szCs w:val="18"/>
          <w:lang w:val="de-DE"/>
        </w:rPr>
        <w:t>Dieser Produkthinweis und die Dokumentation der qualifizierenden Lizenzen des Kunden belegt sein Recht, Core Infrastructure Server Suite Standard unter diesem Angebot zu verwenden.</w:t>
      </w:r>
      <w:r w:rsidR="009E4976" w:rsidRPr="00BB5519">
        <w:rPr>
          <w:rFonts w:eastAsia="Calibri" w:cs="Tahoma"/>
          <w:szCs w:val="18"/>
          <w:lang w:val="de-DE"/>
        </w:rPr>
        <w:t xml:space="preserve"> </w:t>
      </w:r>
      <w:r w:rsidRPr="00BB5519">
        <w:rPr>
          <w:rFonts w:eastAsia="Calibri" w:cs="Tahoma"/>
          <w:szCs w:val="18"/>
          <w:lang w:val="de-DE"/>
        </w:rPr>
        <w:t>Dieses Recht endet mit Ab</w:t>
      </w:r>
      <w:bookmarkStart w:id="1214" w:name="Srv_34CoreInfraSvrSuiteDatacenter"/>
      <w:r w:rsidRPr="00BB5519">
        <w:rPr>
          <w:rFonts w:eastAsia="Calibri" w:cs="Tahoma"/>
          <w:szCs w:val="18"/>
          <w:lang w:val="de-DE"/>
        </w:rPr>
        <w:t>lauf der qualifizierenden Lizenzen.</w:t>
      </w:r>
    </w:p>
    <w:p w:rsidR="00285E3D" w:rsidRPr="00BB5519" w:rsidRDefault="00285E3D" w:rsidP="00A66BD2">
      <w:pPr>
        <w:rPr>
          <w:lang w:val="de-DE"/>
        </w:rPr>
      </w:pPr>
    </w:p>
    <w:p w:rsidR="00A66BD2" w:rsidRPr="00BB5519" w:rsidRDefault="00A66BD2" w:rsidP="00A66BD2">
      <w:pPr>
        <w:rPr>
          <w:lang w:val="de-DE"/>
        </w:rPr>
      </w:pPr>
    </w:p>
    <w:p w:rsidR="00676723" w:rsidRPr="00BB5519" w:rsidRDefault="00676723">
      <w:pPr>
        <w:rPr>
          <w:lang w:val="de-DE"/>
        </w:rPr>
      </w:pPr>
      <w:bookmarkStart w:id="1215" w:name="_39_Core_Infrastructure"/>
      <w:bookmarkStart w:id="1216" w:name="_Toc336338298"/>
      <w:bookmarkStart w:id="1217" w:name="Srv_37CoreInfraServerSuiteData"/>
      <w:bookmarkEnd w:id="1215"/>
      <w:r w:rsidRPr="00BB5519">
        <w:rPr>
          <w:caps/>
          <w:color w:val="F66400"/>
          <w:sz w:val="22"/>
          <w:vertAlign w:val="superscript"/>
          <w:lang w:val="de-DE"/>
        </w:rPr>
        <w:br w:type="page"/>
      </w:r>
    </w:p>
    <w:p w:rsidR="00B947E4" w:rsidRPr="00BB5519" w:rsidRDefault="004668D9" w:rsidP="00B947E4">
      <w:pPr>
        <w:pStyle w:val="Heading3"/>
        <w:rPr>
          <w:lang w:val="de-DE"/>
        </w:rPr>
      </w:pPr>
      <w:bookmarkStart w:id="1218" w:name="_40_Core_Infrastructure"/>
      <w:bookmarkStart w:id="1219" w:name="_Toc354054995"/>
      <w:bookmarkEnd w:id="1218"/>
      <w:r w:rsidRPr="00BB5519">
        <w:rPr>
          <w:rFonts w:ascii="Tahoma" w:hAnsi="Tahoma"/>
          <w:caps/>
          <w:color w:val="F66400"/>
          <w:sz w:val="22"/>
          <w:vertAlign w:val="superscript"/>
          <w:lang w:val="de-DE"/>
        </w:rPr>
        <w:lastRenderedPageBreak/>
        <w:t>40</w:t>
      </w:r>
      <w:r w:rsidRPr="00BB5519">
        <w:rPr>
          <w:rFonts w:ascii="Tahoma" w:hAnsi="Tahoma"/>
          <w:color w:val="F66400"/>
          <w:sz w:val="22"/>
          <w:lang w:val="de-DE"/>
        </w:rPr>
        <w:t xml:space="preserve"> Core Infrastructure Server Suite Datacenter</w:t>
      </w:r>
      <w:bookmarkEnd w:id="1214"/>
      <w:bookmarkEnd w:id="1216"/>
      <w:bookmarkEnd w:id="1219"/>
    </w:p>
    <w:bookmarkEnd w:id="1217"/>
    <w:p w:rsidR="00B947E4" w:rsidRPr="00BB5519" w:rsidRDefault="00B947E4" w:rsidP="00B947E4">
      <w:pPr>
        <w:rPr>
          <w:lang w:val="de-DE"/>
        </w:rPr>
      </w:pPr>
    </w:p>
    <w:p w:rsidR="004D776B" w:rsidRPr="00BB5519" w:rsidRDefault="004D776B" w:rsidP="00A66BD2">
      <w:pPr>
        <w:spacing w:after="60"/>
        <w:ind w:left="720"/>
        <w:rPr>
          <w:lang w:val="de-DE"/>
        </w:rPr>
      </w:pPr>
      <w:r w:rsidRPr="00BB5519">
        <w:rPr>
          <w:rFonts w:eastAsia="Calibri" w:cs="Tahoma"/>
          <w:b/>
          <w:szCs w:val="18"/>
          <w:lang w:val="de-DE"/>
        </w:rPr>
        <w:t>Migration zu Neuer Lizenzmethodik</w:t>
      </w:r>
    </w:p>
    <w:p w:rsidR="004D776B" w:rsidRPr="00BB5519" w:rsidRDefault="004D776B" w:rsidP="00F4605A">
      <w:pPr>
        <w:ind w:left="720"/>
        <w:rPr>
          <w:lang w:val="de-DE"/>
        </w:rPr>
      </w:pPr>
      <w:r w:rsidRPr="00BB5519">
        <w:rPr>
          <w:rFonts w:eastAsia="Calibri" w:cs="Tahoma"/>
          <w:szCs w:val="18"/>
          <w:lang w:val="de-DE"/>
        </w:rPr>
        <w:t>Zum 1. April 2012 wurde das Lizenzmodell für CIS geändert. Unter neuen Beitritten, die nach dem 1.</w:t>
      </w:r>
      <w:r w:rsidR="00F4605A">
        <w:rPr>
          <w:rFonts w:eastAsia="Calibri" w:cs="Tahoma"/>
          <w:szCs w:val="18"/>
          <w:lang w:val="de-DE"/>
        </w:rPr>
        <w:t> </w:t>
      </w:r>
      <w:r w:rsidRPr="00BB5519">
        <w:rPr>
          <w:rFonts w:eastAsia="Calibri" w:cs="Tahoma"/>
          <w:szCs w:val="18"/>
          <w:lang w:val="de-DE"/>
        </w:rPr>
        <w:t>April 2012 wirksam wurden, erworbene Lizenzen können bis zu zwei physische Prozessoren lizenzieren.</w:t>
      </w:r>
    </w:p>
    <w:p w:rsidR="00A66BD2" w:rsidRPr="00BB5519" w:rsidRDefault="00A66BD2" w:rsidP="00A66BD2">
      <w:pPr>
        <w:ind w:left="720"/>
        <w:rPr>
          <w:lang w:val="de-DE"/>
        </w:rPr>
      </w:pPr>
    </w:p>
    <w:p w:rsidR="004D776B" w:rsidRPr="00BB5519" w:rsidRDefault="004D776B" w:rsidP="00A66BD2">
      <w:pPr>
        <w:ind w:left="720"/>
        <w:rPr>
          <w:lang w:val="de-DE"/>
        </w:rPr>
      </w:pPr>
      <w:r w:rsidRPr="00BB5519">
        <w:rPr>
          <w:rFonts w:eastAsia="Calibri" w:cs="Tahoma"/>
          <w:szCs w:val="18"/>
          <w:lang w:val="de-DE"/>
        </w:rPr>
        <w:t>Kunden, die zum 1. April 2012 über bestehende Beitritte (die am oder vor dem 1. April 2012 wirksam wurden) verfügen, können weiterhin True Up-Bestellungen für Lizenzen unter dem alten Modell abgeben, unter dem jede Lizenz nur einen Prozessor lizenzieren kann. Die folgenden Migrationsrechte gelten für Lizenzen für diese Kunden:</w:t>
      </w:r>
    </w:p>
    <w:p w:rsidR="00A66BD2" w:rsidRPr="00BB5519" w:rsidRDefault="00A66BD2" w:rsidP="00A66BD2">
      <w:pPr>
        <w:ind w:left="720"/>
        <w:rPr>
          <w:lang w:val="de-DE"/>
        </w:rPr>
      </w:pPr>
    </w:p>
    <w:p w:rsidR="004D776B" w:rsidRPr="00BB5519" w:rsidRDefault="004D776B" w:rsidP="00A66BD2">
      <w:pPr>
        <w:pStyle w:val="ListParagraph"/>
        <w:contextualSpacing w:val="0"/>
        <w:rPr>
          <w:lang w:val="de-DE"/>
        </w:rPr>
      </w:pPr>
      <w:r w:rsidRPr="00BB5519">
        <w:rPr>
          <w:rFonts w:ascii="Tahoma" w:eastAsia="Calibri" w:hAnsi="Tahoma" w:cs="Tahoma"/>
          <w:sz w:val="18"/>
          <w:szCs w:val="18"/>
          <w:lang w:val="de-DE"/>
        </w:rPr>
        <w:t>Für die Dauer ihres bestehenden Beitritts gelten die bestehenden und neuen Lizenzen der Kunden unter dem alten Modell als gleichwertig zu Lizenzen unter dem neuen Modell, und zwar im Verhältnis 2:1, sodass zwei Lizenzen unter dem alten Modell einer Lizenz unter dem neuen Modell entsprechen. Bei Verlängerung können Kunden Software Assurance zu Lizenzen unter dem neuen Modell verlängern.</w:t>
      </w:r>
    </w:p>
    <w:p w:rsidR="00857EF7" w:rsidRPr="00BB5519" w:rsidRDefault="00857EF7" w:rsidP="00A66BD2">
      <w:pPr>
        <w:ind w:left="720"/>
        <w:rPr>
          <w:lang w:val="de-DE"/>
        </w:rPr>
      </w:pPr>
    </w:p>
    <w:p w:rsidR="004D776B" w:rsidRPr="00BB5519" w:rsidRDefault="004D776B" w:rsidP="00857EF7">
      <w:pPr>
        <w:spacing w:after="60"/>
        <w:ind w:left="720"/>
        <w:rPr>
          <w:lang w:val="de-DE"/>
        </w:rPr>
      </w:pPr>
      <w:r w:rsidRPr="00BB5519">
        <w:rPr>
          <w:rFonts w:eastAsia="Calibri" w:cs="Tahoma"/>
          <w:b/>
          <w:szCs w:val="18"/>
          <w:lang w:val="de-DE"/>
        </w:rPr>
        <w:t>Herausgabe einer Neuen Version von Windows Server</w:t>
      </w:r>
    </w:p>
    <w:p w:rsidR="004D776B" w:rsidRPr="00BB5519" w:rsidRDefault="004D776B" w:rsidP="00A66BD2">
      <w:pPr>
        <w:ind w:left="720"/>
        <w:rPr>
          <w:lang w:val="de-DE"/>
        </w:rPr>
      </w:pPr>
      <w:r w:rsidRPr="00BB5519">
        <w:rPr>
          <w:rFonts w:eastAsia="Calibri" w:cs="Tahoma"/>
          <w:szCs w:val="18"/>
          <w:lang w:val="de-DE"/>
        </w:rPr>
        <w:t>Kunden mit Lizenzen für Core Infrastructure Server Suite Datacenter, die zum 1. September 2012 über aktive Software Assurance verfügen, sind berechtigt, die folgenden Produkte vorbehaltlich der Produktbenutzungsrechte für Core Infrastructure Server Suite Datacenter zu nutzen:</w:t>
      </w:r>
    </w:p>
    <w:p w:rsidR="00857EF7" w:rsidRPr="00BB5519" w:rsidRDefault="00857EF7" w:rsidP="00A66BD2">
      <w:pPr>
        <w:ind w:left="720"/>
        <w:rPr>
          <w:lang w:val="de-DE"/>
        </w:rPr>
      </w:pPr>
    </w:p>
    <w:p w:rsidR="004D776B" w:rsidRPr="00BB5519" w:rsidRDefault="004D776B" w:rsidP="00857EF7">
      <w:pPr>
        <w:numPr>
          <w:ilvl w:val="0"/>
          <w:numId w:val="141"/>
        </w:numPr>
        <w:spacing w:after="60"/>
        <w:ind w:left="1440"/>
      </w:pPr>
      <w:r w:rsidRPr="00BB5519">
        <w:rPr>
          <w:rFonts w:eastAsia="Calibri" w:cs="Tahoma"/>
          <w:szCs w:val="18"/>
        </w:rPr>
        <w:t>Windows Server 2012 Datacenter</w:t>
      </w:r>
    </w:p>
    <w:p w:rsidR="004D776B" w:rsidRPr="00BB5519" w:rsidRDefault="004D776B" w:rsidP="00857EF7">
      <w:pPr>
        <w:numPr>
          <w:ilvl w:val="0"/>
          <w:numId w:val="141"/>
        </w:numPr>
        <w:spacing w:after="60"/>
        <w:ind w:left="1440"/>
      </w:pPr>
      <w:r w:rsidRPr="00BB5519">
        <w:rPr>
          <w:rFonts w:eastAsia="Calibri" w:cs="Tahoma"/>
          <w:szCs w:val="18"/>
        </w:rPr>
        <w:t>System Center 2012 Datacenter</w:t>
      </w:r>
    </w:p>
    <w:p w:rsidR="00857EF7" w:rsidRPr="00BB5519" w:rsidRDefault="00857EF7" w:rsidP="00857EF7"/>
    <w:p w:rsidR="004D776B" w:rsidRPr="00BB5519" w:rsidRDefault="004D776B" w:rsidP="00857EF7">
      <w:pPr>
        <w:spacing w:after="60"/>
        <w:ind w:left="720"/>
        <w:rPr>
          <w:lang w:val="de-DE"/>
        </w:rPr>
      </w:pPr>
      <w:r w:rsidRPr="00BB5519">
        <w:rPr>
          <w:rFonts w:eastAsia="Calibri" w:cs="Tahoma"/>
          <w:b/>
          <w:szCs w:val="18"/>
          <w:lang w:val="de-DE"/>
        </w:rPr>
        <w:t>Software Assurance-Verlängerungsangebot für Windows Server Datacenter- und System Center Datacenter-Kunden</w:t>
      </w:r>
    </w:p>
    <w:p w:rsidR="004D776B" w:rsidRPr="00BB5519" w:rsidRDefault="004D776B" w:rsidP="00F4605A">
      <w:pPr>
        <w:ind w:left="720"/>
        <w:rPr>
          <w:lang w:val="de-DE"/>
        </w:rPr>
      </w:pPr>
      <w:r w:rsidRPr="00BB5519">
        <w:rPr>
          <w:rFonts w:eastAsia="Calibri" w:cs="Tahoma"/>
          <w:szCs w:val="18"/>
          <w:lang w:val="de-DE"/>
        </w:rPr>
        <w:t>Kunden, die über Lizenzen mit aktiver Software Assurance für alle Produkte in der nachfolgenden Tabelle C</w:t>
      </w:r>
      <w:r w:rsidR="00F4605A">
        <w:rPr>
          <w:rFonts w:eastAsia="Calibri" w:cs="Tahoma"/>
          <w:szCs w:val="18"/>
          <w:lang w:val="de-DE"/>
        </w:rPr>
        <w:t> </w:t>
      </w:r>
      <w:r w:rsidRPr="00BB5519">
        <w:rPr>
          <w:rFonts w:eastAsia="Calibri" w:cs="Tahoma"/>
          <w:szCs w:val="18"/>
          <w:lang w:val="de-DE"/>
        </w:rPr>
        <w:t>verfügen, sind berechtigt, nach Ablauf dieser Software Assurance Software Assurance für Core</w:t>
      </w:r>
      <w:r w:rsidR="00F4605A">
        <w:rPr>
          <w:rFonts w:eastAsia="Calibri" w:cs="Tahoma"/>
          <w:szCs w:val="18"/>
          <w:lang w:val="de-DE"/>
        </w:rPr>
        <w:t> </w:t>
      </w:r>
      <w:r w:rsidRPr="00BB5519">
        <w:rPr>
          <w:rFonts w:eastAsia="Calibri" w:cs="Tahoma"/>
          <w:szCs w:val="18"/>
          <w:lang w:val="de-DE"/>
        </w:rPr>
        <w:t>Infrastructure Server Suite Datacenter zu erwerben, ohne die zugrunde liegenden Lizenzen für Core</w:t>
      </w:r>
      <w:r w:rsidR="00F4605A">
        <w:rPr>
          <w:rFonts w:eastAsia="Calibri" w:cs="Tahoma"/>
          <w:szCs w:val="18"/>
          <w:lang w:val="de-DE"/>
        </w:rPr>
        <w:t> </w:t>
      </w:r>
      <w:r w:rsidRPr="00BB5519">
        <w:rPr>
          <w:rFonts w:eastAsia="Calibri" w:cs="Tahoma"/>
          <w:szCs w:val="18"/>
          <w:lang w:val="de-DE"/>
        </w:rPr>
        <w:t>Infrastructure Server Suite Datacenter zu erwerben.</w:t>
      </w:r>
    </w:p>
    <w:p w:rsidR="00857EF7" w:rsidRPr="00BB5519" w:rsidRDefault="00857EF7" w:rsidP="00A66BD2">
      <w:pPr>
        <w:ind w:left="720"/>
        <w:rPr>
          <w:lang w:val="de-DE"/>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BB5519"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BB5519" w:rsidRDefault="004D776B" w:rsidP="00026546">
            <w:pPr>
              <w:keepNext/>
              <w:tabs>
                <w:tab w:val="left" w:pos="3120"/>
                <w:tab w:val="center" w:pos="3591"/>
              </w:tabs>
              <w:spacing w:before="120" w:after="120" w:line="276" w:lineRule="auto"/>
              <w:jc w:val="center"/>
              <w:rPr>
                <w:rFonts w:eastAsia="Calibri" w:cs="Tahoma"/>
                <w:b/>
                <w:szCs w:val="18"/>
              </w:rPr>
            </w:pPr>
            <w:r w:rsidRPr="00BB5519">
              <w:rPr>
                <w:rFonts w:eastAsia="Calibri" w:cs="Tahoma"/>
                <w:b/>
                <w:szCs w:val="18"/>
              </w:rPr>
              <w:t>Tabelle C</w:t>
            </w:r>
          </w:p>
        </w:tc>
      </w:tr>
      <w:tr w:rsidR="004D776B" w:rsidRPr="00BB551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BB5519" w:rsidRDefault="004D776B" w:rsidP="00026546">
            <w:pPr>
              <w:keepNext/>
              <w:tabs>
                <w:tab w:val="left" w:pos="3120"/>
                <w:tab w:val="center" w:pos="3591"/>
              </w:tabs>
              <w:spacing w:before="120" w:after="120" w:line="276" w:lineRule="auto"/>
              <w:jc w:val="center"/>
              <w:rPr>
                <w:rFonts w:eastAsia="Calibri" w:cs="Tahoma"/>
                <w:b/>
                <w:szCs w:val="18"/>
              </w:rPr>
            </w:pPr>
            <w:r w:rsidRPr="00BB5519">
              <w:rPr>
                <w:rFonts w:eastAsia="Calibri" w:cs="Tahoma"/>
                <w:b/>
                <w:szCs w:val="18"/>
              </w:rPr>
              <w:t>Windows Server Datacenter</w:t>
            </w:r>
          </w:p>
        </w:tc>
      </w:tr>
      <w:tr w:rsidR="004D776B" w:rsidRPr="00BB551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BB5519" w:rsidRDefault="004D776B" w:rsidP="00026546">
            <w:pPr>
              <w:keepNext/>
              <w:tabs>
                <w:tab w:val="left" w:pos="3120"/>
                <w:tab w:val="center" w:pos="3591"/>
              </w:tabs>
              <w:spacing w:before="120" w:after="120" w:line="276" w:lineRule="auto"/>
              <w:jc w:val="center"/>
              <w:rPr>
                <w:rFonts w:eastAsia="Calibri" w:cs="Tahoma"/>
                <w:b/>
                <w:szCs w:val="18"/>
              </w:rPr>
            </w:pPr>
            <w:r w:rsidRPr="00BB5519">
              <w:rPr>
                <w:rFonts w:eastAsia="Calibri" w:cs="Tahoma"/>
                <w:b/>
                <w:szCs w:val="18"/>
              </w:rPr>
              <w:t>System Center Datacenter</w:t>
            </w:r>
          </w:p>
        </w:tc>
      </w:tr>
    </w:tbl>
    <w:p w:rsidR="00416294" w:rsidRPr="00BB5519" w:rsidRDefault="00416294" w:rsidP="00416294">
      <w:pPr>
        <w:ind w:left="547"/>
      </w:pPr>
    </w:p>
    <w:p w:rsidR="004D776B" w:rsidRPr="00BB5519" w:rsidRDefault="004D776B" w:rsidP="001154B5">
      <w:pPr>
        <w:ind w:left="720"/>
        <w:rPr>
          <w:lang w:val="de-DE"/>
        </w:rPr>
      </w:pPr>
      <w:r w:rsidRPr="00BB5519">
        <w:rPr>
          <w:rFonts w:eastAsia="Calibri" w:cs="Tahoma"/>
          <w:color w:val="000000"/>
          <w:szCs w:val="18"/>
        </w:rPr>
        <w:t xml:space="preserve">Kunden sind berechtigt, für jede Kombination aus einer qualifizierenden Windows Server Datacenter-Lizenz und einer qualifizierende System Center Datacenter-Lizenzen Software Assurance für eine Lizenz von Core Infrastructure Server Suite Datacenter zu erwerben. </w:t>
      </w:r>
      <w:r w:rsidRPr="00BB5519">
        <w:rPr>
          <w:rFonts w:eastAsia="Calibri" w:cs="Tahoma"/>
          <w:color w:val="000000"/>
          <w:szCs w:val="18"/>
          <w:lang w:val="de-DE"/>
        </w:rPr>
        <w:t>Kunden, die Core Infrastructure Server Suite Datacenter unter diesem Angebot lizenzieren und verwenden, können Software unter ihren qualifizierenden Lizenzen nicht mehr nutzen. Lizenzen und Software Assurance, die unter einem Abonnementvertrag erworben wurden, sind für dieses Angebot nicht qualifiziert.</w:t>
      </w:r>
    </w:p>
    <w:p w:rsidR="00973A93" w:rsidRPr="00BB5519" w:rsidRDefault="00973A93" w:rsidP="0050116B">
      <w:pPr>
        <w:ind w:left="540"/>
        <w:rPr>
          <w:lang w:val="de-DE"/>
        </w:rPr>
      </w:pPr>
    </w:p>
    <w:p w:rsidR="004D776B" w:rsidRPr="00BB5519" w:rsidRDefault="004D776B" w:rsidP="00857EF7">
      <w:pPr>
        <w:spacing w:after="60"/>
        <w:ind w:left="720"/>
        <w:rPr>
          <w:lang w:val="de-DE"/>
        </w:rPr>
      </w:pPr>
      <w:r w:rsidRPr="00BB5519">
        <w:rPr>
          <w:rFonts w:eastAsia="Calibri" w:cs="Tahoma"/>
          <w:b/>
          <w:szCs w:val="18"/>
          <w:lang w:val="de-DE"/>
        </w:rPr>
        <w:t>Step Up von Windows Server Datacenter oder System Center Datacenter zu Core Infrastructure Server Suite Datacenter</w:t>
      </w:r>
    </w:p>
    <w:p w:rsidR="004D776B" w:rsidRPr="00BB5519" w:rsidRDefault="004D776B" w:rsidP="00F4605A">
      <w:pPr>
        <w:ind w:left="720"/>
        <w:rPr>
          <w:lang w:val="de-DE"/>
        </w:rPr>
      </w:pPr>
      <w:r w:rsidRPr="00BB5519">
        <w:rPr>
          <w:rFonts w:eastAsia="Calibri" w:cs="Tahoma"/>
          <w:szCs w:val="18"/>
          <w:lang w:val="de-DE"/>
        </w:rPr>
        <w:t>Kunden sind berechtigt, ein Step Up von Windows Server Datacenter oder System Center Datacenter zu Core Infrastructure Server Suite Datacenter durchzuführen, indem sie die entsprechende Step Up-Lizenz für</w:t>
      </w:r>
      <w:r w:rsidR="00F4605A">
        <w:rPr>
          <w:rFonts w:eastAsia="Calibri" w:cs="Tahoma"/>
          <w:szCs w:val="18"/>
          <w:lang w:val="de-DE"/>
        </w:rPr>
        <w:t> </w:t>
      </w:r>
      <w:r w:rsidRPr="00BB5519">
        <w:rPr>
          <w:rFonts w:eastAsia="Calibri" w:cs="Tahoma"/>
          <w:szCs w:val="18"/>
          <w:lang w:val="de-DE"/>
        </w:rPr>
        <w:t>Core Infrastructure Server Suite Datacenter erwerben.</w:t>
      </w:r>
      <w:r w:rsidR="009E4976" w:rsidRPr="00BB5519">
        <w:rPr>
          <w:rFonts w:eastAsia="Calibri" w:cs="Tahoma"/>
          <w:szCs w:val="18"/>
          <w:lang w:val="de-DE"/>
        </w:rPr>
        <w:t xml:space="preserve"> </w:t>
      </w:r>
      <w:r w:rsidRPr="00BB5519">
        <w:rPr>
          <w:rFonts w:eastAsia="Calibri" w:cs="Tahoma"/>
          <w:szCs w:val="18"/>
          <w:lang w:val="de-DE"/>
        </w:rPr>
        <w:t xml:space="preserve">Um diese Step Up-Lizenz erwerben zu können, müssen die Kunden über eine aktive Software Assurance für ihre Windows Server Datacenter- oder System Center Datacenter-Lizenz verfügen. </w:t>
      </w:r>
    </w:p>
    <w:p w:rsidR="00857EF7" w:rsidRPr="00BB5519" w:rsidRDefault="00857EF7" w:rsidP="00857EF7">
      <w:pPr>
        <w:ind w:left="720"/>
        <w:rPr>
          <w:lang w:val="de-DE"/>
        </w:rPr>
      </w:pPr>
    </w:p>
    <w:p w:rsidR="004D776B" w:rsidRPr="00BB5519" w:rsidRDefault="004D776B" w:rsidP="00857EF7">
      <w:pPr>
        <w:ind w:left="720"/>
        <w:rPr>
          <w:lang w:val="de-DE"/>
        </w:rPr>
      </w:pPr>
      <w:r w:rsidRPr="00BB5519">
        <w:rPr>
          <w:rFonts w:eastAsia="Calibri" w:cs="Tahoma"/>
          <w:szCs w:val="18"/>
          <w:lang w:val="de-DE"/>
        </w:rPr>
        <w:t>Für jede qualifizierende Lizenz für Windows Server Datacenter, die der Kunde besitzt, ist der Kunde berechtigt, eine Step Up-Lizenz für Core Infrastructure Server Suite Datacenter zu erwerben.</w:t>
      </w:r>
      <w:r w:rsidR="009E4976" w:rsidRPr="00BB5519">
        <w:rPr>
          <w:rFonts w:eastAsia="Calibri" w:cs="Tahoma"/>
          <w:szCs w:val="18"/>
          <w:lang w:val="de-DE"/>
        </w:rPr>
        <w:t xml:space="preserve"> </w:t>
      </w:r>
    </w:p>
    <w:p w:rsidR="00857EF7" w:rsidRPr="00BB5519" w:rsidRDefault="00857EF7" w:rsidP="00857EF7">
      <w:pPr>
        <w:ind w:left="720"/>
        <w:rPr>
          <w:lang w:val="de-DE"/>
        </w:rPr>
      </w:pPr>
    </w:p>
    <w:p w:rsidR="004D776B" w:rsidRPr="00BB5519" w:rsidRDefault="004D776B" w:rsidP="00857EF7">
      <w:pPr>
        <w:ind w:left="720"/>
        <w:rPr>
          <w:lang w:val="de-DE"/>
        </w:rPr>
      </w:pPr>
      <w:r w:rsidRPr="00BB5519">
        <w:rPr>
          <w:rFonts w:eastAsia="Calibri" w:cs="Tahoma"/>
          <w:szCs w:val="18"/>
          <w:lang w:val="de-DE"/>
        </w:rPr>
        <w:lastRenderedPageBreak/>
        <w:t>Für jede qualifizierende Lizenz für System Center Datacenter, die der Kunde besitzt, ist der Kunde berechtigt, eine Step Up-Lizenz für Core Infrastructure Server Suite Datacenter zu erwerben.</w:t>
      </w:r>
      <w:r w:rsidR="009E4976" w:rsidRPr="00BB5519">
        <w:rPr>
          <w:rFonts w:eastAsia="Calibri" w:cs="Tahoma"/>
          <w:szCs w:val="18"/>
          <w:lang w:val="de-DE"/>
        </w:rPr>
        <w:t xml:space="preserve"> </w:t>
      </w:r>
    </w:p>
    <w:p w:rsidR="00857EF7" w:rsidRPr="00BB5519" w:rsidRDefault="00857EF7" w:rsidP="00857EF7">
      <w:pPr>
        <w:ind w:left="720"/>
        <w:rPr>
          <w:lang w:val="de-DE"/>
        </w:rPr>
      </w:pPr>
    </w:p>
    <w:p w:rsidR="004D776B" w:rsidRPr="00BB5519" w:rsidRDefault="004D776B" w:rsidP="00857EF7">
      <w:pPr>
        <w:ind w:left="720"/>
        <w:rPr>
          <w:lang w:val="de-DE"/>
        </w:rPr>
      </w:pPr>
      <w:r w:rsidRPr="00BB5519">
        <w:rPr>
          <w:rFonts w:eastAsia="Calibri" w:cs="Tahoma"/>
          <w:szCs w:val="18"/>
          <w:lang w:val="de-DE"/>
        </w:rPr>
        <w:t>Das Recht der Kunden zur Nutzung der Software unter der Lizenz für Core Infrastructure Server Suite Datacenter setzt voraus, dass die Kunden alle übrigen Zahlungsverpflichtungen in Bezug auf die Lizenz für das qualifizierende Produkt erfüllen.</w:t>
      </w:r>
      <w:r w:rsidR="009E4976" w:rsidRPr="00BB5519">
        <w:rPr>
          <w:rFonts w:eastAsia="Calibri" w:cs="Tahoma"/>
          <w:szCs w:val="18"/>
          <w:lang w:val="de-DE"/>
        </w:rPr>
        <w:t xml:space="preserve"> </w:t>
      </w:r>
      <w:r w:rsidRPr="00BB5519">
        <w:rPr>
          <w:rFonts w:eastAsia="Calibri" w:cs="Tahoma"/>
          <w:szCs w:val="18"/>
          <w:lang w:val="de-DE"/>
        </w:rPr>
        <w:t>Die Lizenz für Core Infrastructure Server Suite Datacenter hat Vorrang vor der und ersetzt die zugrunde liegende Lizenz für das qualifizierende Produkt.</w:t>
      </w:r>
    </w:p>
    <w:p w:rsidR="00857EF7" w:rsidRPr="00BB5519" w:rsidRDefault="00857EF7" w:rsidP="00857EF7">
      <w:pPr>
        <w:ind w:left="720"/>
        <w:rPr>
          <w:lang w:val="de-D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BB5519" w:rsidTr="00C066F9">
        <w:trPr>
          <w:tblHeader/>
        </w:trPr>
        <w:tc>
          <w:tcPr>
            <w:tcW w:w="3870" w:type="dxa"/>
            <w:shd w:val="clear" w:color="auto" w:fill="FABF8F"/>
            <w:tcMar>
              <w:top w:w="0" w:type="dxa"/>
              <w:left w:w="108" w:type="dxa"/>
              <w:bottom w:w="0" w:type="dxa"/>
              <w:right w:w="108" w:type="dxa"/>
            </w:tcMar>
            <w:vAlign w:val="center"/>
            <w:hideMark/>
          </w:tcPr>
          <w:p w:rsidR="004D776B" w:rsidRPr="00BB5519" w:rsidRDefault="004D776B" w:rsidP="007E466C">
            <w:pPr>
              <w:spacing w:before="120" w:after="120" w:line="276" w:lineRule="auto"/>
              <w:jc w:val="center"/>
              <w:rPr>
                <w:rFonts w:eastAsia="Calibri" w:cs="Tahoma"/>
                <w:b/>
                <w:szCs w:val="18"/>
              </w:rPr>
            </w:pPr>
            <w:r w:rsidRPr="00BB5519">
              <w:rPr>
                <w:rFonts w:eastAsia="Calibri" w:cs="Tahoma"/>
                <w:b/>
                <w:szCs w:val="18"/>
              </w:rPr>
              <w:t>Qualifizierendes Produkt</w:t>
            </w:r>
          </w:p>
        </w:tc>
        <w:tc>
          <w:tcPr>
            <w:tcW w:w="3870" w:type="dxa"/>
            <w:shd w:val="clear" w:color="auto" w:fill="FABF8F"/>
            <w:tcMar>
              <w:top w:w="0" w:type="dxa"/>
              <w:left w:w="108" w:type="dxa"/>
              <w:bottom w:w="0" w:type="dxa"/>
              <w:right w:w="108" w:type="dxa"/>
            </w:tcMar>
            <w:vAlign w:val="center"/>
            <w:hideMark/>
          </w:tcPr>
          <w:p w:rsidR="004D776B" w:rsidRPr="00BB5519" w:rsidRDefault="004D776B" w:rsidP="007E466C">
            <w:pPr>
              <w:spacing w:before="120" w:after="120" w:line="276" w:lineRule="auto"/>
              <w:jc w:val="center"/>
              <w:rPr>
                <w:rFonts w:eastAsia="Calibri" w:cs="Tahoma"/>
                <w:b/>
                <w:szCs w:val="18"/>
              </w:rPr>
            </w:pPr>
            <w:r w:rsidRPr="00BB5519">
              <w:rPr>
                <w:rFonts w:eastAsia="Calibri" w:cs="Tahoma"/>
                <w:b/>
                <w:szCs w:val="18"/>
              </w:rPr>
              <w:t>Step Up zu</w:t>
            </w:r>
          </w:p>
        </w:tc>
      </w:tr>
      <w:tr w:rsidR="004D776B" w:rsidRPr="00D244F0" w:rsidTr="001051D1">
        <w:tc>
          <w:tcPr>
            <w:tcW w:w="3870" w:type="dxa"/>
            <w:tcMar>
              <w:top w:w="0" w:type="dxa"/>
              <w:left w:w="108" w:type="dxa"/>
              <w:bottom w:w="0" w:type="dxa"/>
              <w:right w:w="108" w:type="dxa"/>
            </w:tcMar>
            <w:hideMark/>
          </w:tcPr>
          <w:p w:rsidR="004D776B" w:rsidRPr="00BB5519" w:rsidRDefault="004D776B" w:rsidP="007E466C">
            <w:pPr>
              <w:spacing w:before="120" w:after="120" w:line="276" w:lineRule="auto"/>
              <w:rPr>
                <w:rFonts w:eastAsia="Calibri" w:cs="Tahoma"/>
                <w:szCs w:val="18"/>
              </w:rPr>
            </w:pPr>
            <w:r w:rsidRPr="00BB5519">
              <w:rPr>
                <w:rFonts w:eastAsia="Calibri" w:cs="Tahoma"/>
                <w:szCs w:val="18"/>
              </w:rPr>
              <w:t>Windows Server Datacenter</w:t>
            </w:r>
          </w:p>
        </w:tc>
        <w:tc>
          <w:tcPr>
            <w:tcW w:w="3870" w:type="dxa"/>
            <w:tcMar>
              <w:top w:w="0" w:type="dxa"/>
              <w:left w:w="108" w:type="dxa"/>
              <w:bottom w:w="0" w:type="dxa"/>
              <w:right w:w="108" w:type="dxa"/>
            </w:tcMar>
            <w:hideMark/>
          </w:tcPr>
          <w:p w:rsidR="004D776B" w:rsidRPr="00BB5519" w:rsidRDefault="004D776B" w:rsidP="007E466C">
            <w:pPr>
              <w:spacing w:before="120" w:after="120" w:line="276" w:lineRule="auto"/>
              <w:rPr>
                <w:rFonts w:eastAsia="Calibri" w:cs="Tahoma"/>
                <w:szCs w:val="18"/>
                <w:lang w:val="fr-FR"/>
              </w:rPr>
            </w:pPr>
            <w:r w:rsidRPr="00BB5519">
              <w:rPr>
                <w:rFonts w:eastAsia="Calibri" w:cs="Tahoma"/>
                <w:szCs w:val="18"/>
                <w:lang w:val="fr-FR"/>
              </w:rPr>
              <w:t>Core Infrastructure Server Suite Datacenter</w:t>
            </w:r>
          </w:p>
        </w:tc>
      </w:tr>
      <w:tr w:rsidR="004D776B" w:rsidRPr="00D244F0" w:rsidTr="001051D1">
        <w:tc>
          <w:tcPr>
            <w:tcW w:w="3870" w:type="dxa"/>
            <w:tcMar>
              <w:top w:w="0" w:type="dxa"/>
              <w:left w:w="108" w:type="dxa"/>
              <w:bottom w:w="0" w:type="dxa"/>
              <w:right w:w="108" w:type="dxa"/>
            </w:tcMar>
          </w:tcPr>
          <w:p w:rsidR="004D776B" w:rsidRPr="00BB5519" w:rsidRDefault="004D776B" w:rsidP="007E466C">
            <w:pPr>
              <w:spacing w:before="120" w:after="120" w:line="276" w:lineRule="auto"/>
              <w:rPr>
                <w:rFonts w:eastAsia="Calibri" w:cs="Tahoma"/>
                <w:szCs w:val="18"/>
              </w:rPr>
            </w:pPr>
            <w:r w:rsidRPr="00BB5519">
              <w:rPr>
                <w:rFonts w:eastAsia="Calibri" w:cs="Tahoma"/>
                <w:szCs w:val="18"/>
              </w:rPr>
              <w:t>System Center Datacenter</w:t>
            </w:r>
          </w:p>
        </w:tc>
        <w:tc>
          <w:tcPr>
            <w:tcW w:w="3870" w:type="dxa"/>
            <w:tcMar>
              <w:top w:w="0" w:type="dxa"/>
              <w:left w:w="108" w:type="dxa"/>
              <w:bottom w:w="0" w:type="dxa"/>
              <w:right w:w="108" w:type="dxa"/>
            </w:tcMar>
          </w:tcPr>
          <w:p w:rsidR="004D776B" w:rsidRPr="00BB5519" w:rsidRDefault="004D776B" w:rsidP="007E466C">
            <w:pPr>
              <w:spacing w:before="120" w:after="120" w:line="276" w:lineRule="auto"/>
              <w:rPr>
                <w:rFonts w:eastAsia="Calibri" w:cs="Tahoma"/>
                <w:szCs w:val="18"/>
                <w:lang w:val="fr-FR"/>
              </w:rPr>
            </w:pPr>
            <w:r w:rsidRPr="00BB5519">
              <w:rPr>
                <w:rFonts w:eastAsia="Calibri" w:cs="Tahoma"/>
                <w:szCs w:val="18"/>
                <w:lang w:val="fr-FR"/>
              </w:rPr>
              <w:t>Core Infrastructure Server Suite Datacenter</w:t>
            </w:r>
          </w:p>
        </w:tc>
      </w:tr>
    </w:tbl>
    <w:p w:rsidR="00BC62D4" w:rsidRPr="00BB5519" w:rsidRDefault="00BC62D4" w:rsidP="00857EF7">
      <w:pPr>
        <w:ind w:left="907"/>
        <w:rPr>
          <w:lang w:val="fr-FR"/>
        </w:rPr>
      </w:pPr>
      <w:bookmarkStart w:id="1220" w:name="Srv_38DynCRMWorkProEnt"/>
    </w:p>
    <w:p w:rsidR="00E03856" w:rsidRPr="00BB5519" w:rsidRDefault="00E03856" w:rsidP="00857EF7">
      <w:pPr>
        <w:ind w:left="907"/>
        <w:rPr>
          <w:lang w:val="fr-FR"/>
        </w:rPr>
      </w:pPr>
    </w:p>
    <w:p w:rsidR="00F66FB0" w:rsidRPr="00BB5519" w:rsidRDefault="00F66FB0" w:rsidP="00F66FB0">
      <w:pPr>
        <w:pStyle w:val="Heading2"/>
        <w:ind w:left="0"/>
        <w:rPr>
          <w:lang w:val="de-DE"/>
        </w:rPr>
      </w:pPr>
      <w:bookmarkStart w:id="1221" w:name="_41_Duet_Enterprise_1"/>
      <w:bookmarkStart w:id="1222" w:name="_Toc354054996"/>
      <w:bookmarkStart w:id="1223" w:name="Srv_38DynamicsCRMOnline"/>
      <w:bookmarkStart w:id="1224" w:name="Srv_37DynamicsCRMOnline"/>
      <w:bookmarkStart w:id="1225" w:name="Srv_37EntCALSuite"/>
      <w:bookmarkEnd w:id="1208"/>
      <w:bookmarkEnd w:id="1220"/>
      <w:bookmarkEnd w:id="1221"/>
      <w:r w:rsidRPr="00BB5519">
        <w:rPr>
          <w:rFonts w:ascii="Tahoma" w:eastAsia="Times New Roman" w:hAnsi="Tahoma" w:cs="Tahoma"/>
          <w:caps/>
          <w:color w:val="FA6500"/>
          <w:sz w:val="22"/>
          <w:szCs w:val="22"/>
          <w:vertAlign w:val="superscript"/>
          <w:lang w:val="de-DE"/>
        </w:rPr>
        <w:t xml:space="preserve">41 </w:t>
      </w:r>
      <w:r w:rsidRPr="00BB5519">
        <w:rPr>
          <w:rFonts w:ascii="Tahoma" w:eastAsia="Times New Roman" w:hAnsi="Tahoma" w:cs="Tahoma"/>
          <w:color w:val="FA6500"/>
          <w:sz w:val="22"/>
          <w:szCs w:val="22"/>
          <w:lang w:val="de-DE"/>
        </w:rPr>
        <w:t>Duet Enterprise 2.0</w:t>
      </w:r>
      <w:bookmarkEnd w:id="1222"/>
    </w:p>
    <w:p w:rsidR="00F66FB0" w:rsidRPr="00BB5519" w:rsidRDefault="00F66FB0" w:rsidP="00F66FB0">
      <w:pPr>
        <w:ind w:left="720"/>
        <w:rPr>
          <w:lang w:val="de-DE"/>
        </w:rPr>
      </w:pPr>
      <w:r w:rsidRPr="00BB5519">
        <w:rPr>
          <w:rFonts w:cs="Tahoma"/>
          <w:lang w:val="de-DE"/>
        </w:rPr>
        <w:t xml:space="preserve"> </w:t>
      </w:r>
    </w:p>
    <w:p w:rsidR="00F66FB0" w:rsidRPr="00BB5519" w:rsidRDefault="00F66FB0" w:rsidP="00F66FB0">
      <w:pPr>
        <w:ind w:left="720"/>
        <w:rPr>
          <w:lang w:val="de-DE"/>
        </w:rPr>
      </w:pPr>
      <w:r w:rsidRPr="00BB5519">
        <w:rPr>
          <w:color w:val="000000"/>
          <w:lang w:val="de-DE"/>
        </w:rPr>
        <w:t>Duet Enterprise 2.0 stellt die neueste Version von Duet Enterprise für Microsoft SharePoint und SAP 1.0 dar. Kunden mit aktiver Software Assurance für Duet Enterprise für Microsoft SharePoint und SAP 1.0 am 30. November 2012 sind berechtigt, auf Duet Enterprise 2.0 upzugraden und dies anstelle ihrer entsprechend lizenzierten Duet Enterprise für SharePoint und SAP 1.0 zu verwenden.</w:t>
      </w:r>
    </w:p>
    <w:p w:rsidR="00F66FB0" w:rsidRPr="00BB5519" w:rsidRDefault="00F66FB0" w:rsidP="00F66FB0">
      <w:pPr>
        <w:rPr>
          <w:lang w:val="de-DE"/>
        </w:rPr>
      </w:pPr>
      <w:r w:rsidRPr="00BB5519">
        <w:rPr>
          <w:color w:val="000000"/>
          <w:lang w:val="de-DE"/>
        </w:rPr>
        <w:t xml:space="preserve"> </w:t>
      </w:r>
    </w:p>
    <w:p w:rsidR="00F66FB0" w:rsidRPr="00BB5519" w:rsidRDefault="00F66FB0" w:rsidP="00F66FB0">
      <w:pPr>
        <w:ind w:left="720"/>
        <w:rPr>
          <w:lang w:val="de-DE"/>
        </w:rPr>
      </w:pPr>
      <w:r w:rsidRPr="00BB5519">
        <w:rPr>
          <w:color w:val="000000"/>
          <w:u w:val="single"/>
          <w:lang w:val="de-DE"/>
        </w:rPr>
        <w:t>Bezug von Duet Enterprise 2.0</w:t>
      </w:r>
    </w:p>
    <w:p w:rsidR="00F66FB0" w:rsidRPr="00BB5519" w:rsidRDefault="00F66FB0" w:rsidP="00F66FB0">
      <w:pPr>
        <w:ind w:left="720"/>
        <w:rPr>
          <w:lang w:val="de-DE"/>
        </w:rPr>
      </w:pPr>
      <w:r w:rsidRPr="00BB5519">
        <w:rPr>
          <w:color w:val="000000"/>
          <w:lang w:val="de-DE"/>
        </w:rPr>
        <w:t>Duet Enterprise 2.0 steht im Center für Volumenlizenz-Services nicht zur Verfügung. Bestehende Kunden mit Anrecht auf Duet Enterprise 2.0 erhalten gesonderte Benachrichtigungen, in denen erklärt wird, wie die Software über Microsoft Connect bezogen werden kann.</w:t>
      </w:r>
    </w:p>
    <w:p w:rsidR="00857EF7" w:rsidRPr="00BB5519" w:rsidRDefault="00857EF7" w:rsidP="00857EF7">
      <w:pPr>
        <w:rPr>
          <w:lang w:val="de-DE"/>
        </w:rPr>
      </w:pPr>
    </w:p>
    <w:p w:rsidR="00857EF7" w:rsidRPr="00BB5519" w:rsidRDefault="00857EF7" w:rsidP="00857EF7">
      <w:pPr>
        <w:rPr>
          <w:lang w:val="de-DE"/>
        </w:rPr>
      </w:pPr>
    </w:p>
    <w:p w:rsidR="00652B0A" w:rsidRPr="00BB5519" w:rsidRDefault="004668D9" w:rsidP="00652B0A">
      <w:pPr>
        <w:pStyle w:val="Heading3"/>
        <w:rPr>
          <w:lang w:val="de-DE"/>
        </w:rPr>
      </w:pPr>
      <w:bookmarkStart w:id="1226" w:name="_40_Dynamics_CRM"/>
      <w:bookmarkStart w:id="1227" w:name="_40_39_Dynamics"/>
      <w:bookmarkStart w:id="1228" w:name="_4240_Dynamics_CRM"/>
      <w:bookmarkStart w:id="1229" w:name="_42_Dynamics_CRM"/>
      <w:bookmarkStart w:id="1230" w:name="_Toc336338300"/>
      <w:bookmarkStart w:id="1231" w:name="_Toc354054997"/>
      <w:bookmarkEnd w:id="1226"/>
      <w:bookmarkEnd w:id="1227"/>
      <w:bookmarkEnd w:id="1228"/>
      <w:bookmarkEnd w:id="1229"/>
      <w:r w:rsidRPr="00BB5519">
        <w:rPr>
          <w:rFonts w:ascii="Tahoma" w:hAnsi="Tahoma"/>
          <w:caps/>
          <w:color w:val="F66400"/>
          <w:sz w:val="22"/>
          <w:vertAlign w:val="superscript"/>
          <w:lang w:val="de-DE"/>
        </w:rPr>
        <w:t>42</w:t>
      </w:r>
      <w:r w:rsidRPr="00BB5519">
        <w:rPr>
          <w:rFonts w:ascii="Tahoma" w:hAnsi="Tahoma"/>
          <w:color w:val="F66400"/>
          <w:sz w:val="22"/>
          <w:lang w:val="de-DE"/>
        </w:rPr>
        <w:t xml:space="preserve"> Dynamics CRM Online</w:t>
      </w:r>
      <w:bookmarkEnd w:id="1230"/>
      <w:bookmarkEnd w:id="1231"/>
    </w:p>
    <w:bookmarkEnd w:id="1223"/>
    <w:bookmarkEnd w:id="1224"/>
    <w:p w:rsidR="00652B0A" w:rsidRPr="00BB5519" w:rsidRDefault="00652B0A">
      <w:pPr>
        <w:pStyle w:val="Heading3"/>
        <w:rPr>
          <w:lang w:val="de-DE"/>
        </w:rPr>
      </w:pPr>
    </w:p>
    <w:p w:rsidR="0040633A" w:rsidRPr="00BB5519" w:rsidRDefault="00857EF7" w:rsidP="001154B5">
      <w:pPr>
        <w:ind w:left="720"/>
        <w:rPr>
          <w:lang w:val="de-DE"/>
        </w:rPr>
      </w:pPr>
      <w:r w:rsidRPr="00BB5519">
        <w:rPr>
          <w:rFonts w:cs="Tahoma"/>
          <w:b/>
          <w:color w:val="000000"/>
          <w:szCs w:val="18"/>
          <w:lang w:val="de-DE"/>
        </w:rPr>
        <w:t>Länder, in denen Dynamics CRM Online verfügbar ist</w:t>
      </w:r>
    </w:p>
    <w:p w:rsidR="00E952D9" w:rsidRPr="00BB5519" w:rsidRDefault="00E952D9" w:rsidP="0040633A">
      <w:pPr>
        <w:ind w:left="540"/>
        <w:rPr>
          <w:lang w:val="de-D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BB5519" w:rsidTr="00F4605A">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BB5519" w:rsidRDefault="00781A60" w:rsidP="00F4605A">
            <w:pPr>
              <w:jc w:val="center"/>
              <w:rPr>
                <w:rFonts w:cs="Tahoma"/>
                <w:b/>
                <w:bCs/>
                <w:szCs w:val="20"/>
              </w:rPr>
            </w:pPr>
            <w:r w:rsidRPr="00BB5519">
              <w:rPr>
                <w:rFonts w:cs="Tahoma"/>
                <w:b/>
                <w:bCs/>
                <w:szCs w:val="20"/>
              </w:rPr>
              <w:t>Nord-, Mittel- und Südamerika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BB5519" w:rsidRDefault="00781A60" w:rsidP="00F4605A">
            <w:pPr>
              <w:jc w:val="center"/>
              <w:rPr>
                <w:rFonts w:cs="Tahoma"/>
                <w:b/>
                <w:bCs/>
                <w:szCs w:val="20"/>
              </w:rPr>
            </w:pPr>
            <w:r w:rsidRPr="00BB5519">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BB5519" w:rsidRDefault="00781A60" w:rsidP="00F4605A">
            <w:pPr>
              <w:jc w:val="center"/>
              <w:rPr>
                <w:rFonts w:cs="Tahoma"/>
                <w:b/>
                <w:bCs/>
                <w:szCs w:val="20"/>
              </w:rPr>
            </w:pPr>
            <w:r w:rsidRPr="00BB5519">
              <w:rPr>
                <w:rFonts w:cs="Tahoma"/>
                <w:b/>
                <w:bCs/>
                <w:szCs w:val="20"/>
              </w:rPr>
              <w:t>Asien-Pazifik</w:t>
            </w:r>
          </w:p>
        </w:tc>
      </w:tr>
      <w:tr w:rsidR="00781A60" w:rsidRPr="00BB5519"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jc w:val="center"/>
              <w:rPr>
                <w:rFonts w:cs="Tahoma"/>
                <w:color w:val="000000"/>
                <w:szCs w:val="20"/>
              </w:rPr>
            </w:pPr>
            <w:r w:rsidRPr="00BB5519">
              <w:rPr>
                <w:rFonts w:cs="Arial"/>
              </w:rPr>
              <w:t>Brasilien</w:t>
            </w:r>
          </w:p>
        </w:tc>
        <w:tc>
          <w:tcPr>
            <w:tcW w:w="2670" w:type="dxa"/>
            <w:tcBorders>
              <w:top w:val="nil"/>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Österreich</w:t>
            </w:r>
          </w:p>
        </w:tc>
        <w:tc>
          <w:tcPr>
            <w:tcW w:w="2670" w:type="dxa"/>
            <w:tcBorders>
              <w:top w:val="nil"/>
              <w:left w:val="single" w:sz="4" w:space="0" w:color="auto"/>
              <w:bottom w:val="single" w:sz="4" w:space="0" w:color="000000"/>
              <w:right w:val="single" w:sz="8" w:space="0" w:color="000000"/>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Australien</w:t>
            </w: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jc w:val="center"/>
              <w:rPr>
                <w:rFonts w:cs="Tahoma"/>
                <w:color w:val="000000"/>
                <w:szCs w:val="20"/>
              </w:rPr>
            </w:pPr>
            <w:r w:rsidRPr="00BB5519">
              <w:rPr>
                <w:rFonts w:cs="Arial"/>
              </w:rPr>
              <w:t>Kanada</w:t>
            </w: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Belgien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Hongkong</w:t>
            </w: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jc w:val="center"/>
              <w:rPr>
                <w:rFonts w:cs="Tahoma"/>
                <w:color w:val="000000"/>
                <w:szCs w:val="20"/>
              </w:rPr>
            </w:pPr>
            <w:r w:rsidRPr="00BB5519">
              <w:rPr>
                <w:rFonts w:cs="Arial"/>
              </w:rPr>
              <w:t>Kolumbien</w:t>
            </w: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Zypern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Indien</w:t>
            </w: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jc w:val="center"/>
              <w:rPr>
                <w:rFonts w:cs="Arial"/>
              </w:rPr>
            </w:pPr>
            <w:r w:rsidRPr="00BB5519">
              <w:rPr>
                <w:rFonts w:cs="Arial"/>
              </w:rPr>
              <w:t>Costa Rica</w:t>
            </w: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Tschechische Republik</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Japan</w:t>
            </w:r>
          </w:p>
        </w:tc>
      </w:tr>
      <w:tr w:rsidR="00B40674"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B5519" w:rsidRDefault="00B40674" w:rsidP="00F4605A">
            <w:pPr>
              <w:jc w:val="center"/>
              <w:rPr>
                <w:rFonts w:cs="Arial"/>
              </w:rPr>
            </w:pPr>
            <w:r w:rsidRPr="00BB5519">
              <w:rPr>
                <w:rFonts w:cs="Arial"/>
              </w:rPr>
              <w:t>Chile</w:t>
            </w:r>
          </w:p>
        </w:tc>
        <w:tc>
          <w:tcPr>
            <w:tcW w:w="2670" w:type="dxa"/>
            <w:tcBorders>
              <w:top w:val="single" w:sz="4" w:space="0" w:color="000000"/>
              <w:left w:val="nil"/>
              <w:bottom w:val="single" w:sz="4" w:space="0" w:color="000000"/>
              <w:right w:val="single" w:sz="4" w:space="0" w:color="auto"/>
            </w:tcBorders>
          </w:tcPr>
          <w:p w:rsidR="00B40674" w:rsidRPr="00BB5519" w:rsidRDefault="00B40674"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Dänemark</w:t>
            </w:r>
          </w:p>
        </w:tc>
        <w:tc>
          <w:tcPr>
            <w:tcW w:w="2670" w:type="dxa"/>
            <w:tcBorders>
              <w:top w:val="single" w:sz="4" w:space="0" w:color="000000"/>
              <w:left w:val="single" w:sz="4" w:space="0" w:color="auto"/>
              <w:bottom w:val="single" w:sz="4" w:space="0" w:color="000000"/>
              <w:right w:val="single" w:sz="4" w:space="0" w:color="000000"/>
            </w:tcBorders>
          </w:tcPr>
          <w:p w:rsidR="00B40674" w:rsidRPr="00BB5519" w:rsidRDefault="00B40674"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Korea</w:t>
            </w:r>
          </w:p>
        </w:tc>
      </w:tr>
      <w:tr w:rsidR="00B40674"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B5519" w:rsidRDefault="00B40674" w:rsidP="00F4605A">
            <w:pPr>
              <w:jc w:val="center"/>
              <w:rPr>
                <w:rFonts w:cs="Arial"/>
              </w:rPr>
            </w:pPr>
            <w:r w:rsidRPr="00BB5519">
              <w:rPr>
                <w:rFonts w:cs="Arial"/>
              </w:rPr>
              <w:t>Mexiko</w:t>
            </w:r>
          </w:p>
        </w:tc>
        <w:tc>
          <w:tcPr>
            <w:tcW w:w="2670" w:type="dxa"/>
            <w:tcBorders>
              <w:top w:val="single" w:sz="4" w:space="0" w:color="000000"/>
              <w:left w:val="nil"/>
              <w:bottom w:val="single" w:sz="4" w:space="0" w:color="000000"/>
              <w:right w:val="single" w:sz="4" w:space="0" w:color="auto"/>
            </w:tcBorders>
          </w:tcPr>
          <w:p w:rsidR="00B40674" w:rsidRPr="00BB5519" w:rsidRDefault="00B40674"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Finnland</w:t>
            </w:r>
          </w:p>
        </w:tc>
        <w:tc>
          <w:tcPr>
            <w:tcW w:w="2670" w:type="dxa"/>
            <w:tcBorders>
              <w:top w:val="single" w:sz="4" w:space="0" w:color="000000"/>
              <w:left w:val="single" w:sz="4" w:space="0" w:color="auto"/>
              <w:bottom w:val="single" w:sz="4" w:space="0" w:color="000000"/>
              <w:right w:val="single" w:sz="4" w:space="0" w:color="000000"/>
            </w:tcBorders>
          </w:tcPr>
          <w:p w:rsidR="00B40674" w:rsidRPr="00BB5519" w:rsidRDefault="00B40674"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Malaysia</w:t>
            </w:r>
          </w:p>
        </w:tc>
      </w:tr>
      <w:tr w:rsidR="00B40674"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B5519" w:rsidRDefault="00B40674" w:rsidP="00F4605A">
            <w:pPr>
              <w:jc w:val="center"/>
              <w:rPr>
                <w:rFonts w:cs="Arial"/>
              </w:rPr>
            </w:pPr>
            <w:r w:rsidRPr="00BB5519">
              <w:rPr>
                <w:rFonts w:cs="Arial"/>
              </w:rPr>
              <w:t>Peru</w:t>
            </w:r>
          </w:p>
        </w:tc>
        <w:tc>
          <w:tcPr>
            <w:tcW w:w="2670" w:type="dxa"/>
            <w:tcBorders>
              <w:top w:val="single" w:sz="4" w:space="0" w:color="000000"/>
              <w:left w:val="nil"/>
              <w:bottom w:val="single" w:sz="4" w:space="0" w:color="000000"/>
              <w:right w:val="single" w:sz="4" w:space="0" w:color="auto"/>
            </w:tcBorders>
          </w:tcPr>
          <w:p w:rsidR="00B40674" w:rsidRPr="00BB5519" w:rsidRDefault="00B40674"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Frankreich</w:t>
            </w:r>
          </w:p>
        </w:tc>
        <w:tc>
          <w:tcPr>
            <w:tcW w:w="2670" w:type="dxa"/>
            <w:tcBorders>
              <w:top w:val="single" w:sz="4" w:space="0" w:color="000000"/>
              <w:left w:val="single" w:sz="4" w:space="0" w:color="auto"/>
              <w:bottom w:val="single" w:sz="4" w:space="0" w:color="000000"/>
              <w:right w:val="single" w:sz="4" w:space="0" w:color="000000"/>
            </w:tcBorders>
          </w:tcPr>
          <w:p w:rsidR="00B40674" w:rsidRPr="00BB5519" w:rsidRDefault="00B40674"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Neuseeland</w:t>
            </w:r>
          </w:p>
        </w:tc>
      </w:tr>
      <w:tr w:rsidR="00B40674"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BB5519" w:rsidRDefault="00B40674" w:rsidP="00F4605A">
            <w:pPr>
              <w:jc w:val="center"/>
              <w:rPr>
                <w:rFonts w:cs="Arial"/>
              </w:rPr>
            </w:pPr>
            <w:r w:rsidRPr="00BB5519">
              <w:rPr>
                <w:rFonts w:cs="Arial"/>
              </w:rPr>
              <w:t>Puerto Rico</w:t>
            </w:r>
          </w:p>
        </w:tc>
        <w:tc>
          <w:tcPr>
            <w:tcW w:w="2670" w:type="dxa"/>
            <w:tcBorders>
              <w:top w:val="single" w:sz="4" w:space="0" w:color="000000"/>
              <w:left w:val="nil"/>
              <w:bottom w:val="single" w:sz="4" w:space="0" w:color="000000"/>
              <w:right w:val="single" w:sz="4" w:space="0" w:color="auto"/>
            </w:tcBorders>
          </w:tcPr>
          <w:p w:rsidR="00B40674" w:rsidRPr="00BB5519" w:rsidRDefault="00B40674"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Deutschland</w:t>
            </w:r>
          </w:p>
        </w:tc>
        <w:tc>
          <w:tcPr>
            <w:tcW w:w="2670" w:type="dxa"/>
            <w:tcBorders>
              <w:top w:val="single" w:sz="4" w:space="0" w:color="000000"/>
              <w:left w:val="single" w:sz="4" w:space="0" w:color="auto"/>
              <w:bottom w:val="single" w:sz="4" w:space="0" w:color="000000"/>
              <w:right w:val="single" w:sz="4" w:space="0" w:color="000000"/>
            </w:tcBorders>
          </w:tcPr>
          <w:p w:rsidR="00B40674" w:rsidRPr="00BB5519" w:rsidRDefault="00B40674" w:rsidP="00F4605A">
            <w:pPr>
              <w:pStyle w:val="ColorfulList-Accent11"/>
              <w:spacing w:line="276" w:lineRule="auto"/>
              <w:ind w:left="540"/>
              <w:jc w:val="center"/>
              <w:rPr>
                <w:rFonts w:ascii="Tahoma" w:hAnsi="Tahoma" w:cs="Tahoma"/>
                <w:color w:val="000000"/>
                <w:sz w:val="18"/>
                <w:szCs w:val="20"/>
              </w:rPr>
            </w:pPr>
            <w:r w:rsidRPr="00BB5519">
              <w:rPr>
                <w:rFonts w:ascii="Tahoma" w:hAnsi="Tahoma" w:cs="Tahoma"/>
                <w:color w:val="000000"/>
                <w:sz w:val="18"/>
                <w:szCs w:val="20"/>
              </w:rPr>
              <w:t>Singapur</w:t>
            </w: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jc w:val="center"/>
              <w:rPr>
                <w:rFonts w:cs="Arial"/>
              </w:rPr>
            </w:pPr>
            <w:r w:rsidRPr="00BB5519">
              <w:rPr>
                <w:rFonts w:cs="Arial"/>
              </w:rPr>
              <w:t>Trinidad und Tobago</w:t>
            </w: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Griechenland</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jc w:val="center"/>
              <w:rPr>
                <w:rFonts w:cs="Arial"/>
              </w:rPr>
            </w:pPr>
            <w:r w:rsidRPr="00BB5519">
              <w:rPr>
                <w:rFonts w:cs="Arial"/>
              </w:rPr>
              <w:t>Vereinigte Staaten</w:t>
            </w: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color w:val="000000"/>
                <w:sz w:val="18"/>
                <w:szCs w:val="18"/>
              </w:rPr>
            </w:pPr>
            <w:r w:rsidRPr="00BB5519">
              <w:rPr>
                <w:rFonts w:ascii="Tahoma" w:hAnsi="Tahoma" w:cs="Tahoma"/>
                <w:sz w:val="18"/>
                <w:szCs w:val="18"/>
              </w:rPr>
              <w:t>Ungarn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Irland</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Italien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Niederlande</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Norwegen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Rumänien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E822D9"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BB5519" w:rsidRDefault="00E822D9"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BB5519" w:rsidRDefault="00E822D9"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Russland</w:t>
            </w:r>
          </w:p>
        </w:tc>
        <w:tc>
          <w:tcPr>
            <w:tcW w:w="2670" w:type="dxa"/>
            <w:tcBorders>
              <w:top w:val="single" w:sz="4" w:space="0" w:color="000000"/>
              <w:left w:val="single" w:sz="4" w:space="0" w:color="auto"/>
              <w:bottom w:val="single" w:sz="4" w:space="0" w:color="000000"/>
              <w:right w:val="single" w:sz="4" w:space="0" w:color="000000"/>
            </w:tcBorders>
          </w:tcPr>
          <w:p w:rsidR="00E822D9" w:rsidRPr="00BB5519" w:rsidRDefault="00E822D9"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Spanien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Schweden</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Schweiz</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r w:rsidR="00781A60" w:rsidRPr="00BB551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BB5519" w:rsidRDefault="00781A60" w:rsidP="00F4605A">
            <w:pPr>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BB5519" w:rsidRDefault="00781A60" w:rsidP="00F4605A">
            <w:pPr>
              <w:pStyle w:val="ColorfulList-Accent11"/>
              <w:spacing w:line="276" w:lineRule="auto"/>
              <w:ind w:left="0"/>
              <w:jc w:val="center"/>
              <w:rPr>
                <w:rFonts w:ascii="Tahoma" w:hAnsi="Tahoma" w:cs="Tahoma"/>
                <w:sz w:val="18"/>
                <w:szCs w:val="18"/>
              </w:rPr>
            </w:pPr>
            <w:r w:rsidRPr="00BB5519">
              <w:rPr>
                <w:rFonts w:ascii="Tahoma" w:hAnsi="Tahoma" w:cs="Tahoma"/>
                <w:sz w:val="18"/>
                <w:szCs w:val="18"/>
              </w:rPr>
              <w:t>Vereinigtes Königreich</w:t>
            </w:r>
          </w:p>
        </w:tc>
        <w:tc>
          <w:tcPr>
            <w:tcW w:w="2670" w:type="dxa"/>
            <w:tcBorders>
              <w:top w:val="single" w:sz="4" w:space="0" w:color="000000"/>
              <w:left w:val="single" w:sz="4" w:space="0" w:color="auto"/>
              <w:bottom w:val="single" w:sz="4" w:space="0" w:color="000000"/>
              <w:right w:val="single" w:sz="4" w:space="0" w:color="000000"/>
            </w:tcBorders>
          </w:tcPr>
          <w:p w:rsidR="00781A60" w:rsidRPr="00BB5519" w:rsidRDefault="00781A60" w:rsidP="00F4605A">
            <w:pPr>
              <w:pStyle w:val="ColorfulList-Accent11"/>
              <w:spacing w:line="276" w:lineRule="auto"/>
              <w:ind w:left="540"/>
              <w:jc w:val="center"/>
              <w:rPr>
                <w:rFonts w:ascii="Tahoma" w:hAnsi="Tahoma" w:cs="Tahoma"/>
                <w:color w:val="000000"/>
                <w:sz w:val="18"/>
                <w:szCs w:val="20"/>
              </w:rPr>
            </w:pPr>
          </w:p>
        </w:tc>
      </w:tr>
    </w:tbl>
    <w:p w:rsidR="00D47417" w:rsidRPr="00BB5519" w:rsidRDefault="00D47417" w:rsidP="00F4605A">
      <w:pPr>
        <w:ind w:left="540"/>
      </w:pPr>
    </w:p>
    <w:p w:rsidR="0040633A" w:rsidRPr="00BB5519" w:rsidRDefault="0040633A" w:rsidP="00857EF7">
      <w:pPr>
        <w:spacing w:after="60"/>
        <w:ind w:left="720"/>
      </w:pPr>
      <w:r w:rsidRPr="00BB5519">
        <w:rPr>
          <w:rFonts w:cs="Tahoma"/>
          <w:b/>
          <w:bCs/>
          <w:color w:val="000000"/>
          <w:szCs w:val="18"/>
        </w:rPr>
        <w:t>Campus- und School-Vertrag</w:t>
      </w:r>
    </w:p>
    <w:p w:rsidR="00532ABF" w:rsidRPr="00BB5519" w:rsidRDefault="0040633A" w:rsidP="005614CA">
      <w:pPr>
        <w:ind w:left="720"/>
        <w:rPr>
          <w:lang w:val="de-DE"/>
        </w:rPr>
      </w:pPr>
      <w:r w:rsidRPr="00BB5519">
        <w:rPr>
          <w:rFonts w:cs="Tahoma"/>
          <w:color w:val="000000"/>
          <w:szCs w:val="18"/>
          <w:lang w:val="de-DE"/>
        </w:rPr>
        <w:t>Abonnementlizenzen für Dynamics CRM Online, die im Rahmen eines Campus- und School-Vertrages verkauft werden, können für die gesamte Einrichtung oder nur Teile davon erworben werden.</w:t>
      </w:r>
      <w:r w:rsidR="009E4976" w:rsidRPr="00BB5519">
        <w:rPr>
          <w:rFonts w:cs="Tahoma"/>
          <w:color w:val="000000"/>
          <w:szCs w:val="18"/>
          <w:lang w:val="de-DE"/>
        </w:rPr>
        <w:t xml:space="preserve"> </w:t>
      </w:r>
      <w:r w:rsidRPr="00BB5519">
        <w:rPr>
          <w:rFonts w:cs="Tahoma"/>
          <w:color w:val="000000"/>
          <w:szCs w:val="18"/>
          <w:lang w:val="de-DE"/>
        </w:rPr>
        <w:t>Abonnementlizenzen müssen für jeden Nutzer einzeln abgeschlossen werden.</w:t>
      </w:r>
      <w:r w:rsidR="009E4976" w:rsidRPr="00BB5519">
        <w:rPr>
          <w:rFonts w:cs="Tahoma"/>
          <w:color w:val="000000"/>
          <w:szCs w:val="18"/>
          <w:lang w:val="de-DE"/>
        </w:rPr>
        <w:t xml:space="preserve"> </w:t>
      </w:r>
      <w:r w:rsidRPr="00BB5519">
        <w:rPr>
          <w:rFonts w:cs="Tahoma"/>
          <w:color w:val="000000"/>
          <w:szCs w:val="18"/>
          <w:lang w:val="de-DE"/>
        </w:rPr>
        <w:t>Wenn während der Laufzeit zusätzliche Nutzer-Abonne</w:t>
      </w:r>
      <w:bookmarkStart w:id="1232" w:name="Srv_41DuetEnterpriseforOfficeandSAP"/>
      <w:bookmarkStart w:id="1233" w:name="Srv_38EntCALSuite"/>
      <w:r w:rsidRPr="00BB5519">
        <w:rPr>
          <w:rFonts w:cs="Tahoma"/>
          <w:color w:val="000000"/>
          <w:szCs w:val="18"/>
          <w:lang w:val="de-DE"/>
        </w:rPr>
        <w:t>mentlizenzen für den Zugriff auf Dynamic CRM benötigt werden, muss eine entsprechende Anzahl an Nutzer-ALs bestellt werden.</w:t>
      </w:r>
    </w:p>
    <w:p w:rsidR="006E28CC" w:rsidRPr="00BB5519" w:rsidRDefault="006E28CC" w:rsidP="005614CA">
      <w:pPr>
        <w:ind w:left="720"/>
        <w:rPr>
          <w:lang w:val="de-DE"/>
        </w:rPr>
      </w:pPr>
    </w:p>
    <w:p w:rsidR="006E28CC" w:rsidRPr="00BB5519" w:rsidRDefault="006E28CC" w:rsidP="006D6A83">
      <w:pPr>
        <w:spacing w:after="60"/>
        <w:ind w:left="720"/>
        <w:rPr>
          <w:lang w:val="de-DE"/>
        </w:rPr>
      </w:pPr>
      <w:r w:rsidRPr="00BB5519">
        <w:rPr>
          <w:b/>
          <w:lang w:val="de-DE"/>
        </w:rPr>
        <w:t>Microsoft Dynamics CRM Online – Microsoft Dynamics Marketing Online-Integrationsgewährung</w:t>
      </w:r>
    </w:p>
    <w:p w:rsidR="003165D6" w:rsidRPr="00BB5519" w:rsidRDefault="006E28CC" w:rsidP="009B3FA2">
      <w:pPr>
        <w:ind w:left="720"/>
        <w:rPr>
          <w:lang w:val="de-DE"/>
        </w:rPr>
      </w:pPr>
      <w:r w:rsidRPr="00BB5519">
        <w:rPr>
          <w:lang w:val="de-DE"/>
        </w:rPr>
        <w:t xml:space="preserve">Der folgende Lizenzverzicht gilt für lizenzierte Nutzer von Microsoft Dynamics Marketing Online mit aktivem Wartungssupport und Upgrade-Option für den direkten oder indirekten Zugriff auf den Microsoft Dynamics CRM Online-Service über den </w:t>
      </w:r>
      <w:r w:rsidRPr="00BB5519">
        <w:rPr>
          <w:bCs/>
          <w:lang w:val="de-DE"/>
        </w:rPr>
        <w:t>MarketingPilot Connector für Microsoft Dynamics CRM-</w:t>
      </w:r>
      <w:r w:rsidRPr="00BB5519">
        <w:rPr>
          <w:lang w:val="de-DE"/>
        </w:rPr>
        <w:t>Software ausschließlich zum Synchronisieren von Kundendaten. Diese Nutzer benötigen keine Nutzer-AL für Microsoft Dynamics CRM Online. Dieser Verzicht gilt bis zum</w:t>
      </w:r>
      <w:r w:rsidRPr="00BB5519">
        <w:rPr>
          <w:rFonts w:eastAsia="Calibri"/>
          <w:lang w:val="de-DE"/>
        </w:rPr>
        <w:t xml:space="preserve"> </w:t>
      </w:r>
      <w:r w:rsidRPr="00BB5519">
        <w:rPr>
          <w:lang w:val="de-DE"/>
        </w:rPr>
        <w:t>30. Juni 2014. Danach behält sich Microsoft das Recht vor, entsprechende Nutzer-ALs zu verlangen.</w:t>
      </w:r>
      <w:bookmarkStart w:id="1234" w:name="Srv_45EntCALBridgeWinIntune"/>
      <w:bookmarkEnd w:id="1232"/>
    </w:p>
    <w:p w:rsidR="0054609D" w:rsidRPr="00BB5519" w:rsidRDefault="0054609D" w:rsidP="00101859">
      <w:pPr>
        <w:rPr>
          <w:lang w:val="de-DE"/>
        </w:rPr>
      </w:pPr>
      <w:bookmarkStart w:id="1235" w:name="_41_Duet_Enterprise"/>
      <w:bookmarkEnd w:id="1235"/>
    </w:p>
    <w:p w:rsidR="0054609D" w:rsidRPr="00BB5519" w:rsidRDefault="0054609D" w:rsidP="00101859">
      <w:pPr>
        <w:rPr>
          <w:lang w:val="de-DE"/>
        </w:rPr>
      </w:pPr>
    </w:p>
    <w:p w:rsidR="00162A93" w:rsidRPr="00BB5519" w:rsidRDefault="004668D9" w:rsidP="00162A93">
      <w:pPr>
        <w:pStyle w:val="Heading3"/>
        <w:ind w:left="180" w:hanging="180"/>
        <w:rPr>
          <w:lang w:val="de-DE"/>
        </w:rPr>
      </w:pPr>
      <w:bookmarkStart w:id="1236" w:name="_41_Enterprise_CAL"/>
      <w:bookmarkStart w:id="1237" w:name="_43_Enterprise_CAL"/>
      <w:bookmarkStart w:id="1238" w:name="_Toc336338303"/>
      <w:bookmarkStart w:id="1239" w:name="_Toc354054998"/>
      <w:bookmarkEnd w:id="1236"/>
      <w:bookmarkEnd w:id="1237"/>
      <w:r w:rsidRPr="00BB5519">
        <w:rPr>
          <w:rFonts w:ascii="Tahoma" w:hAnsi="Tahoma" w:cs="Tahoma"/>
          <w:caps/>
          <w:color w:val="F66400"/>
          <w:sz w:val="22"/>
          <w:vertAlign w:val="superscript"/>
          <w:lang w:val="de-DE"/>
        </w:rPr>
        <w:t xml:space="preserve">43 </w:t>
      </w:r>
      <w:r w:rsidRPr="00BB5519">
        <w:rPr>
          <w:rFonts w:ascii="Tahoma" w:hAnsi="Tahoma"/>
          <w:color w:val="F66400"/>
          <w:sz w:val="22"/>
          <w:lang w:val="de-DE"/>
        </w:rPr>
        <w:t>Enterprise CAL Suite Bridge für Office 365, Enterprise CAL Suite Bridge für Office 365 und Windows Intune und Enterprise CAL Suite Bridge für Windows Intune</w:t>
      </w:r>
      <w:bookmarkEnd w:id="1238"/>
      <w:bookmarkEnd w:id="1239"/>
      <w:r w:rsidRPr="00BB5519">
        <w:rPr>
          <w:rFonts w:ascii="Tahoma" w:hAnsi="Tahoma"/>
          <w:color w:val="F66400"/>
          <w:sz w:val="22"/>
          <w:lang w:val="de-DE"/>
        </w:rPr>
        <w:t xml:space="preserve"> </w:t>
      </w:r>
    </w:p>
    <w:p w:rsidR="00BD2BE7" w:rsidRPr="00BB5519" w:rsidRDefault="00BD2BE7" w:rsidP="0084072C">
      <w:pPr>
        <w:rPr>
          <w:lang w:val="de-DE"/>
        </w:rPr>
      </w:pPr>
    </w:p>
    <w:bookmarkEnd w:id="1234"/>
    <w:p w:rsidR="0084072C" w:rsidRPr="00BB5519" w:rsidRDefault="00162A93" w:rsidP="0084072C">
      <w:pPr>
        <w:spacing w:after="60"/>
        <w:ind w:left="720"/>
        <w:rPr>
          <w:lang w:val="de-DE"/>
        </w:rPr>
      </w:pPr>
      <w:r w:rsidRPr="00BB5519">
        <w:rPr>
          <w:rFonts w:cs="Tahoma"/>
          <w:b/>
          <w:szCs w:val="18"/>
          <w:lang w:val="de-DE"/>
        </w:rPr>
        <w:t>Definition</w:t>
      </w:r>
    </w:p>
    <w:p w:rsidR="00162A93" w:rsidRPr="00BB5519" w:rsidRDefault="00162A93" w:rsidP="0084072C">
      <w:pPr>
        <w:ind w:left="720"/>
        <w:rPr>
          <w:lang w:val="de-DE"/>
        </w:rPr>
      </w:pPr>
      <w:r w:rsidRPr="00BB5519">
        <w:rPr>
          <w:rFonts w:cs="Tahoma"/>
          <w:szCs w:val="18"/>
          <w:lang w:val="de-DE"/>
        </w:rPr>
        <w:t>„Übergang“ ist die Umwandlung einer Lizenz mit aktueller Software Assurance in eine oder von einer Abonnementlizenz.</w:t>
      </w:r>
      <w:r w:rsidR="009E4976" w:rsidRPr="00BB5519">
        <w:rPr>
          <w:rFonts w:cs="Tahoma"/>
          <w:szCs w:val="18"/>
          <w:lang w:val="de-DE"/>
        </w:rPr>
        <w:t xml:space="preserve"> </w:t>
      </w:r>
    </w:p>
    <w:p w:rsidR="0084072C" w:rsidRPr="00BB5519" w:rsidRDefault="0084072C" w:rsidP="0084072C">
      <w:pPr>
        <w:ind w:left="720"/>
        <w:rPr>
          <w:lang w:val="de-DE"/>
        </w:rPr>
      </w:pPr>
    </w:p>
    <w:p w:rsidR="0084072C" w:rsidRPr="00BB5519" w:rsidRDefault="0084072C" w:rsidP="0084072C">
      <w:pPr>
        <w:spacing w:after="60"/>
        <w:ind w:left="720"/>
        <w:rPr>
          <w:lang w:val="de-DE"/>
        </w:rPr>
      </w:pPr>
      <w:r w:rsidRPr="00BB5519">
        <w:rPr>
          <w:rFonts w:cs="Tahoma"/>
          <w:b/>
          <w:szCs w:val="18"/>
          <w:lang w:val="de-DE"/>
        </w:rPr>
        <w:t>Anwendbare Nutzungsrechte</w:t>
      </w:r>
    </w:p>
    <w:p w:rsidR="00162A93" w:rsidRPr="00BB5519" w:rsidRDefault="00162A93" w:rsidP="0084072C">
      <w:pPr>
        <w:ind w:left="720"/>
        <w:rPr>
          <w:lang w:val="de-DE"/>
        </w:rPr>
      </w:pPr>
      <w:r w:rsidRPr="00BB5519">
        <w:rPr>
          <w:rFonts w:eastAsia="Calibri" w:cs="Tahoma"/>
          <w:szCs w:val="18"/>
          <w:lang w:val="de-DE"/>
        </w:rPr>
        <w:t>Eine CAL Suite Bridge hat keine Versionsnummer, und die Produktbenutzungsrechte hängen vom Status der Software Assurance dafür ab.</w:t>
      </w:r>
      <w:r w:rsidR="009E4976" w:rsidRPr="00BB5519">
        <w:rPr>
          <w:rFonts w:eastAsia="Calibri" w:cs="Tahoma"/>
          <w:szCs w:val="18"/>
          <w:lang w:val="de-DE"/>
        </w:rPr>
        <w:t xml:space="preserve"> </w:t>
      </w:r>
      <w:r w:rsidRPr="00BB5519">
        <w:rPr>
          <w:rFonts w:eastAsia="Calibri" w:cs="Tahoma"/>
          <w:szCs w:val="18"/>
          <w:lang w:val="de-DE"/>
        </w:rPr>
        <w:t>Falls Software Assurance unterbrochen wird, hängen die Zugriffsrechte im Rahmen zeitlich unbeschränkter Lizenzen von den Produktbenutzungsrechten ab, die vor der Unterbrechung galten.</w:t>
      </w:r>
      <w:r w:rsidR="009E4976" w:rsidRPr="00BB5519">
        <w:rPr>
          <w:rFonts w:eastAsia="Calibri" w:cs="Tahoma"/>
          <w:szCs w:val="18"/>
          <w:lang w:val="de-DE"/>
        </w:rPr>
        <w:t xml:space="preserve"> </w:t>
      </w:r>
      <w:r w:rsidRPr="00BB5519">
        <w:rPr>
          <w:rFonts w:eastAsia="Calibri" w:cs="Tahoma"/>
          <w:szCs w:val="18"/>
          <w:lang w:val="de-DE"/>
        </w:rPr>
        <w:t>Eine Lizenz für eine CAL Suite Bridge ist eine einzelne Lizenz, die einem einzelnen Nutzer oder Gerät zugewiesen werden muss.</w:t>
      </w:r>
    </w:p>
    <w:p w:rsidR="0084072C" w:rsidRPr="00BB5519" w:rsidRDefault="0084072C" w:rsidP="0084072C">
      <w:pPr>
        <w:ind w:left="720"/>
        <w:rPr>
          <w:lang w:val="de-DE"/>
        </w:rPr>
      </w:pPr>
    </w:p>
    <w:p w:rsidR="0084072C" w:rsidRPr="00BB5519" w:rsidRDefault="00162A93" w:rsidP="0084072C">
      <w:pPr>
        <w:spacing w:after="60"/>
        <w:ind w:left="720"/>
        <w:rPr>
          <w:lang w:val="de-DE"/>
        </w:rPr>
      </w:pPr>
      <w:r w:rsidRPr="00BB5519">
        <w:rPr>
          <w:rFonts w:cs="Tahoma"/>
          <w:b/>
          <w:szCs w:val="18"/>
          <w:lang w:val="de-DE"/>
        </w:rPr>
        <w:t>Anforderungen</w:t>
      </w:r>
    </w:p>
    <w:p w:rsidR="00162A93" w:rsidRPr="00BB5519" w:rsidRDefault="00162A93" w:rsidP="0084072C">
      <w:pPr>
        <w:ind w:left="720"/>
        <w:rPr>
          <w:lang w:val="de-DE"/>
        </w:rPr>
      </w:pPr>
      <w:r w:rsidRPr="00BB5519">
        <w:rPr>
          <w:rFonts w:eastAsia="Calibri" w:cs="Tahoma"/>
          <w:szCs w:val="18"/>
          <w:lang w:val="de-DE"/>
        </w:rPr>
        <w:t>Eine CAL Suite Bridge ist möglicherweise bei einem Übergang von einer CAL Suite zu einer vergleichbaren Kombination aus Produkt und Onlinediensten erforderlich.</w:t>
      </w:r>
      <w:r w:rsidR="009E4976" w:rsidRPr="00BB5519">
        <w:rPr>
          <w:rFonts w:eastAsia="Calibri" w:cs="Tahoma"/>
          <w:szCs w:val="18"/>
          <w:lang w:val="de-DE"/>
        </w:rPr>
        <w:t xml:space="preserve"> </w:t>
      </w:r>
      <w:r w:rsidRPr="00BB5519">
        <w:rPr>
          <w:rFonts w:eastAsia="Calibri" w:cs="Tahoma"/>
          <w:szCs w:val="18"/>
          <w:lang w:val="de-DE"/>
        </w:rPr>
        <w:t>Wenn für einen Übergang eine CAL Suite Bridge erforderlich ist und die qualifizierende Lizenz vom Kunden vollständig bezahlt wurde, ist für die CAL Suite Bridge kein Lizenzerwerb erforderlich.</w:t>
      </w:r>
      <w:r w:rsidR="009E4976" w:rsidRPr="00BB5519">
        <w:rPr>
          <w:rFonts w:eastAsia="Calibri" w:cs="Tahoma"/>
          <w:szCs w:val="18"/>
          <w:lang w:val="de-DE"/>
        </w:rPr>
        <w:t xml:space="preserve"> </w:t>
      </w:r>
      <w:r w:rsidRPr="00BB5519">
        <w:rPr>
          <w:rFonts w:eastAsia="Calibri" w:cs="Tahoma"/>
          <w:szCs w:val="18"/>
          <w:lang w:val="de-DE"/>
        </w:rPr>
        <w:t>Stattdessen kann am Jahrestag des Beitritts, für den der Übergang wirksam ist, Software Assurance für die CAL Suite Bridge erworben werden.</w:t>
      </w:r>
      <w:r w:rsidR="009E4976" w:rsidRPr="00BB5519">
        <w:rPr>
          <w:rFonts w:eastAsia="Calibri" w:cs="Tahoma"/>
          <w:szCs w:val="18"/>
          <w:lang w:val="de-DE"/>
        </w:rPr>
        <w:t xml:space="preserve"> </w:t>
      </w:r>
      <w:r w:rsidRPr="00BB5519">
        <w:rPr>
          <w:rFonts w:eastAsia="Calibri" w:cs="Tahoma"/>
          <w:szCs w:val="18"/>
          <w:lang w:val="de-DE"/>
        </w:rPr>
        <w:t>Unter diesen Umständen darf das Übergangsverhältnis nur eine CAL Suite Bridge Software Assurance für eine CAL Suite Software Assurance betragen, und der Übergang muss für dieselbe Nutzer- oder Gerätelizenz gelten wie die qualifizierende CAL Suite.</w:t>
      </w:r>
      <w:r w:rsidR="009E4976" w:rsidRPr="00BB5519">
        <w:rPr>
          <w:rFonts w:eastAsia="Calibri" w:cs="Tahoma"/>
          <w:szCs w:val="18"/>
          <w:lang w:val="de-DE"/>
        </w:rPr>
        <w:t xml:space="preserve"> </w:t>
      </w:r>
    </w:p>
    <w:p w:rsidR="0084072C" w:rsidRPr="00BB5519" w:rsidRDefault="0084072C" w:rsidP="0084072C">
      <w:pPr>
        <w:ind w:left="720"/>
        <w:rPr>
          <w:lang w:val="de-DE"/>
        </w:rPr>
      </w:pPr>
    </w:p>
    <w:p w:rsidR="00162A93" w:rsidRPr="00BB5519" w:rsidRDefault="00162A93" w:rsidP="0084072C">
      <w:pPr>
        <w:ind w:left="720"/>
        <w:rPr>
          <w:lang w:val="de-DE"/>
        </w:rPr>
      </w:pPr>
      <w:r w:rsidRPr="00BB5519">
        <w:rPr>
          <w:rFonts w:eastAsia="Calibri" w:cs="Tahoma"/>
          <w:szCs w:val="18"/>
          <w:lang w:val="de-DE"/>
        </w:rPr>
        <w:t>Eine CAL Suite Bridge ist ein Konzernprodukt und darf nur in Verbindung mit ihrem qualifizierenden Onlinedienst lizenziert werden, um die unternehmensweite Anforderung dieser CAL Suite Bridge oder der übergeordneten CAL Suite zu erfüllen.</w:t>
      </w:r>
    </w:p>
    <w:p w:rsidR="0084072C" w:rsidRDefault="0084072C" w:rsidP="0084072C">
      <w:pPr>
        <w:ind w:left="720"/>
        <w:rPr>
          <w:lang w:val="de-DE"/>
        </w:rPr>
      </w:pPr>
    </w:p>
    <w:p w:rsidR="00021BF7" w:rsidRDefault="00021BF7" w:rsidP="0084072C">
      <w:pPr>
        <w:ind w:left="720"/>
        <w:rPr>
          <w:lang w:val="de-DE"/>
        </w:rPr>
      </w:pPr>
    </w:p>
    <w:p w:rsidR="00021BF7" w:rsidRDefault="00021BF7" w:rsidP="0084072C">
      <w:pPr>
        <w:ind w:left="720"/>
        <w:rPr>
          <w:lang w:val="de-DE"/>
        </w:rPr>
      </w:pPr>
    </w:p>
    <w:p w:rsidR="00021BF7" w:rsidRDefault="00021BF7" w:rsidP="0084072C">
      <w:pPr>
        <w:ind w:left="720"/>
        <w:rPr>
          <w:lang w:val="de-DE"/>
        </w:rPr>
      </w:pPr>
    </w:p>
    <w:p w:rsidR="00021BF7" w:rsidRPr="00BB5519" w:rsidRDefault="00021BF7" w:rsidP="0084072C">
      <w:pPr>
        <w:ind w:left="720"/>
        <w:rPr>
          <w:lang w:val="de-DE"/>
        </w:rPr>
      </w:pPr>
    </w:p>
    <w:tbl>
      <w:tblPr>
        <w:tblW w:w="4601" w:type="pct"/>
        <w:jc w:val="center"/>
        <w:tblCellMar>
          <w:left w:w="0" w:type="dxa"/>
          <w:right w:w="0" w:type="dxa"/>
        </w:tblCellMar>
        <w:tblLook w:val="04A0" w:firstRow="1" w:lastRow="0" w:firstColumn="1" w:lastColumn="0" w:noHBand="0" w:noVBand="1"/>
      </w:tblPr>
      <w:tblGrid>
        <w:gridCol w:w="2939"/>
        <w:gridCol w:w="2534"/>
        <w:gridCol w:w="3122"/>
      </w:tblGrid>
      <w:tr w:rsidR="00162A93" w:rsidRPr="00BB5519" w:rsidTr="004211C8">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BB5519" w:rsidRDefault="00162A93" w:rsidP="007E466C">
            <w:pPr>
              <w:spacing w:before="120" w:after="120" w:line="276" w:lineRule="auto"/>
              <w:ind w:left="175"/>
              <w:jc w:val="center"/>
              <w:rPr>
                <w:rFonts w:eastAsia="Calibri" w:cs="Tahoma"/>
                <w:b/>
                <w:bCs/>
                <w:color w:val="000000"/>
                <w:szCs w:val="18"/>
                <w:lang w:eastAsia="ja-JP"/>
              </w:rPr>
            </w:pPr>
            <w:r w:rsidRPr="00BB5519">
              <w:rPr>
                <w:rFonts w:eastAsia="Calibri" w:cs="Tahoma"/>
                <w:b/>
                <w:bCs/>
                <w:szCs w:val="18"/>
              </w:rPr>
              <w:t>CAL Suite Bridge</w:t>
            </w:r>
          </w:p>
        </w:tc>
        <w:tc>
          <w:tcPr>
            <w:tcW w:w="1474" w:type="pct"/>
            <w:tcBorders>
              <w:top w:val="single" w:sz="8" w:space="0" w:color="auto"/>
              <w:left w:val="nil"/>
              <w:bottom w:val="single" w:sz="8" w:space="0" w:color="auto"/>
              <w:right w:val="single" w:sz="8" w:space="0" w:color="auto"/>
            </w:tcBorders>
            <w:shd w:val="clear" w:color="auto" w:fill="FABF8F"/>
            <w:vAlign w:val="center"/>
            <w:hideMark/>
          </w:tcPr>
          <w:p w:rsidR="00162A93" w:rsidRPr="00BB5519" w:rsidRDefault="00162A93" w:rsidP="007E466C">
            <w:pPr>
              <w:spacing w:before="120" w:after="120" w:line="276" w:lineRule="auto"/>
              <w:ind w:left="180"/>
              <w:jc w:val="center"/>
              <w:rPr>
                <w:rFonts w:eastAsia="Calibri" w:cs="Tahoma"/>
                <w:b/>
                <w:bCs/>
                <w:color w:val="000000"/>
                <w:szCs w:val="18"/>
                <w:lang w:eastAsia="ja-JP"/>
              </w:rPr>
            </w:pPr>
            <w:r w:rsidRPr="00BB5519">
              <w:rPr>
                <w:rFonts w:eastAsia="Calibri" w:cs="Tahoma"/>
                <w:b/>
                <w:bCs/>
                <w:szCs w:val="18"/>
              </w:rPr>
              <w:t>Übergeordnete CAL Suite</w:t>
            </w:r>
          </w:p>
        </w:tc>
        <w:tc>
          <w:tcPr>
            <w:tcW w:w="1816" w:type="pct"/>
            <w:tcBorders>
              <w:top w:val="single" w:sz="8" w:space="0" w:color="auto"/>
              <w:left w:val="nil"/>
              <w:bottom w:val="single" w:sz="8" w:space="0" w:color="auto"/>
              <w:right w:val="single" w:sz="8" w:space="0" w:color="auto"/>
            </w:tcBorders>
            <w:shd w:val="clear" w:color="auto" w:fill="FABF8F"/>
            <w:vAlign w:val="center"/>
            <w:hideMark/>
          </w:tcPr>
          <w:p w:rsidR="00162A93" w:rsidRPr="00BB5519" w:rsidRDefault="00162A93" w:rsidP="007E466C">
            <w:pPr>
              <w:spacing w:before="120" w:after="120" w:line="276" w:lineRule="auto"/>
              <w:ind w:left="180" w:right="247"/>
              <w:jc w:val="center"/>
              <w:rPr>
                <w:rFonts w:eastAsia="Calibri" w:cs="Tahoma"/>
                <w:b/>
                <w:bCs/>
                <w:color w:val="000000"/>
                <w:szCs w:val="18"/>
                <w:lang w:eastAsia="ja-JP"/>
              </w:rPr>
            </w:pPr>
            <w:r w:rsidRPr="00BB5519">
              <w:rPr>
                <w:rFonts w:eastAsia="Calibri" w:cs="Tahoma"/>
                <w:b/>
                <w:bCs/>
                <w:szCs w:val="18"/>
              </w:rPr>
              <w:t>Qualifizierende Onlinedienste</w:t>
            </w:r>
          </w:p>
        </w:tc>
      </w:tr>
      <w:tr w:rsidR="00162A93" w:rsidRPr="00BB5519" w:rsidTr="004211C8">
        <w:trPr>
          <w:trHeight w:val="576"/>
          <w:jc w:val="center"/>
        </w:trPr>
        <w:tc>
          <w:tcPr>
            <w:tcW w:w="1710" w:type="pct"/>
            <w:tcBorders>
              <w:top w:val="nil"/>
              <w:left w:val="single" w:sz="8" w:space="0" w:color="auto"/>
              <w:bottom w:val="single" w:sz="8" w:space="0" w:color="auto"/>
              <w:right w:val="single" w:sz="8" w:space="0" w:color="auto"/>
            </w:tcBorders>
          </w:tcPr>
          <w:p w:rsidR="00162A93" w:rsidRPr="00BB5519" w:rsidRDefault="00162A93" w:rsidP="002C1048">
            <w:pPr>
              <w:numPr>
                <w:ilvl w:val="0"/>
                <w:numId w:val="55"/>
              </w:numPr>
              <w:spacing w:before="60" w:after="60" w:line="276" w:lineRule="auto"/>
              <w:ind w:left="535" w:right="180"/>
              <w:rPr>
                <w:rFonts w:eastAsia="Calibri" w:cs="Tahoma"/>
                <w:szCs w:val="18"/>
              </w:rPr>
            </w:pPr>
            <w:r w:rsidRPr="00BB5519">
              <w:rPr>
                <w:rFonts w:eastAsia="Calibri" w:cs="Tahoma"/>
                <w:color w:val="000000"/>
                <w:szCs w:val="18"/>
              </w:rPr>
              <w:t>Enterprise CAL Suite Bridge für Office 365</w:t>
            </w:r>
          </w:p>
        </w:tc>
        <w:tc>
          <w:tcPr>
            <w:tcW w:w="1474" w:type="pct"/>
            <w:tcBorders>
              <w:top w:val="nil"/>
              <w:left w:val="nil"/>
              <w:bottom w:val="single" w:sz="8" w:space="0" w:color="auto"/>
              <w:right w:val="single" w:sz="8" w:space="0" w:color="auto"/>
            </w:tcBorders>
          </w:tcPr>
          <w:p w:rsidR="00162A93" w:rsidRPr="00BB5519" w:rsidRDefault="00162A93" w:rsidP="002C1048">
            <w:pPr>
              <w:numPr>
                <w:ilvl w:val="0"/>
                <w:numId w:val="56"/>
              </w:numPr>
              <w:spacing w:before="80" w:after="200" w:line="276" w:lineRule="auto"/>
              <w:ind w:left="449" w:hanging="270"/>
              <w:jc w:val="both"/>
              <w:rPr>
                <w:rFonts w:eastAsia="Calibri" w:cs="Tahoma"/>
                <w:szCs w:val="18"/>
              </w:rPr>
            </w:pPr>
            <w:r w:rsidRPr="00BB5519">
              <w:rPr>
                <w:rFonts w:eastAsia="Calibri" w:cs="Tahoma"/>
                <w:color w:val="000000"/>
                <w:szCs w:val="18"/>
              </w:rPr>
              <w:t>Enterprise-CAL-Suite</w:t>
            </w:r>
          </w:p>
        </w:tc>
        <w:tc>
          <w:tcPr>
            <w:tcW w:w="1816" w:type="pct"/>
            <w:tcBorders>
              <w:top w:val="nil"/>
              <w:left w:val="nil"/>
              <w:bottom w:val="single" w:sz="8" w:space="0" w:color="auto"/>
              <w:right w:val="single" w:sz="8" w:space="0" w:color="auto"/>
            </w:tcBorders>
          </w:tcPr>
          <w:p w:rsidR="00162A93" w:rsidRPr="00BB5519" w:rsidRDefault="00162A93" w:rsidP="002C1048">
            <w:pPr>
              <w:numPr>
                <w:ilvl w:val="0"/>
                <w:numId w:val="57"/>
              </w:numPr>
              <w:spacing w:before="80" w:after="200" w:line="276" w:lineRule="auto"/>
              <w:ind w:left="630"/>
            </w:pPr>
            <w:r w:rsidRPr="00BB5519">
              <w:rPr>
                <w:rFonts w:eastAsia="Calibri" w:cs="Tahoma"/>
                <w:color w:val="000000"/>
                <w:szCs w:val="18"/>
              </w:rPr>
              <w:t>Office 365 Enterprise E3 oder</w:t>
            </w:r>
          </w:p>
          <w:p w:rsidR="00162A93" w:rsidRPr="00BB5519" w:rsidRDefault="00162A93" w:rsidP="0050116B">
            <w:pPr>
              <w:numPr>
                <w:ilvl w:val="0"/>
                <w:numId w:val="57"/>
              </w:numPr>
              <w:spacing w:before="80" w:after="200" w:line="276" w:lineRule="auto"/>
              <w:ind w:left="630"/>
              <w:rPr>
                <w:rFonts w:eastAsia="Calibri" w:cs="Tahoma"/>
                <w:color w:val="000000"/>
                <w:szCs w:val="18"/>
              </w:rPr>
            </w:pPr>
            <w:r w:rsidRPr="00BB5519">
              <w:rPr>
                <w:rFonts w:eastAsia="Calibri" w:cs="Tahoma"/>
                <w:color w:val="000000"/>
                <w:szCs w:val="18"/>
              </w:rPr>
              <w:t>Office 365 Enterprise E4</w:t>
            </w:r>
          </w:p>
        </w:tc>
      </w:tr>
      <w:tr w:rsidR="00162A93" w:rsidRPr="00BB5519" w:rsidTr="004211C8">
        <w:trPr>
          <w:trHeight w:val="576"/>
          <w:jc w:val="center"/>
        </w:trPr>
        <w:tc>
          <w:tcPr>
            <w:tcW w:w="1710" w:type="pct"/>
            <w:tcBorders>
              <w:top w:val="nil"/>
              <w:left w:val="single" w:sz="8" w:space="0" w:color="auto"/>
              <w:bottom w:val="single" w:sz="8" w:space="0" w:color="auto"/>
              <w:right w:val="single" w:sz="8" w:space="0" w:color="auto"/>
            </w:tcBorders>
          </w:tcPr>
          <w:p w:rsidR="00162A93" w:rsidRPr="00BB5519" w:rsidRDefault="00162A93" w:rsidP="002C1048">
            <w:pPr>
              <w:numPr>
                <w:ilvl w:val="0"/>
                <w:numId w:val="55"/>
              </w:numPr>
              <w:spacing w:before="60" w:after="60" w:line="276" w:lineRule="auto"/>
              <w:ind w:left="535" w:right="180"/>
              <w:rPr>
                <w:rFonts w:eastAsia="Calibri" w:cs="Tahoma"/>
                <w:szCs w:val="18"/>
              </w:rPr>
            </w:pPr>
            <w:r w:rsidRPr="00BB5519">
              <w:rPr>
                <w:rFonts w:eastAsia="Calibri" w:cs="Tahoma"/>
                <w:color w:val="000000"/>
                <w:szCs w:val="18"/>
              </w:rPr>
              <w:t>Enterprise CAL Suite Bridge für Office 365 und Windows Intune</w:t>
            </w:r>
          </w:p>
        </w:tc>
        <w:tc>
          <w:tcPr>
            <w:tcW w:w="1474" w:type="pct"/>
            <w:tcBorders>
              <w:top w:val="nil"/>
              <w:left w:val="nil"/>
              <w:bottom w:val="single" w:sz="8" w:space="0" w:color="auto"/>
              <w:right w:val="single" w:sz="8" w:space="0" w:color="auto"/>
            </w:tcBorders>
          </w:tcPr>
          <w:p w:rsidR="00162A93" w:rsidRPr="00BB5519" w:rsidRDefault="00162A93" w:rsidP="002C1048">
            <w:pPr>
              <w:numPr>
                <w:ilvl w:val="0"/>
                <w:numId w:val="56"/>
              </w:numPr>
              <w:spacing w:before="80" w:after="200" w:line="276" w:lineRule="auto"/>
              <w:ind w:left="449" w:hanging="270"/>
              <w:jc w:val="both"/>
              <w:rPr>
                <w:rFonts w:eastAsia="Calibri" w:cs="Tahoma"/>
                <w:szCs w:val="18"/>
              </w:rPr>
            </w:pPr>
            <w:r w:rsidRPr="00BB5519">
              <w:rPr>
                <w:rFonts w:eastAsia="Calibri" w:cs="Tahoma"/>
                <w:color w:val="000000"/>
                <w:szCs w:val="18"/>
              </w:rPr>
              <w:t>Enterprise-CAL-Suite</w:t>
            </w:r>
          </w:p>
        </w:tc>
        <w:tc>
          <w:tcPr>
            <w:tcW w:w="1816" w:type="pct"/>
            <w:tcBorders>
              <w:top w:val="nil"/>
              <w:left w:val="nil"/>
              <w:bottom w:val="single" w:sz="8" w:space="0" w:color="auto"/>
              <w:right w:val="single" w:sz="8" w:space="0" w:color="auto"/>
            </w:tcBorders>
          </w:tcPr>
          <w:p w:rsidR="00162A93" w:rsidRPr="00BB5519" w:rsidRDefault="00162A93" w:rsidP="002C1048">
            <w:pPr>
              <w:numPr>
                <w:ilvl w:val="0"/>
                <w:numId w:val="57"/>
              </w:numPr>
              <w:spacing w:before="80" w:after="200" w:line="276" w:lineRule="auto"/>
              <w:ind w:left="630"/>
              <w:rPr>
                <w:lang w:val="de-DE"/>
              </w:rPr>
            </w:pPr>
            <w:r w:rsidRPr="00BB5519">
              <w:rPr>
                <w:rFonts w:eastAsia="Calibri" w:cs="Tahoma"/>
                <w:color w:val="000000"/>
                <w:szCs w:val="18"/>
                <w:lang w:val="de-DE"/>
              </w:rPr>
              <w:t>Office 365 Enterprise E3 und Windows Intune oder</w:t>
            </w:r>
          </w:p>
          <w:p w:rsidR="00162A93" w:rsidRPr="00BB5519" w:rsidRDefault="00162A93" w:rsidP="0050116B">
            <w:pPr>
              <w:numPr>
                <w:ilvl w:val="0"/>
                <w:numId w:val="57"/>
              </w:numPr>
              <w:spacing w:before="80" w:after="200" w:line="276" w:lineRule="auto"/>
              <w:ind w:left="630"/>
              <w:rPr>
                <w:rFonts w:eastAsia="Calibri" w:cs="Tahoma"/>
                <w:color w:val="000000"/>
                <w:szCs w:val="18"/>
              </w:rPr>
            </w:pPr>
            <w:r w:rsidRPr="00BB5519">
              <w:rPr>
                <w:rFonts w:eastAsia="Calibri" w:cs="Tahoma"/>
                <w:color w:val="000000"/>
                <w:szCs w:val="18"/>
              </w:rPr>
              <w:t>Office 365 Enterprise E4 und Windows Intune</w:t>
            </w:r>
          </w:p>
        </w:tc>
      </w:tr>
      <w:tr w:rsidR="00162A93" w:rsidRPr="00BB5519" w:rsidTr="004211C8">
        <w:trPr>
          <w:trHeight w:val="576"/>
          <w:jc w:val="center"/>
        </w:trPr>
        <w:tc>
          <w:tcPr>
            <w:tcW w:w="1710" w:type="pct"/>
            <w:tcBorders>
              <w:top w:val="nil"/>
              <w:left w:val="single" w:sz="8" w:space="0" w:color="auto"/>
              <w:bottom w:val="single" w:sz="8" w:space="0" w:color="auto"/>
              <w:right w:val="single" w:sz="8" w:space="0" w:color="auto"/>
            </w:tcBorders>
            <w:hideMark/>
          </w:tcPr>
          <w:p w:rsidR="00162A93" w:rsidRPr="00BB5519" w:rsidRDefault="00162A93" w:rsidP="002C1048">
            <w:pPr>
              <w:numPr>
                <w:ilvl w:val="0"/>
                <w:numId w:val="55"/>
              </w:numPr>
              <w:spacing w:before="60" w:after="60" w:line="276" w:lineRule="auto"/>
              <w:ind w:left="535" w:right="180"/>
              <w:rPr>
                <w:rFonts w:eastAsia="Calibri" w:cs="Tahoma"/>
                <w:color w:val="000000"/>
                <w:szCs w:val="18"/>
                <w:lang w:eastAsia="ja-JP"/>
              </w:rPr>
            </w:pPr>
            <w:r w:rsidRPr="00BB5519">
              <w:rPr>
                <w:rFonts w:eastAsia="Calibri" w:cs="Tahoma"/>
                <w:szCs w:val="18"/>
              </w:rPr>
              <w:t>Enterprise CAL Suite Bridge für Windows Intune</w:t>
            </w:r>
          </w:p>
        </w:tc>
        <w:tc>
          <w:tcPr>
            <w:tcW w:w="1474" w:type="pct"/>
            <w:tcBorders>
              <w:top w:val="nil"/>
              <w:left w:val="nil"/>
              <w:bottom w:val="single" w:sz="8" w:space="0" w:color="auto"/>
              <w:right w:val="single" w:sz="8" w:space="0" w:color="auto"/>
            </w:tcBorders>
            <w:hideMark/>
          </w:tcPr>
          <w:p w:rsidR="00162A93" w:rsidRPr="00BB5519"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BB5519">
              <w:rPr>
                <w:rFonts w:eastAsia="Calibri" w:cs="Tahoma"/>
                <w:szCs w:val="18"/>
              </w:rPr>
              <w:t>Enterprise-CAL-Suite</w:t>
            </w:r>
          </w:p>
        </w:tc>
        <w:tc>
          <w:tcPr>
            <w:tcW w:w="1816" w:type="pct"/>
            <w:tcBorders>
              <w:top w:val="nil"/>
              <w:left w:val="nil"/>
              <w:bottom w:val="single" w:sz="8" w:space="0" w:color="auto"/>
              <w:right w:val="single" w:sz="8" w:space="0" w:color="auto"/>
            </w:tcBorders>
            <w:hideMark/>
          </w:tcPr>
          <w:p w:rsidR="00162A93" w:rsidRPr="00BB5519" w:rsidRDefault="00162A93" w:rsidP="002C1048">
            <w:pPr>
              <w:numPr>
                <w:ilvl w:val="0"/>
                <w:numId w:val="57"/>
              </w:numPr>
              <w:spacing w:before="80" w:after="200" w:line="276" w:lineRule="auto"/>
              <w:ind w:left="630"/>
              <w:rPr>
                <w:rFonts w:cs="Tahoma"/>
                <w:color w:val="000000"/>
                <w:szCs w:val="18"/>
              </w:rPr>
            </w:pPr>
            <w:r w:rsidRPr="00BB5519">
              <w:rPr>
                <w:rFonts w:eastAsia="Calibri" w:cs="Tahoma"/>
                <w:color w:val="000000"/>
                <w:szCs w:val="18"/>
              </w:rPr>
              <w:t>Windows Intune</w:t>
            </w:r>
          </w:p>
        </w:tc>
      </w:tr>
    </w:tbl>
    <w:p w:rsidR="005614CA" w:rsidRPr="00BB5519" w:rsidRDefault="005614CA" w:rsidP="00E03856">
      <w:pPr>
        <w:pStyle w:val="Heading3"/>
      </w:pPr>
      <w:bookmarkStart w:id="1240" w:name="_Toc336338304"/>
      <w:bookmarkStart w:id="1241" w:name="Srv_43EnterpriseCALSuite"/>
      <w:bookmarkEnd w:id="1225"/>
      <w:bookmarkEnd w:id="1233"/>
    </w:p>
    <w:p w:rsidR="00676723" w:rsidRPr="00BB5519" w:rsidRDefault="00676723" w:rsidP="00676723"/>
    <w:p w:rsidR="00652053" w:rsidRPr="00BB5519" w:rsidRDefault="004668D9" w:rsidP="00652053">
      <w:pPr>
        <w:pStyle w:val="Heading3"/>
      </w:pPr>
      <w:bookmarkStart w:id="1242" w:name="_42_Enterprise_CAL"/>
      <w:bookmarkStart w:id="1243" w:name="_44_Enterprise_CAL"/>
      <w:bookmarkStart w:id="1244" w:name="_Toc354054999"/>
      <w:bookmarkEnd w:id="1242"/>
      <w:bookmarkEnd w:id="1243"/>
      <w:r w:rsidRPr="00BB5519">
        <w:rPr>
          <w:rFonts w:ascii="Tahoma" w:hAnsi="Tahoma"/>
          <w:caps/>
          <w:color w:val="F66400"/>
          <w:sz w:val="22"/>
          <w:vertAlign w:val="superscript"/>
        </w:rPr>
        <w:t>44</w:t>
      </w:r>
      <w:r w:rsidRPr="00BB5519">
        <w:rPr>
          <w:rFonts w:ascii="Tahoma" w:hAnsi="Tahoma"/>
          <w:color w:val="F66400"/>
          <w:sz w:val="22"/>
        </w:rPr>
        <w:t xml:space="preserve"> Enterprise CAL Suite</w:t>
      </w:r>
      <w:bookmarkEnd w:id="1240"/>
      <w:bookmarkEnd w:id="1244"/>
      <w:r w:rsidRPr="00BB5519">
        <w:rPr>
          <w:rFonts w:ascii="Tahoma" w:hAnsi="Tahoma"/>
          <w:color w:val="F66400"/>
          <w:sz w:val="22"/>
        </w:rPr>
        <w:t xml:space="preserve"> </w:t>
      </w:r>
    </w:p>
    <w:bookmarkEnd w:id="1241"/>
    <w:p w:rsidR="00023FE7" w:rsidRPr="00BB5519" w:rsidRDefault="00023FE7" w:rsidP="0084072C"/>
    <w:p w:rsidR="009A727E" w:rsidRPr="00BB5519" w:rsidRDefault="008446D1" w:rsidP="0084072C">
      <w:pPr>
        <w:ind w:left="720"/>
        <w:rPr>
          <w:lang w:val="de-DE"/>
        </w:rPr>
      </w:pPr>
      <w:r w:rsidRPr="00BB5519">
        <w:rPr>
          <w:rFonts w:cs="Tahoma"/>
          <w:szCs w:val="20"/>
          <w:lang w:val="de-DE"/>
        </w:rPr>
        <w:t>Enterprise CAL Suite hat keine Versionsnummer, und die Produktbenutzungsrechte hängen vom Status der Software Assurance für Enterprise CAL Suite ab.</w:t>
      </w:r>
      <w:r w:rsidR="009E4976" w:rsidRPr="00BB5519">
        <w:rPr>
          <w:rFonts w:cs="Tahoma"/>
          <w:szCs w:val="20"/>
          <w:lang w:val="de-DE"/>
        </w:rPr>
        <w:t xml:space="preserve"> </w:t>
      </w:r>
      <w:r w:rsidRPr="00BB5519">
        <w:rPr>
          <w:rFonts w:cs="Tahoma"/>
          <w:szCs w:val="20"/>
          <w:lang w:val="de-DE"/>
        </w:rPr>
        <w:t>Falls Software Assurance unterbrochen wurde, hängen die Zugriffsrechte im Rahmen zeitlich unbeschränkter Lizenzen von den Produktbenutzungsrechten ab, die vor der Unterbrechung galten.</w:t>
      </w:r>
      <w:r w:rsidR="009E4976" w:rsidRPr="00BB5519">
        <w:rPr>
          <w:rFonts w:cs="Tahoma"/>
          <w:szCs w:val="20"/>
          <w:lang w:val="de-DE"/>
        </w:rPr>
        <w:t xml:space="preserve"> </w:t>
      </w:r>
      <w:r w:rsidRPr="00BB5519">
        <w:rPr>
          <w:rFonts w:cs="Tahoma"/>
          <w:szCs w:val="20"/>
          <w:lang w:val="de-DE"/>
        </w:rPr>
        <w:t>Rechte im Zusammenhang mit Onlinediensten laufen bei einer Unterbrechung von Software Assurance ab, unabhängig davon, ob die Enterprise CAL Suite zeitlich unbeschränkt ist.</w:t>
      </w:r>
      <w:r w:rsidR="009E4976" w:rsidRPr="00BB5519">
        <w:rPr>
          <w:rFonts w:cs="Tahoma"/>
          <w:szCs w:val="20"/>
          <w:lang w:val="de-DE"/>
        </w:rPr>
        <w:t xml:space="preserve"> </w:t>
      </w:r>
      <w:r w:rsidRPr="00BB5519">
        <w:rPr>
          <w:rFonts w:cs="Tahoma"/>
          <w:szCs w:val="20"/>
          <w:lang w:val="de-DE"/>
        </w:rPr>
        <w:t>Ab dem 1. April 2013 gewährt eine Lizenz für Enterprise CAL Suite mit aktiver Software Assurance Rechte an Folgendem: allen aktuellen Komponenten von Core CAL Suite, Exchange Enterprise CAL mit Diensten 2013, Exchange Online-Archivierung für Exchange Server, SharePoint Server CAL 2013, Enterprise-CAL für Lync Server 2013, CAL für Windows Server 2012 Active Directory-Rechteverwaltungsdienste und allen aktuellen Komponenten von System Center 2012 Client Management Suite.</w:t>
      </w:r>
      <w:r w:rsidR="009E4976" w:rsidRPr="00BB5519">
        <w:rPr>
          <w:rFonts w:cs="Tahoma"/>
          <w:szCs w:val="20"/>
          <w:lang w:val="de-DE"/>
        </w:rPr>
        <w:t xml:space="preserve"> </w:t>
      </w:r>
      <w:r w:rsidRPr="00BB5519">
        <w:rPr>
          <w:rFonts w:cs="Tahoma"/>
          <w:szCs w:val="20"/>
          <w:lang w:val="de-DE"/>
        </w:rPr>
        <w:t>Eine Lizenz für Core Enterprise Suite ist eine einzelne Lizenz, die einem einzelnen Nutzer oder Gerät zugewiesen werden muss.</w:t>
      </w:r>
      <w:r w:rsidR="009E4976" w:rsidRPr="00BB5519">
        <w:rPr>
          <w:rFonts w:cs="Tahoma"/>
          <w:szCs w:val="20"/>
          <w:lang w:val="de-DE"/>
        </w:rPr>
        <w:t xml:space="preserve"> </w:t>
      </w:r>
      <w:r w:rsidRPr="00BB5519">
        <w:rPr>
          <w:rFonts w:cs="Tahoma"/>
          <w:szCs w:val="20"/>
          <w:lang w:val="de-DE"/>
        </w:rPr>
        <w:t>Wie im Volumenlizenzvertrag dargelegt, dürfen Kunden die Rechte unter Core Enterprise Suite nicht trennen, um zwei oder mehr Nutzern oder Geräten, den gleichzeitigen Zugriff auf ihre verschiedenen Komponenten zu ermöglichen.</w:t>
      </w:r>
      <w:r w:rsidR="009E4976" w:rsidRPr="00BB5519">
        <w:rPr>
          <w:rFonts w:cs="Tahoma"/>
          <w:szCs w:val="20"/>
          <w:lang w:val="de-DE"/>
        </w:rPr>
        <w:t xml:space="preserve"> </w:t>
      </w:r>
    </w:p>
    <w:p w:rsidR="00163658" w:rsidRPr="00BB5519" w:rsidRDefault="00163658" w:rsidP="0084072C">
      <w:pPr>
        <w:ind w:left="720"/>
        <w:rPr>
          <w:lang w:val="de-DE"/>
        </w:rPr>
      </w:pPr>
    </w:p>
    <w:p w:rsidR="00163658" w:rsidRPr="00BB5519" w:rsidRDefault="00163658" w:rsidP="0084072C">
      <w:pPr>
        <w:ind w:left="720"/>
        <w:rPr>
          <w:lang w:val="de-DE"/>
        </w:rPr>
      </w:pPr>
      <w:r w:rsidRPr="00BB5519">
        <w:rPr>
          <w:rFonts w:cs="Tahoma"/>
          <w:b/>
          <w:szCs w:val="20"/>
          <w:lang w:val="de-DE"/>
        </w:rPr>
        <w:t>Erbringung von Onlinediensten in Enterprise CAL Suite</w:t>
      </w:r>
    </w:p>
    <w:p w:rsidR="00391D38" w:rsidRPr="00BB5519" w:rsidRDefault="00391D38" w:rsidP="0084072C">
      <w:pPr>
        <w:ind w:left="720"/>
        <w:rPr>
          <w:lang w:val="de-DE"/>
        </w:rPr>
      </w:pPr>
    </w:p>
    <w:p w:rsidR="00163658" w:rsidRPr="00BB5519" w:rsidRDefault="00163658" w:rsidP="0084072C">
      <w:pPr>
        <w:ind w:left="720"/>
        <w:rPr>
          <w:lang w:val="de-DE"/>
        </w:rPr>
      </w:pPr>
      <w:r w:rsidRPr="00BB5519">
        <w:rPr>
          <w:rFonts w:cs="Tahoma"/>
          <w:szCs w:val="20"/>
          <w:lang w:val="de-DE"/>
        </w:rPr>
        <w:t xml:space="preserve">Zum 1. April 2013 beinhaltet eine Lizenz für die Enterprise CAL Suite mit aktiver Software Assurance die Rechte zur Exchange Online-Archiving für Exchange Server, Vermeidung von Datenverlusten und Exchange Online Protection. </w:t>
      </w:r>
    </w:p>
    <w:p w:rsidR="00163658" w:rsidRPr="00BB5519" w:rsidRDefault="00163658" w:rsidP="0084072C">
      <w:pPr>
        <w:ind w:left="720"/>
        <w:rPr>
          <w:lang w:val="de-DE"/>
        </w:rPr>
      </w:pPr>
    </w:p>
    <w:p w:rsidR="00163658" w:rsidRPr="00BB5519" w:rsidRDefault="00163658" w:rsidP="0000564E">
      <w:pPr>
        <w:ind w:left="720"/>
        <w:rPr>
          <w:lang w:val="de-DE"/>
        </w:rPr>
      </w:pPr>
      <w:r w:rsidRPr="00BB5519">
        <w:rPr>
          <w:rFonts w:cs="Tahoma"/>
          <w:szCs w:val="20"/>
          <w:lang w:val="de-DE"/>
        </w:rPr>
        <w:t>Kunden können die Inanspruchnahme dieser Dienste aufnehmen, indem sie ihren Microsoft-Partner kontaktieren, der den für die Aktivierung eines jeden Dienstes erforderlichen Erbringungsprozess anstoßen</w:t>
      </w:r>
      <w:r w:rsidR="0000564E">
        <w:rPr>
          <w:rFonts w:cs="Tahoma"/>
          <w:szCs w:val="20"/>
          <w:lang w:val="de-DE"/>
        </w:rPr>
        <w:t> </w:t>
      </w:r>
      <w:r w:rsidRPr="00BB5519">
        <w:rPr>
          <w:rFonts w:cs="Tahoma"/>
          <w:szCs w:val="20"/>
          <w:lang w:val="de-DE"/>
        </w:rPr>
        <w:t>kann.</w:t>
      </w:r>
    </w:p>
    <w:p w:rsidR="00103AD5" w:rsidRPr="00BB5519" w:rsidRDefault="00103AD5" w:rsidP="0084072C">
      <w:pPr>
        <w:ind w:left="720"/>
        <w:rPr>
          <w:lang w:val="de-DE"/>
        </w:rPr>
      </w:pPr>
    </w:p>
    <w:p w:rsidR="00391D38" w:rsidRPr="00BB5519" w:rsidRDefault="005D1A15" w:rsidP="00391D38">
      <w:pPr>
        <w:ind w:left="720"/>
        <w:rPr>
          <w:lang w:val="de-DE"/>
        </w:rPr>
      </w:pPr>
      <w:r w:rsidRPr="00BB5519">
        <w:rPr>
          <w:snapToGrid w:val="0"/>
          <w:lang w:val="de-DE"/>
        </w:rPr>
        <w:t>Einige Angebote umfassen sowohl die bereitgestellte und in den Räumlichkeiten des Kunden verwendete Software als auch eine oder mehrere der zuvor genannten Onlinedienste unter der gleichen Lizenz. Beispielsweise</w:t>
      </w:r>
      <w:r w:rsidRPr="00BB5519">
        <w:rPr>
          <w:rFonts w:cs="Tahoma"/>
          <w:szCs w:val="20"/>
          <w:lang w:val="de-DE"/>
        </w:rPr>
        <w:t xml:space="preserve"> Exchange Online-Archivierung für Exchange Server, Vermeidung von Datenverlusten oder Exchange Online Protection – verfügbar im Rahmen ihrer Enterprise CAL Suite – oder Exchange Enterprise CAL mit Diensten 2013. Die folgenden Ergänzenden Bestimmungen („Ergänzende Bestimmungen“) finden auf den </w:t>
      </w:r>
      <w:r w:rsidRPr="00BB5519">
        <w:rPr>
          <w:snapToGrid w:val="0"/>
          <w:lang w:val="de-DE"/>
        </w:rPr>
        <w:t>Erwerb und die Nutzung solcher Onlinedienste durch den Kunden Anwendung.</w:t>
      </w:r>
      <w:r w:rsidR="009E4976" w:rsidRPr="00BB5519">
        <w:rPr>
          <w:rFonts w:cs="Tahoma"/>
          <w:szCs w:val="20"/>
          <w:lang w:val="de-DE"/>
        </w:rPr>
        <w:t xml:space="preserve"> </w:t>
      </w:r>
      <w:r w:rsidRPr="00BB5519">
        <w:rPr>
          <w:snapToGrid w:val="0"/>
          <w:lang w:val="de-DE"/>
        </w:rPr>
        <w:t>Ferner finden die obigen Preise und Zahlungsbestimmungen ungeachtet gegenteiliger Bestimmungen keine Anwendung auf die derart lizenzierten Onlinedienste.</w:t>
      </w:r>
    </w:p>
    <w:p w:rsidR="00391D38" w:rsidRPr="00BB5519" w:rsidRDefault="00391D38" w:rsidP="00391D38">
      <w:pPr>
        <w:keepNext/>
        <w:spacing w:before="120" w:after="60"/>
        <w:ind w:left="1440"/>
        <w:outlineLvl w:val="0"/>
        <w:rPr>
          <w:lang w:val="de-DE"/>
        </w:rPr>
      </w:pPr>
      <w:r w:rsidRPr="00BB5519">
        <w:rPr>
          <w:rFonts w:cs="Tahoma"/>
          <w:b/>
          <w:bCs/>
          <w:iCs/>
          <w:snapToGrid w:val="0"/>
          <w:szCs w:val="18"/>
          <w:lang w:val="de-DE"/>
        </w:rPr>
        <w:lastRenderedPageBreak/>
        <w:t>Definitionen.</w:t>
      </w:r>
    </w:p>
    <w:p w:rsidR="00391D38" w:rsidRPr="00BB5519" w:rsidRDefault="00391D38" w:rsidP="007E466C">
      <w:pPr>
        <w:ind w:left="1440"/>
        <w:jc w:val="both"/>
        <w:rPr>
          <w:lang w:val="de-DE"/>
        </w:rPr>
      </w:pPr>
      <w:r w:rsidRPr="00BB5519">
        <w:rPr>
          <w:rFonts w:cs="Tahoma"/>
          <w:snapToGrid w:val="0"/>
          <w:color w:val="000000"/>
          <w:szCs w:val="18"/>
          <w:lang w:val="de-DE"/>
        </w:rPr>
        <w:t>„Kundendaten“ sind alle Daten, einschließlich sämtlicher Text-, Ton-, Software- oder Bilddateien, die Microsoft vom oder im Namen des Kunden durch die Nutzung der Onlinedienste durch den Kunden bereitgestellt werden.</w:t>
      </w:r>
    </w:p>
    <w:p w:rsidR="00391D38" w:rsidRPr="00BB5519" w:rsidRDefault="00391D38" w:rsidP="00391D38">
      <w:pPr>
        <w:spacing w:before="120"/>
        <w:ind w:left="1440"/>
        <w:jc w:val="both"/>
        <w:rPr>
          <w:lang w:val="de-DE"/>
        </w:rPr>
      </w:pPr>
      <w:r w:rsidRPr="00BB5519">
        <w:rPr>
          <w:rFonts w:cs="Tahoma"/>
          <w:snapToGrid w:val="0"/>
          <w:color w:val="000000"/>
          <w:szCs w:val="18"/>
          <w:lang w:val="de-DE"/>
        </w:rPr>
        <w:t>„Vereinbarung zum Servicelevel“ ist das Dokument, in dem die Standards aufgeführt sind, zu deren Einhaltung sich Microsoft verpflichtet und nach denen Microsoft das Servicelevel für einen Onlinedienst misst.</w:t>
      </w:r>
    </w:p>
    <w:p w:rsidR="00391D38" w:rsidRPr="00BB5519" w:rsidRDefault="00391D38" w:rsidP="007E466C">
      <w:pPr>
        <w:keepNext/>
        <w:spacing w:before="120" w:after="60"/>
        <w:ind w:left="1440"/>
        <w:outlineLvl w:val="0"/>
        <w:rPr>
          <w:lang w:val="de-DE"/>
        </w:rPr>
      </w:pPr>
      <w:r w:rsidRPr="00BB5519">
        <w:rPr>
          <w:rFonts w:cs="Tahoma"/>
          <w:b/>
          <w:bCs/>
          <w:iCs/>
          <w:snapToGrid w:val="0"/>
          <w:szCs w:val="18"/>
          <w:lang w:val="de-DE"/>
        </w:rPr>
        <w:t>Anwendbarkeit der Ergänzenden Bestimmungen.</w:t>
      </w:r>
    </w:p>
    <w:p w:rsidR="00391D38" w:rsidRPr="00BB5519" w:rsidRDefault="00391D38" w:rsidP="007E466C">
      <w:pPr>
        <w:ind w:left="1440"/>
        <w:jc w:val="both"/>
        <w:rPr>
          <w:lang w:val="de-DE"/>
        </w:rPr>
      </w:pPr>
      <w:r w:rsidRPr="00BB5519">
        <w:rPr>
          <w:rFonts w:cs="Tahoma"/>
          <w:snapToGrid w:val="0"/>
          <w:color w:val="000000"/>
          <w:szCs w:val="18"/>
          <w:lang w:val="de-DE"/>
        </w:rPr>
        <w:t>Diese Ergänzenden Bestimmungen gelten nur für den Erwerb und die Nutzung von Onlinediensten und Services durch den Kunden.</w:t>
      </w:r>
      <w:r w:rsidR="009E4976" w:rsidRPr="00BB5519">
        <w:rPr>
          <w:rFonts w:cs="Tahoma"/>
          <w:snapToGrid w:val="0"/>
          <w:color w:val="000000"/>
          <w:szCs w:val="18"/>
          <w:lang w:val="de-DE"/>
        </w:rPr>
        <w:t xml:space="preserve"> </w:t>
      </w:r>
      <w:r w:rsidRPr="00BB5519">
        <w:rPr>
          <w:rFonts w:cs="Tahoma"/>
          <w:snapToGrid w:val="0"/>
          <w:color w:val="000000"/>
          <w:szCs w:val="18"/>
          <w:lang w:val="de-DE"/>
        </w:rPr>
        <w:t>Im Falle eines Widerspruchs zwischen diesen Ergänzenden Bestimmungen und den Bestimmungen des Rahmenvertrages oder Vertrages, der durch ihre Bestimmungen nicht ausdrücklich geregelt ist, gelten diese Ergänzenden Bestimmungen.</w:t>
      </w:r>
    </w:p>
    <w:p w:rsidR="00391D38" w:rsidRPr="00BB5519" w:rsidRDefault="00391D38" w:rsidP="007E466C">
      <w:pPr>
        <w:keepNext/>
        <w:spacing w:before="120" w:after="60"/>
        <w:ind w:left="1440"/>
        <w:outlineLvl w:val="0"/>
        <w:rPr>
          <w:lang w:val="de-DE"/>
        </w:rPr>
      </w:pPr>
      <w:r w:rsidRPr="00BB5519">
        <w:rPr>
          <w:rFonts w:cs="Tahoma"/>
          <w:b/>
          <w:bCs/>
          <w:iCs/>
          <w:snapToGrid w:val="0"/>
          <w:szCs w:val="18"/>
          <w:lang w:val="de-DE"/>
        </w:rPr>
        <w:t>Beschränkte Gewährleistung für Onlinedienste.</w:t>
      </w:r>
    </w:p>
    <w:p w:rsidR="00391D38" w:rsidRPr="00BB5519" w:rsidRDefault="00391D38" w:rsidP="007E466C">
      <w:pPr>
        <w:ind w:left="1440"/>
        <w:jc w:val="both"/>
        <w:rPr>
          <w:lang w:val="de-DE"/>
        </w:rPr>
      </w:pPr>
      <w:r w:rsidRPr="00BB5519">
        <w:rPr>
          <w:rFonts w:cs="Tahoma"/>
          <w:snapToGrid w:val="0"/>
          <w:color w:val="000000"/>
          <w:szCs w:val="18"/>
          <w:lang w:val="de-DE"/>
        </w:rPr>
        <w:t>Microsoft gewährleistet, dass die Onlinedienste in Übereinstimmung mit der anwendbaren Vereinbarung zum Servicelevel funktionieren.</w:t>
      </w:r>
      <w:r w:rsidR="009E4976" w:rsidRPr="00BB5519">
        <w:rPr>
          <w:rFonts w:cs="Tahoma"/>
          <w:snapToGrid w:val="0"/>
          <w:color w:val="000000"/>
          <w:szCs w:val="18"/>
          <w:lang w:val="de-DE"/>
        </w:rPr>
        <w:t xml:space="preserve"> </w:t>
      </w:r>
      <w:r w:rsidRPr="00BB5519">
        <w:rPr>
          <w:rFonts w:cs="Tahoma"/>
          <w:snapToGrid w:val="0"/>
          <w:color w:val="000000"/>
          <w:szCs w:val="18"/>
          <w:lang w:val="de-DE"/>
        </w:rPr>
        <w:t>Diese beschränkte Gewährleistung gilt für die Dauer der Nutzung der Onlinedienste durch den Kunden, vorbehaltlich der Mitteilungsanforderungen in der anwendbaren Vereinbarung zum Servicelevel.</w:t>
      </w:r>
    </w:p>
    <w:p w:rsidR="00391D38" w:rsidRPr="00BB5519" w:rsidRDefault="00391D38" w:rsidP="00391D38">
      <w:pPr>
        <w:spacing w:before="120"/>
        <w:ind w:left="1440"/>
        <w:jc w:val="both"/>
        <w:rPr>
          <w:lang w:val="de-DE"/>
        </w:rPr>
      </w:pPr>
      <w:r w:rsidRPr="00BB5519">
        <w:rPr>
          <w:rFonts w:cs="Tahoma"/>
          <w:snapToGrid w:val="0"/>
          <w:color w:val="000000"/>
          <w:szCs w:val="18"/>
          <w:lang w:val="de-DE"/>
        </w:rP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9E4976" w:rsidRPr="00BB5519">
        <w:rPr>
          <w:rFonts w:cs="Tahoma"/>
          <w:snapToGrid w:val="0"/>
          <w:color w:val="000000"/>
          <w:szCs w:val="18"/>
          <w:lang w:val="de-DE"/>
        </w:rPr>
        <w:t xml:space="preserve"> </w:t>
      </w:r>
      <w:r w:rsidRPr="00BB5519">
        <w:rPr>
          <w:rFonts w:cs="Tahoma"/>
          <w:snapToGrid w:val="0"/>
          <w:color w:val="000000"/>
          <w:szCs w:val="18"/>
          <w:lang w:val="de-DE"/>
        </w:rPr>
        <w:t>Dies sind die einzigen Ansprüche des Kunden bei Verletzung der beschränkten Gewährleistung, es sei denn, das anwendbare Recht schreibt andere Ansprüche vor.</w:t>
      </w:r>
    </w:p>
    <w:p w:rsidR="00391D38" w:rsidRPr="00BB5519" w:rsidRDefault="00391D38" w:rsidP="00391D38">
      <w:pPr>
        <w:spacing w:before="120"/>
        <w:ind w:left="1440"/>
        <w:jc w:val="both"/>
        <w:rPr>
          <w:lang w:val="de-DE"/>
        </w:rPr>
      </w:pPr>
      <w:r w:rsidRPr="00BB5519">
        <w:rPr>
          <w:rFonts w:cs="Tahoma"/>
          <w:snapToGrid w:val="0"/>
          <w:color w:val="000000"/>
          <w:szCs w:val="18"/>
          <w:lang w:val="de-DE"/>
        </w:rPr>
        <w:t>Diese beschränkte Gewährleistung unterliegt den folgenden Einschränkungen:</w:t>
      </w:r>
    </w:p>
    <w:p w:rsidR="00391D38" w:rsidRPr="00BB5519" w:rsidRDefault="00391D38" w:rsidP="00391D38">
      <w:pPr>
        <w:numPr>
          <w:ilvl w:val="0"/>
          <w:numId w:val="151"/>
        </w:numPr>
        <w:spacing w:before="120"/>
        <w:ind w:left="1800"/>
        <w:contextualSpacing/>
        <w:jc w:val="both"/>
        <w:rPr>
          <w:lang w:val="de-DE"/>
        </w:rPr>
      </w:pPr>
      <w:r w:rsidRPr="00BB5519">
        <w:rPr>
          <w:rFonts w:cs="Tahoma"/>
          <w:snapToGrid w:val="0"/>
          <w:color w:val="000000"/>
          <w:szCs w:val="18"/>
          <w:lang w:val="de-DE"/>
        </w:rPr>
        <w:t>Implied Warranties oder Implied Guarantees (konkludente Gewährleistungen oder Garantien), deren Ausschluss rechtlich nicht zulässig ist, gelten für ein Jahr ab Beginn der Laufzeit der beschränkten Gewährleistung,</w:t>
      </w:r>
    </w:p>
    <w:p w:rsidR="00391D38" w:rsidRPr="00BB5519" w:rsidRDefault="00391D38" w:rsidP="00391D38">
      <w:pPr>
        <w:numPr>
          <w:ilvl w:val="0"/>
          <w:numId w:val="151"/>
        </w:numPr>
        <w:spacing w:before="120"/>
        <w:ind w:left="1800"/>
        <w:contextualSpacing/>
        <w:jc w:val="both"/>
        <w:rPr>
          <w:lang w:val="de-DE"/>
        </w:rPr>
      </w:pPr>
      <w:r w:rsidRPr="00BB5519">
        <w:rPr>
          <w:rFonts w:cs="Tahoma"/>
          <w:snapToGrid w:val="0"/>
          <w:color w:val="000000"/>
          <w:szCs w:val="18"/>
          <w:lang w:val="de-DE"/>
        </w:rPr>
        <w:t>die beschränkte Gewährleistung gilt nicht bei Problemen, die auf einen Unfall, Missbrauch oder Verwendung in einer Weise zurückzuführen sind, die mit diesem Volumenlizenzvertrag des Kunden oder den Produktbenutzungsrechten nicht im Einklang steht oder die durch Ereignisse außerhalb des angemessenen Einflussbereichs von Microsoft verursacht werden,</w:t>
      </w:r>
    </w:p>
    <w:p w:rsidR="00391D38" w:rsidRPr="00BB5519" w:rsidRDefault="00391D38" w:rsidP="00391D38">
      <w:pPr>
        <w:numPr>
          <w:ilvl w:val="0"/>
          <w:numId w:val="151"/>
        </w:numPr>
        <w:spacing w:before="120"/>
        <w:ind w:left="1800"/>
        <w:contextualSpacing/>
        <w:jc w:val="both"/>
        <w:rPr>
          <w:lang w:val="de-DE"/>
        </w:rPr>
      </w:pPr>
      <w:r w:rsidRPr="00BB5519">
        <w:rPr>
          <w:rFonts w:cs="Tahoma"/>
          <w:snapToGrid w:val="0"/>
          <w:color w:val="000000"/>
          <w:szCs w:val="18"/>
          <w:lang w:val="de-DE"/>
        </w:rPr>
        <w:t>die beschränkte Gewährleistung gilt nicht für kostenlose, Test-, Pre-Release- oder Beta-Versionen der Onlinedienste, und</w:t>
      </w:r>
    </w:p>
    <w:p w:rsidR="00391D38" w:rsidRPr="00BB5519" w:rsidRDefault="00391D38" w:rsidP="00391D38">
      <w:pPr>
        <w:numPr>
          <w:ilvl w:val="0"/>
          <w:numId w:val="151"/>
        </w:numPr>
        <w:spacing w:before="120"/>
        <w:ind w:left="1800"/>
        <w:contextualSpacing/>
        <w:jc w:val="both"/>
        <w:rPr>
          <w:lang w:val="de-DE"/>
        </w:rPr>
      </w:pPr>
      <w:r w:rsidRPr="00BB5519">
        <w:rPr>
          <w:rFonts w:cs="Tahoma"/>
          <w:snapToGrid w:val="0"/>
          <w:color w:val="000000"/>
          <w:szCs w:val="18"/>
          <w:lang w:val="de-DE"/>
        </w:rPr>
        <w:t>die beschränkte Gewährleistung gilt nicht für Probleme, die durch Nichteinhaltung der Mindestsystemanforderungen verursacht werden.</w:t>
      </w:r>
    </w:p>
    <w:p w:rsidR="00391D38" w:rsidRPr="00BB5519" w:rsidRDefault="00391D38" w:rsidP="00391D38">
      <w:pPr>
        <w:spacing w:before="120"/>
        <w:ind w:left="1440"/>
        <w:jc w:val="both"/>
        <w:rPr>
          <w:lang w:val="de-DE"/>
        </w:rPr>
      </w:pPr>
      <w:r w:rsidRPr="00BB5519">
        <w:rPr>
          <w:rFonts w:cs="Tahoma"/>
          <w:b/>
          <w:bCs/>
          <w:snapToGrid w:val="0"/>
          <w:color w:val="000000"/>
          <w:szCs w:val="18"/>
          <w:lang w:val="de-DE"/>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9E4976" w:rsidRPr="00BB5519">
        <w:rPr>
          <w:rFonts w:cs="Tahoma"/>
          <w:b/>
          <w:bCs/>
          <w:snapToGrid w:val="0"/>
          <w:color w:val="000000"/>
          <w:szCs w:val="18"/>
          <w:lang w:val="de-DE"/>
        </w:rPr>
        <w:t xml:space="preserve"> </w:t>
      </w:r>
      <w:r w:rsidRPr="00BB5519">
        <w:rPr>
          <w:rFonts w:cs="Tahoma"/>
          <w:b/>
          <w:bCs/>
          <w:snapToGrid w:val="0"/>
          <w:color w:val="000000"/>
          <w:szCs w:val="18"/>
          <w:lang w:val="de-DE"/>
        </w:rPr>
        <w:t>DIESE AUSSCHLÜSSE GELTEN, WENN SIE NICHT GEMÄSS ANWENDBAREM RECHT UNZULÄSSIG SIND.</w:t>
      </w:r>
    </w:p>
    <w:p w:rsidR="00391D38" w:rsidRPr="00BB5519" w:rsidRDefault="00391D38" w:rsidP="007E466C">
      <w:pPr>
        <w:keepNext/>
        <w:spacing w:before="120" w:after="60"/>
        <w:ind w:left="1440"/>
        <w:outlineLvl w:val="0"/>
      </w:pPr>
      <w:r w:rsidRPr="00BB5519">
        <w:rPr>
          <w:rFonts w:cs="Tahoma"/>
          <w:b/>
          <w:bCs/>
          <w:iCs/>
          <w:snapToGrid w:val="0"/>
          <w:szCs w:val="18"/>
        </w:rPr>
        <w:t>Datenschutz und Sicherheit.</w:t>
      </w:r>
    </w:p>
    <w:p w:rsidR="00391D38" w:rsidRPr="00BB5519" w:rsidRDefault="00391D38" w:rsidP="00AD7532">
      <w:pPr>
        <w:numPr>
          <w:ilvl w:val="1"/>
          <w:numId w:val="158"/>
        </w:numPr>
        <w:spacing w:before="120"/>
        <w:ind w:left="1800" w:right="90"/>
        <w:contextualSpacing/>
        <w:jc w:val="both"/>
        <w:rPr>
          <w:lang w:val="de-DE"/>
        </w:rPr>
      </w:pPr>
      <w:r w:rsidRPr="00BB5519">
        <w:rPr>
          <w:rFonts w:cs="Tahoma"/>
          <w:snapToGrid w:val="0"/>
          <w:color w:val="000000"/>
          <w:szCs w:val="18"/>
          <w:lang w:val="de-DE"/>
        </w:rPr>
        <w:t>Microsoft und der Kunde werden jeweils sämtliche anwendbaren Gesetze und Regelungen einhalten (einschließlich der geltenden Gesetze zur Benachrichtigung bei Sicherheitsverletzungen).</w:t>
      </w:r>
      <w:r w:rsidR="009E4976" w:rsidRPr="00BB5519">
        <w:rPr>
          <w:rFonts w:cs="Tahoma"/>
          <w:snapToGrid w:val="0"/>
          <w:color w:val="000000"/>
          <w:szCs w:val="18"/>
          <w:lang w:val="de-DE"/>
        </w:rPr>
        <w:t xml:space="preserve"> </w:t>
      </w:r>
      <w:r w:rsidRPr="00BB5519">
        <w:rPr>
          <w:rFonts w:cs="Tahoma"/>
          <w:snapToGrid w:val="0"/>
          <w:color w:val="000000"/>
          <w:szCs w:val="18"/>
          <w:lang w:val="de-DE"/>
        </w:rPr>
        <w:t>Microsoft ist jedoch nicht für die Einhaltung von Gesetzen oder Regelungen verantwortlich, die für den Kunden oder seine Branche und nicht gleichzeitig allgemein für Serviceprovider im Bereich Informationstechnologie gelten.</w:t>
      </w:r>
      <w:r w:rsidR="009E4976" w:rsidRPr="00BB5519">
        <w:rPr>
          <w:rFonts w:cs="Tahoma"/>
          <w:snapToGrid w:val="0"/>
          <w:color w:val="000000"/>
          <w:szCs w:val="18"/>
          <w:lang w:val="de-DE"/>
        </w:rPr>
        <w:t xml:space="preserve"> </w:t>
      </w:r>
      <w:r w:rsidRPr="00BB5519">
        <w:rPr>
          <w:rFonts w:cs="Tahoma"/>
          <w:snapToGrid w:val="0"/>
          <w:color w:val="000000"/>
          <w:szCs w:val="18"/>
          <w:lang w:val="de-DE"/>
        </w:rPr>
        <w:t>Der Kunde stimmt der Verarbeitung von persönlichen Informationen durch Microsoft und ihre Vertreter zur Förderung des Gegenstandes des Vertrages, einschließlich dieser Ergänzenden Bestimmungen, zu.</w:t>
      </w:r>
    </w:p>
    <w:p w:rsidR="00391D38" w:rsidRPr="00BB5519" w:rsidRDefault="00391D38" w:rsidP="00021BF7">
      <w:pPr>
        <w:numPr>
          <w:ilvl w:val="1"/>
          <w:numId w:val="158"/>
        </w:numPr>
        <w:spacing w:before="120"/>
        <w:ind w:left="1800"/>
        <w:contextualSpacing/>
        <w:jc w:val="both"/>
        <w:rPr>
          <w:lang w:val="de-DE"/>
        </w:rPr>
      </w:pPr>
      <w:r w:rsidRPr="00BB5519">
        <w:rPr>
          <w:rFonts w:cs="Tahoma"/>
          <w:snapToGrid w:val="0"/>
          <w:color w:val="000000"/>
          <w:szCs w:val="18"/>
          <w:lang w:val="de-DE"/>
        </w:rPr>
        <w:t xml:space="preserve">Der Kunde ist berechtigt, Microsoft im Namen Dritter (einschließlich Kontaktpersonen, Handelspartner, Distributoren, Verwalter und Mitarbeiter des Kunden) persönliche Informationen im Zusammenhang mit der Nutzung der Onlinedienste oder im Rahmen des </w:t>
      </w:r>
      <w:r w:rsidRPr="00BB5519">
        <w:rPr>
          <w:rFonts w:cs="Tahoma"/>
          <w:snapToGrid w:val="0"/>
          <w:color w:val="000000"/>
          <w:szCs w:val="18"/>
          <w:lang w:val="de-DE"/>
        </w:rPr>
        <w:lastRenderedPageBreak/>
        <w:t>Vertrages bereitzustellen.</w:t>
      </w:r>
      <w:r w:rsidR="009E4976" w:rsidRPr="00BB5519">
        <w:rPr>
          <w:rFonts w:cs="Tahoma"/>
          <w:snapToGrid w:val="0"/>
          <w:color w:val="000000"/>
          <w:szCs w:val="18"/>
          <w:lang w:val="de-DE"/>
        </w:rPr>
        <w:t xml:space="preserve"> </w:t>
      </w:r>
      <w:r w:rsidRPr="00BB5519">
        <w:rPr>
          <w:rFonts w:cs="Tahoma"/>
          <w:snapToGrid w:val="0"/>
          <w:color w:val="000000"/>
          <w:szCs w:val="18"/>
          <w:lang w:val="de-DE"/>
        </w:rPr>
        <w:t>Der Kunde holt alle erforderlichen Zustimmungen von Dritten nach den geltenden Privacy- und Datenschutzgesetzen ein, bevor er Microsoft persönliche Informationen zur Verfügung stellt.</w:t>
      </w:r>
    </w:p>
    <w:p w:rsidR="00391D38" w:rsidRPr="00BB5519" w:rsidRDefault="00391D38" w:rsidP="00021BF7">
      <w:pPr>
        <w:keepNext/>
        <w:keepLines/>
        <w:numPr>
          <w:ilvl w:val="1"/>
          <w:numId w:val="158"/>
        </w:numPr>
        <w:spacing w:before="120"/>
        <w:ind w:left="1800"/>
        <w:contextualSpacing/>
        <w:jc w:val="both"/>
        <w:rPr>
          <w:lang w:val="de-DE"/>
        </w:rPr>
      </w:pPr>
      <w:r w:rsidRPr="00BB5519">
        <w:rPr>
          <w:rFonts w:cs="Tahoma"/>
          <w:snapToGrid w:val="0"/>
          <w:color w:val="000000"/>
          <w:szCs w:val="18"/>
          <w:lang w:val="de-DE"/>
        </w:rPr>
        <w:t xml:space="preserve">Die vom Kunden in Verbindung mit diesem Vertrag oder der Nutzung der Onlinedienste bereitgestellten persönlichen Informationen werden gemäß der unter </w:t>
      </w:r>
      <w:hyperlink r:id="rId51" w:history="1">
        <w:r w:rsidRPr="00BB5519">
          <w:rPr>
            <w:rFonts w:cs="Tahoma"/>
            <w:snapToGrid w:val="0"/>
            <w:color w:val="0000FF"/>
            <w:szCs w:val="18"/>
            <w:u w:val="single"/>
            <w:lang w:val="de-DE"/>
          </w:rPr>
          <w:t>https://www.microsoft.com/licensing/servicecenter</w:t>
        </w:r>
      </w:hyperlink>
      <w:r w:rsidRPr="00BB5519">
        <w:rPr>
          <w:rFonts w:cs="Tahoma"/>
          <w:snapToGrid w:val="0"/>
          <w:color w:val="000000"/>
          <w:szCs w:val="18"/>
          <w:lang w:val="de-DE"/>
        </w:rPr>
        <w:t xml:space="preserve"> (siehe Fußzeile) verfügbaren Datenschutzerklärung verarbeitet, jedoch mit der Ausnahme, dass produktspezifische Datenschutzerklärungen und zusätzliche Datenschutz- und Sicherheitsdetails im Zusammenhang mit spezifischen Onlinediensten in den Produktbenutzungsrechten enthalten sind.</w:t>
      </w:r>
      <w:r w:rsidR="009E4976" w:rsidRPr="00BB5519">
        <w:rPr>
          <w:rFonts w:cs="Tahoma"/>
          <w:snapToGrid w:val="0"/>
          <w:color w:val="000000"/>
          <w:szCs w:val="18"/>
          <w:lang w:val="de-DE"/>
        </w:rPr>
        <w:t xml:space="preserve"> </w:t>
      </w:r>
      <w:r w:rsidRPr="00BB5519">
        <w:rPr>
          <w:rFonts w:cs="Tahoma"/>
          <w:snapToGrid w:val="0"/>
          <w:color w:val="000000"/>
          <w:szCs w:val="18"/>
          <w:lang w:val="de-DE"/>
        </w:rPr>
        <w:t>Durch Onlinedienste oder Services erfasste persönliche Daten können in die USA oder in jedes andere Land, in dem Microsoft oder deren Serviceprovider Einrichtungen haben, übertragen, dort gespeichert und verarbeitet werden.</w:t>
      </w:r>
      <w:r w:rsidR="009E4976" w:rsidRPr="00BB5519">
        <w:rPr>
          <w:rFonts w:cs="Tahoma"/>
          <w:snapToGrid w:val="0"/>
          <w:color w:val="000000"/>
          <w:szCs w:val="18"/>
          <w:lang w:val="de-DE"/>
        </w:rPr>
        <w:t xml:space="preserve"> </w:t>
      </w:r>
      <w:r w:rsidRPr="00BB5519">
        <w:rPr>
          <w:rFonts w:cs="Tahoma"/>
          <w:snapToGrid w:val="0"/>
          <w:color w:val="000000"/>
          <w:szCs w:val="18"/>
          <w:lang w:val="de-DE"/>
        </w:rPr>
        <w:t>Durch Verwendung der Onlinedienste stimmt der Kunde den zuvor genannten Bestimmungen zu.</w:t>
      </w:r>
      <w:r w:rsidR="009E4976" w:rsidRPr="00BB5519">
        <w:rPr>
          <w:rFonts w:cs="Tahoma"/>
          <w:snapToGrid w:val="0"/>
          <w:color w:val="000000"/>
          <w:szCs w:val="18"/>
          <w:lang w:val="de-DE"/>
        </w:rPr>
        <w:t xml:space="preserve"> </w:t>
      </w:r>
      <w:r w:rsidRPr="00BB5519">
        <w:rPr>
          <w:rFonts w:cs="Tahoma"/>
          <w:snapToGrid w:val="0"/>
          <w:color w:val="000000"/>
          <w:szCs w:val="18"/>
          <w:lang w:val="de-DE"/>
        </w:rPr>
        <w:t>Microsoft hält die Safe-Harbor-Abkommen der EU und der Schweiz ein, wie es vom US-Handelsministerium bezüglich der Erhebung, Nutzung und Aufbewahrung von Daten aus der Europäischen Union, dem Europäischen Wirtschaftsraum und der Schweiz bestimmt wurde.</w:t>
      </w:r>
      <w:r w:rsidR="009E4976" w:rsidRPr="00BB5519">
        <w:rPr>
          <w:rFonts w:cs="Tahoma"/>
          <w:snapToGrid w:val="0"/>
          <w:color w:val="000000"/>
          <w:szCs w:val="18"/>
          <w:lang w:val="de-DE"/>
        </w:rPr>
        <w:t xml:space="preserve"> </w:t>
      </w:r>
    </w:p>
    <w:p w:rsidR="00391D38" w:rsidRPr="00BB5519" w:rsidRDefault="00391D38" w:rsidP="007E466C">
      <w:pPr>
        <w:keepNext/>
        <w:spacing w:before="120" w:after="60"/>
        <w:ind w:left="1440"/>
        <w:outlineLvl w:val="0"/>
        <w:rPr>
          <w:lang w:val="de-DE"/>
        </w:rPr>
      </w:pPr>
      <w:r w:rsidRPr="00BB5519">
        <w:rPr>
          <w:rFonts w:cs="Tahoma"/>
          <w:b/>
          <w:bCs/>
          <w:iCs/>
          <w:snapToGrid w:val="0"/>
          <w:szCs w:val="18"/>
          <w:lang w:val="de-DE"/>
        </w:rPr>
        <w:t>Schutzvereinbarung des Kunden.</w:t>
      </w:r>
    </w:p>
    <w:p w:rsidR="00391D38" w:rsidRPr="00BB5519" w:rsidRDefault="00391D38" w:rsidP="007E466C">
      <w:pPr>
        <w:ind w:left="1440"/>
        <w:jc w:val="both"/>
        <w:rPr>
          <w:lang w:val="de-DE"/>
        </w:rPr>
      </w:pPr>
      <w:r w:rsidRPr="00BB5519">
        <w:rPr>
          <w:rFonts w:cs="Tahoma"/>
          <w:snapToGrid w:val="0"/>
          <w:color w:val="000000"/>
          <w:szCs w:val="18"/>
          <w:lang w:val="de-DE"/>
        </w:rPr>
        <w:t>Der Kunde verteidigt Microsoft gegen jegliche Ansprüche, die von nicht verbundenen Dritten geltend gemacht werden und die:</w:t>
      </w:r>
    </w:p>
    <w:p w:rsidR="00391D38" w:rsidRPr="00BB5519" w:rsidRDefault="00391D38" w:rsidP="00391D38">
      <w:pPr>
        <w:numPr>
          <w:ilvl w:val="0"/>
          <w:numId w:val="159"/>
        </w:numPr>
        <w:spacing w:before="120"/>
        <w:ind w:left="1980" w:hanging="540"/>
        <w:contextualSpacing/>
        <w:jc w:val="both"/>
        <w:rPr>
          <w:lang w:val="de-DE"/>
        </w:rPr>
      </w:pPr>
      <w:r w:rsidRPr="00BB5519">
        <w:rPr>
          <w:rFonts w:cs="Tahoma"/>
          <w:snapToGrid w:val="0"/>
          <w:color w:val="000000"/>
          <w:szCs w:val="18"/>
          <w:lang w:val="de-DE"/>
        </w:rPr>
        <w:t>dahingehend geltend gemacht werden, dass Kundendaten oder nicht von Microsoft stammende Software, die Microsoft im Namen des Kunden hostet, ein Patent, Urheberrecht oder eine Marke des Dritten verletze oder dessen Geschäftsgeheimnis unrechtmäßig verwende, oder</w:t>
      </w:r>
    </w:p>
    <w:p w:rsidR="00391D38" w:rsidRPr="00BB5519" w:rsidRDefault="00391D38" w:rsidP="00391D38">
      <w:pPr>
        <w:numPr>
          <w:ilvl w:val="0"/>
          <w:numId w:val="159"/>
        </w:numPr>
        <w:spacing w:before="120"/>
        <w:ind w:left="1980" w:hanging="540"/>
        <w:contextualSpacing/>
        <w:jc w:val="both"/>
        <w:rPr>
          <w:lang w:val="de-DE"/>
        </w:rPr>
      </w:pPr>
      <w:r w:rsidRPr="00BB5519">
        <w:rPr>
          <w:rFonts w:cs="Tahoma"/>
          <w:snapToGrid w:val="0"/>
          <w:color w:val="000000"/>
          <w:szCs w:val="18"/>
          <w:lang w:val="de-DE"/>
        </w:rPr>
        <w:t>durch die Verletzung der Bestimmungen Acceptable Use Policy entstehen, die in den Produktbenutzungsrechten beschrieben ist.</w:t>
      </w:r>
    </w:p>
    <w:p w:rsidR="00391D38" w:rsidRPr="00BB5519" w:rsidRDefault="00391D38" w:rsidP="00391D38">
      <w:pPr>
        <w:spacing w:before="120"/>
        <w:ind w:left="1440"/>
        <w:jc w:val="both"/>
        <w:rPr>
          <w:lang w:val="de-DE"/>
        </w:rPr>
      </w:pPr>
      <w:r w:rsidRPr="00BB5519">
        <w:rPr>
          <w:rFonts w:cs="Tahoma"/>
          <w:snapToGrid w:val="0"/>
          <w:color w:val="000000"/>
          <w:szCs w:val="18"/>
          <w:lang w:val="de-DE"/>
        </w:rPr>
        <w:t>Der Kunde muss außerdem die Summe eines hieraus resultierenden rechtskräftigen Urteils gegen Microsoft bezahlen (oder eines Vergleichs, dem der Kunde zustimmt).</w:t>
      </w:r>
      <w:r w:rsidR="009E4976" w:rsidRPr="00BB5519">
        <w:rPr>
          <w:rFonts w:cs="Tahoma"/>
          <w:snapToGrid w:val="0"/>
          <w:color w:val="000000"/>
          <w:szCs w:val="18"/>
          <w:lang w:val="de-DE"/>
        </w:rPr>
        <w:t xml:space="preserve"> </w:t>
      </w:r>
      <w:r w:rsidRPr="00BB5519">
        <w:rPr>
          <w:rFonts w:cs="Tahoma"/>
          <w:snapToGrid w:val="0"/>
          <w:color w:val="000000"/>
          <w:szCs w:val="18"/>
          <w:lang w:val="de-DE"/>
        </w:rPr>
        <w:t>Diese Ziffer bestimmt den ausschließlichen Abhilfeanspruch von Microsoft in Bezug auf diese Ansprüche.</w:t>
      </w:r>
    </w:p>
    <w:p w:rsidR="00391D38" w:rsidRPr="00BB5519" w:rsidRDefault="00391D38" w:rsidP="00391D38">
      <w:pPr>
        <w:spacing w:before="120"/>
        <w:ind w:left="1440"/>
        <w:jc w:val="both"/>
        <w:rPr>
          <w:lang w:val="de-DE"/>
        </w:rPr>
      </w:pPr>
      <w:r w:rsidRPr="00BB5519">
        <w:rPr>
          <w:rFonts w:cs="Tahoma"/>
          <w:snapToGrid w:val="0"/>
          <w:color w:val="000000"/>
          <w:szCs w:val="18"/>
          <w:lang w:val="de-DE"/>
        </w:rPr>
        <w:t>Microsoft muss den Kunden unverzüglich schriftlich über einen Anspruch gemäß dieser Ziffer in Kenntnis setzen.</w:t>
      </w:r>
      <w:r w:rsidR="009E4976" w:rsidRPr="00BB5519">
        <w:rPr>
          <w:rFonts w:cs="Tahoma"/>
          <w:snapToGrid w:val="0"/>
          <w:color w:val="000000"/>
          <w:szCs w:val="18"/>
          <w:lang w:val="de-DE"/>
        </w:rPr>
        <w:t xml:space="preserve"> </w:t>
      </w:r>
      <w:r w:rsidRPr="00BB5519">
        <w:rPr>
          <w:rFonts w:cs="Tahoma"/>
          <w:snapToGrid w:val="0"/>
          <w:color w:val="000000"/>
          <w:szCs w:val="18"/>
          <w:lang w:val="de-DE"/>
        </w:rPr>
        <w:t>Microsoft muss (1) dem Kunden die alleinige Kontrolle über die Verteidigung oder den Vergleich eines entsprechenden Anspruchs geben und (2) angemessen bei der Verteidigung gegen den Anspruch unterstützen. Der Kunden muss Microsoft sämtliche angemessenen Ausgaben, die im Rahmen einer solchen Unterstützungsleistung anfallen, erstatten).</w:t>
      </w:r>
    </w:p>
    <w:p w:rsidR="00391D38" w:rsidRPr="00BB5519" w:rsidRDefault="00391D38" w:rsidP="007E466C">
      <w:pPr>
        <w:keepNext/>
        <w:spacing w:before="120" w:after="60"/>
        <w:ind w:left="1440"/>
        <w:outlineLvl w:val="0"/>
        <w:rPr>
          <w:lang w:val="de-DE"/>
        </w:rPr>
      </w:pPr>
      <w:r w:rsidRPr="00BB5519">
        <w:rPr>
          <w:rFonts w:cs="Tahoma"/>
          <w:b/>
          <w:bCs/>
          <w:iCs/>
          <w:snapToGrid w:val="0"/>
          <w:szCs w:val="18"/>
          <w:lang w:val="de-DE"/>
        </w:rPr>
        <w:t>Haftungsbeschränkung.</w:t>
      </w:r>
    </w:p>
    <w:p w:rsidR="00391D38" w:rsidRPr="00BB5519" w:rsidRDefault="00391D38" w:rsidP="007E466C">
      <w:pPr>
        <w:ind w:left="1440"/>
        <w:jc w:val="both"/>
        <w:rPr>
          <w:lang w:val="de-DE"/>
        </w:rPr>
      </w:pPr>
      <w:r w:rsidRPr="00BB5519">
        <w:rPr>
          <w:rFonts w:cs="Tahoma"/>
          <w:snapToGrid w:val="0"/>
          <w:color w:val="000000"/>
          <w:szCs w:val="18"/>
          <w:lang w:val="de-DE"/>
        </w:rPr>
        <w:t>Im durch das anwendbare Recht zugelassenen Umfang ist die Haftung jeder Partei, ihrer Verbundenen Unternehmen und ihrer Vertragspartner, die im Zusammenhang mit dem Onlinedienst entsteht, auf direkte Schäden bis zu der Summe begrenzt, die der Kunde für die Onlinedienste in den vorherigen 12 Monaten gezahlt hat.</w:t>
      </w:r>
      <w:r w:rsidR="009E4976" w:rsidRPr="00BB5519">
        <w:rPr>
          <w:rFonts w:cs="Tahoma"/>
          <w:snapToGrid w:val="0"/>
          <w:color w:val="000000"/>
          <w:szCs w:val="18"/>
          <w:lang w:val="de-DE"/>
        </w:rPr>
        <w:t xml:space="preserve"> </w:t>
      </w:r>
      <w:r w:rsidRPr="00BB5519">
        <w:rPr>
          <w:rFonts w:cs="Tahoma"/>
          <w:snapToGrid w:val="0"/>
          <w:color w:val="000000"/>
          <w:szCs w:val="18"/>
          <w:lang w:val="de-DE"/>
        </w:rPr>
        <w:t>Diese Beschränkungen gelten unabhängig davon, ob die Haftung auf Vertragsverletzung, unerlaubter Handlung (einschließlich Fahrlässigkeit), verschuldensunabhängiger Haftung, Verletzung von Garantien oder auf einem anderen Rechtsgrund beruht.</w:t>
      </w:r>
      <w:r w:rsidR="009E4976" w:rsidRPr="00BB5519">
        <w:rPr>
          <w:rFonts w:cs="Tahoma"/>
          <w:snapToGrid w:val="0"/>
          <w:color w:val="000000"/>
          <w:szCs w:val="18"/>
          <w:lang w:val="de-DE"/>
        </w:rPr>
        <w:t xml:space="preserve"> </w:t>
      </w:r>
      <w:r w:rsidRPr="00BB5519">
        <w:rPr>
          <w:rFonts w:cs="Tahoma"/>
          <w:snapToGrid w:val="0"/>
          <w:color w:val="000000"/>
          <w:szCs w:val="18"/>
          <w:lang w:val="de-DE"/>
        </w:rPr>
        <w:t>Diese finanziellen Beschränkungen finden jedoch keine Anwendung auf:</w:t>
      </w:r>
    </w:p>
    <w:p w:rsidR="00391D38" w:rsidRPr="00BB5519" w:rsidRDefault="00391D38" w:rsidP="00391D38">
      <w:pPr>
        <w:numPr>
          <w:ilvl w:val="0"/>
          <w:numId w:val="154"/>
        </w:numPr>
        <w:spacing w:before="120"/>
        <w:ind w:left="1890" w:hanging="450"/>
        <w:contextualSpacing/>
        <w:jc w:val="both"/>
        <w:rPr>
          <w:lang w:val="de-DE"/>
        </w:rPr>
      </w:pPr>
      <w:r w:rsidRPr="00BB5519">
        <w:rPr>
          <w:rFonts w:cs="Tahoma"/>
          <w:snapToGrid w:val="0"/>
          <w:color w:val="000000"/>
          <w:szCs w:val="18"/>
          <w:lang w:val="de-DE"/>
        </w:rP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391D38" w:rsidRPr="00BB5519" w:rsidRDefault="00391D38" w:rsidP="00391D38">
      <w:pPr>
        <w:numPr>
          <w:ilvl w:val="0"/>
          <w:numId w:val="154"/>
        </w:numPr>
        <w:spacing w:before="120"/>
        <w:ind w:left="1890" w:hanging="450"/>
        <w:contextualSpacing/>
        <w:jc w:val="both"/>
        <w:rPr>
          <w:lang w:val="de-DE"/>
        </w:rPr>
      </w:pPr>
      <w:r w:rsidRPr="00BB5519">
        <w:rPr>
          <w:rFonts w:cs="Tahoma"/>
          <w:snapToGrid w:val="0"/>
          <w:color w:val="000000"/>
          <w:szCs w:val="18"/>
          <w:lang w:val="de-DE"/>
        </w:rP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rsidR="00391D38" w:rsidRPr="00BB5519" w:rsidRDefault="00391D38" w:rsidP="00AD7532">
      <w:pPr>
        <w:numPr>
          <w:ilvl w:val="0"/>
          <w:numId w:val="154"/>
        </w:numPr>
        <w:spacing w:before="120"/>
        <w:ind w:left="1890" w:hanging="450"/>
        <w:contextualSpacing/>
        <w:jc w:val="both"/>
        <w:rPr>
          <w:lang w:val="de-DE"/>
        </w:rPr>
      </w:pPr>
      <w:r w:rsidRPr="00BB5519">
        <w:rPr>
          <w:rFonts w:cs="Tahoma"/>
          <w:snapToGrid w:val="0"/>
          <w:color w:val="000000"/>
          <w:szCs w:val="18"/>
          <w:lang w:val="de-DE"/>
        </w:rPr>
        <w:t>Verletzung der gewerblichen Schutzrechte/Urheberrechte einer Partei durch die andere</w:t>
      </w:r>
      <w:r w:rsidR="00AD7532">
        <w:rPr>
          <w:rFonts w:cs="Tahoma"/>
          <w:snapToGrid w:val="0"/>
          <w:color w:val="000000"/>
          <w:szCs w:val="18"/>
          <w:lang w:val="de-DE"/>
        </w:rPr>
        <w:t> </w:t>
      </w:r>
      <w:r w:rsidRPr="00BB5519">
        <w:rPr>
          <w:rFonts w:cs="Tahoma"/>
          <w:snapToGrid w:val="0"/>
          <w:color w:val="000000"/>
          <w:szCs w:val="18"/>
          <w:lang w:val="de-DE"/>
        </w:rPr>
        <w:t>Partei.</w:t>
      </w:r>
    </w:p>
    <w:p w:rsidR="00391D38" w:rsidRPr="00BB5519" w:rsidRDefault="00391D38" w:rsidP="00021BF7">
      <w:pPr>
        <w:keepNext/>
        <w:keepLines/>
        <w:spacing w:before="120"/>
        <w:ind w:left="1440"/>
        <w:jc w:val="both"/>
        <w:rPr>
          <w:lang w:val="de-DE"/>
        </w:rPr>
      </w:pPr>
      <w:r w:rsidRPr="00BB5519">
        <w:rPr>
          <w:rFonts w:cs="Tahoma"/>
          <w:b/>
          <w:bCs/>
          <w:snapToGrid w:val="0"/>
          <w:color w:val="000000"/>
          <w:szCs w:val="18"/>
          <w:lang w:val="de-DE"/>
        </w:rPr>
        <w:lastRenderedPageBreak/>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9E4976" w:rsidRPr="00BB5519">
        <w:rPr>
          <w:rFonts w:cs="Tahoma"/>
          <w:b/>
          <w:bCs/>
          <w:snapToGrid w:val="0"/>
          <w:color w:val="000000"/>
          <w:szCs w:val="18"/>
          <w:lang w:val="de-DE"/>
        </w:rPr>
        <w:t xml:space="preserve"> </w:t>
      </w:r>
      <w:r w:rsidRPr="00BB5519">
        <w:rPr>
          <w:rFonts w:cs="Tahoma"/>
          <w:b/>
          <w:bCs/>
          <w:snapToGrid w:val="0"/>
          <w:color w:val="000000"/>
          <w:szCs w:val="18"/>
          <w:lang w:val="de-DE"/>
        </w:rPr>
        <w:t>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rsidR="00391D38" w:rsidRPr="00BB5519" w:rsidRDefault="00391D38" w:rsidP="007E466C">
      <w:pPr>
        <w:keepNext/>
        <w:spacing w:before="120" w:after="60"/>
        <w:ind w:left="1440"/>
        <w:outlineLvl w:val="0"/>
        <w:rPr>
          <w:lang w:val="de-DE"/>
        </w:rPr>
      </w:pPr>
      <w:r w:rsidRPr="00BB5519">
        <w:rPr>
          <w:rFonts w:cs="Tahoma"/>
          <w:b/>
          <w:bCs/>
          <w:iCs/>
          <w:snapToGrid w:val="0"/>
          <w:szCs w:val="18"/>
          <w:lang w:val="de-DE"/>
        </w:rPr>
        <w:t>Vertragspartner.</w:t>
      </w:r>
    </w:p>
    <w:p w:rsidR="00391D38" w:rsidRPr="00BB5519" w:rsidRDefault="00391D38" w:rsidP="00391D38">
      <w:pPr>
        <w:ind w:left="1440"/>
        <w:rPr>
          <w:lang w:val="de-DE"/>
        </w:rPr>
      </w:pPr>
      <w:r w:rsidRPr="00BB5519">
        <w:rPr>
          <w:rFonts w:cs="Tahoma"/>
          <w:snapToGrid w:val="0"/>
          <w:szCs w:val="18"/>
          <w:lang w:val="de-DE"/>
        </w:rPr>
        <w:t>Microsoft ist berechtigt, Vertragspartner zur Unterstützung von Onlinediensten einzusetzen.</w:t>
      </w:r>
      <w:r w:rsidR="009E4976" w:rsidRPr="00BB5519">
        <w:rPr>
          <w:rFonts w:cs="Tahoma"/>
          <w:snapToGrid w:val="0"/>
          <w:szCs w:val="18"/>
          <w:lang w:val="de-DE"/>
        </w:rPr>
        <w:t xml:space="preserve"> </w:t>
      </w:r>
      <w:r w:rsidRPr="00BB5519">
        <w:rPr>
          <w:rFonts w:cs="Tahoma"/>
          <w:snapToGrid w:val="0"/>
          <w:szCs w:val="18"/>
          <w:lang w:val="de-DE"/>
        </w:rPr>
        <w:t>Microsoft ist für deren Leistung gemäß den Bestimmungen des Volumenlizenzvertrags des Kunden verantwortlich.</w:t>
      </w:r>
    </w:p>
    <w:p w:rsidR="00391D38" w:rsidRPr="00BB5519" w:rsidRDefault="00391D38" w:rsidP="0084072C">
      <w:pPr>
        <w:ind w:left="720"/>
        <w:rPr>
          <w:lang w:val="de-DE"/>
        </w:rPr>
      </w:pPr>
    </w:p>
    <w:p w:rsidR="005D1A15" w:rsidRPr="00BB5519" w:rsidRDefault="005D1A15" w:rsidP="005D1A15">
      <w:pPr>
        <w:spacing w:after="60"/>
        <w:ind w:left="720"/>
        <w:rPr>
          <w:lang w:val="de-DE"/>
        </w:rPr>
      </w:pPr>
      <w:r w:rsidRPr="00BB5519">
        <w:rPr>
          <w:rFonts w:cs="Tahoma"/>
          <w:b/>
          <w:color w:val="000000"/>
          <w:szCs w:val="20"/>
          <w:lang w:val="de-DE"/>
        </w:rPr>
        <w:t>True Up-Rechte</w:t>
      </w:r>
    </w:p>
    <w:p w:rsidR="005D1A15" w:rsidRPr="00BB5519" w:rsidRDefault="005D1A15" w:rsidP="00AD7532">
      <w:pPr>
        <w:spacing w:after="60"/>
        <w:ind w:left="720"/>
        <w:rPr>
          <w:lang w:val="de-DE"/>
        </w:rPr>
      </w:pPr>
      <w:r w:rsidRPr="00BB5519">
        <w:rPr>
          <w:rFonts w:cs="Tahoma"/>
          <w:color w:val="000000"/>
          <w:szCs w:val="20"/>
          <w:lang w:val="de-DE"/>
        </w:rPr>
        <w:t>Ungeachtet gegenteiliger Bestimmungen in den Produktbenutzungsrechten für Forefront Unified Access Gateway 2010 vom 1. Dezember 2012 ermöglichen Enterprise CAL Suite-Lizenzen, die im Rahmen von True</w:t>
      </w:r>
      <w:r w:rsidR="00AD7532">
        <w:rPr>
          <w:rFonts w:cs="Tahoma"/>
          <w:color w:val="000000"/>
          <w:szCs w:val="20"/>
          <w:lang w:val="de-DE"/>
        </w:rPr>
        <w:t> </w:t>
      </w:r>
      <w:r w:rsidRPr="00BB5519">
        <w:rPr>
          <w:rFonts w:cs="Tahoma"/>
          <w:color w:val="000000"/>
          <w:szCs w:val="20"/>
          <w:lang w:val="de-DE"/>
        </w:rPr>
        <w:t>Up-Rechten nach dem 1. Dezember 2012 erworben werden, Qualifizierenden Kunden den Zugriff auf</w:t>
      </w:r>
      <w:r w:rsidR="00AD7532">
        <w:rPr>
          <w:rFonts w:cs="Tahoma"/>
          <w:color w:val="000000"/>
          <w:szCs w:val="20"/>
          <w:lang w:val="de-DE"/>
        </w:rPr>
        <w:t> </w:t>
      </w:r>
      <w:r w:rsidRPr="00BB5519">
        <w:rPr>
          <w:rFonts w:cs="Tahoma"/>
          <w:color w:val="000000"/>
          <w:szCs w:val="20"/>
          <w:lang w:val="de-DE"/>
        </w:rPr>
        <w:t>Forefront Unified Access Gateway 2010. „Qualifizierende Kunden“ sind Kunden mit Konzern- und Konzern-Abonnement-Beitritt, Kunden mit Open Value Subscription (OVS) oder Kunden mit Beitritt für Bildungslösungen, die die Enterprise CAL Suite erstmals vor dem 1. Dezember 2012 erworben haben und im Rahmen der Vertragslaufzeit dieses Beitritts oder dieser OVS dazu berechtigt sind, zusätzliche Lizenzen nach dem 1. Dezember 2012 im Rahmen der True Up-Rechte zu erwerben.</w:t>
      </w:r>
      <w:r w:rsidR="009E4976" w:rsidRPr="00BB5519">
        <w:rPr>
          <w:rFonts w:cs="Tahoma"/>
          <w:color w:val="000000"/>
          <w:szCs w:val="20"/>
          <w:lang w:val="de-DE"/>
        </w:rPr>
        <w:t xml:space="preserve"> </w:t>
      </w:r>
      <w:r w:rsidRPr="00BB5519">
        <w:rPr>
          <w:rFonts w:cs="Tahoma"/>
          <w:color w:val="000000"/>
          <w:szCs w:val="20"/>
          <w:lang w:val="de-DE"/>
        </w:rPr>
        <w:t>Diese Ausnahme gilt nur für Lizenzen, die im Rahmen der True Up-Rechte vor der ersten Verlängerung eines Qualifizierenden Kundens nach dem 1. Dezember 2012 erworben wurden. Im unteren Abschnitt „Erweiterte Nutzungsrechte für Forefront-Produkte“ finden Sie die erweiterten Nutzungsrechte im Rahmen der Enterprise CAL Suite für Komponenten der Forefront Protection Suite (Bestandteil der Enterprise CAL Suite bis zum 30. November 2012).</w:t>
      </w:r>
    </w:p>
    <w:p w:rsidR="005D1A15" w:rsidRPr="00BB5519" w:rsidRDefault="005D1A15" w:rsidP="005D1A15">
      <w:pPr>
        <w:spacing w:before="120" w:after="60"/>
        <w:ind w:left="720"/>
        <w:rPr>
          <w:lang w:val="de-DE"/>
        </w:rPr>
      </w:pPr>
      <w:r w:rsidRPr="00BB5519">
        <w:rPr>
          <w:rFonts w:cs="Tahoma"/>
          <w:color w:val="000000"/>
          <w:szCs w:val="20"/>
          <w:lang w:val="de-DE"/>
        </w:rPr>
        <w:t>Verlängerung von Software Assurance für Forefront Unified Access Gateway außerhalb der Enterprise CAL Suite Kunden, die im Rahmen von Enterprise CAL Suite-Lizenzen, die durch Software Assurance abgedeckt sind (entweder im Rahmen von vor dem 1. Dezember 2012 erworbenen Lizenzen oder im Rahmen von True Up-Rechten (wie oben beschrieben)), zur Nutzung von Forefront Unified Access Gateway lizenziert sind, haben bei ihrer ersten Verlängerung dieser Software Assurance am oder nach dem 1. Dezember 2012 die Möglichkeit, Software Assurance für Forefront Unified Access Gateway außerhalb der Enterprise CAL Suite zu erwerben, ohne zunächst eine separate Lizenz für Forefront Unified Access Gateway zu erweben. Dieses Angebot zum Erwerb von Forefront Unified Access Gateway gilt für eine Anzahl von Lizenzen bis zur Gesamtzahl von Enterprise CAL Suite-Lizenzen mit Software Assurance des Kunden unmittelbar vor der Verlängerung.</w:t>
      </w:r>
    </w:p>
    <w:p w:rsidR="005D1A15" w:rsidRPr="00BB5519" w:rsidRDefault="005D1A15" w:rsidP="005D1A15">
      <w:pPr>
        <w:spacing w:after="60"/>
        <w:ind w:left="720"/>
        <w:rPr>
          <w:lang w:val="de-DE"/>
        </w:rPr>
      </w:pPr>
    </w:p>
    <w:p w:rsidR="004E3869" w:rsidRPr="00BB5519" w:rsidRDefault="00A2724A" w:rsidP="00AD7532">
      <w:pPr>
        <w:keepNext/>
        <w:keepLines/>
        <w:spacing w:after="60"/>
        <w:ind w:left="720"/>
        <w:rPr>
          <w:lang w:val="de-DE"/>
        </w:rPr>
      </w:pPr>
      <w:r w:rsidRPr="00BB5519">
        <w:rPr>
          <w:rFonts w:cs="Tahoma"/>
          <w:b/>
          <w:color w:val="000000"/>
          <w:szCs w:val="20"/>
          <w:lang w:val="de-DE"/>
        </w:rPr>
        <w:lastRenderedPageBreak/>
        <w:t>Erweiterte Nutzungsrechte für Forefront-Produkte</w:t>
      </w:r>
    </w:p>
    <w:p w:rsidR="00C349AE" w:rsidRPr="00BB5519" w:rsidRDefault="00793CBD" w:rsidP="00AD7532">
      <w:pPr>
        <w:keepNext/>
        <w:keepLines/>
        <w:ind w:left="720"/>
        <w:rPr>
          <w:lang w:val="de-DE"/>
        </w:rPr>
      </w:pPr>
      <w:r w:rsidRPr="00BB5519">
        <w:rPr>
          <w:rFonts w:cs="Tahoma"/>
          <w:bCs/>
          <w:color w:val="000000"/>
          <w:szCs w:val="18"/>
          <w:lang w:val="de-DE"/>
        </w:rPr>
        <w:t>Kunden mit aktiver Software Assurance für die Enterprise CAL Suite zum 30. November 2012 sind berechtigt, die Komponentendienste der Forefront Protection Suite (früher Bestandteil der Enterprise CAL Suite) weiterhin zu nutzen, bis Software Assurance abläuft und/oder verlängert wird.</w:t>
      </w:r>
      <w:r w:rsidR="009E4976" w:rsidRPr="00BB5519">
        <w:rPr>
          <w:rFonts w:cs="Tahoma"/>
          <w:bCs/>
          <w:color w:val="000000"/>
          <w:szCs w:val="18"/>
          <w:lang w:val="de-DE"/>
        </w:rPr>
        <w:t xml:space="preserve"> </w:t>
      </w:r>
      <w:r w:rsidRPr="00BB5519">
        <w:rPr>
          <w:rFonts w:cs="Tahoma"/>
          <w:bCs/>
          <w:color w:val="000000"/>
          <w:szCs w:val="18"/>
          <w:lang w:val="de-DE"/>
        </w:rPr>
        <w:t xml:space="preserve">Diese Kunden sind außerdem berechtigt, die Komponenten </w:t>
      </w:r>
      <w:r w:rsidRPr="00BB5519">
        <w:rPr>
          <w:rFonts w:cs="Tahoma"/>
          <w:color w:val="000000"/>
          <w:szCs w:val="20"/>
          <w:lang w:val="de-DE"/>
        </w:rPr>
        <w:t xml:space="preserve">Forefront für Office Communications Server, Forefront Protection 2010 für Exchange Server, Forefront Threat Management Gateway Web Protection Service und Forefront Protection 2010 für SharePoint Server </w:t>
      </w:r>
      <w:r w:rsidRPr="00BB5519">
        <w:rPr>
          <w:rFonts w:cs="Tahoma"/>
          <w:bCs/>
          <w:color w:val="000000"/>
          <w:szCs w:val="18"/>
          <w:lang w:val="de-DE"/>
        </w:rPr>
        <w:t>der Suite weiterhin bis zum 31. Dezember 2015 zu verwenden. Diese</w:t>
      </w:r>
      <w:r w:rsidR="00AD7532">
        <w:rPr>
          <w:rFonts w:cs="Tahoma"/>
          <w:bCs/>
          <w:color w:val="000000"/>
          <w:szCs w:val="18"/>
          <w:lang w:val="de-DE"/>
        </w:rPr>
        <w:t> </w:t>
      </w:r>
      <w:r w:rsidRPr="00BB5519">
        <w:rPr>
          <w:rFonts w:cs="Tahoma"/>
          <w:bCs/>
          <w:color w:val="000000"/>
          <w:szCs w:val="18"/>
          <w:lang w:val="de-DE"/>
        </w:rPr>
        <w:t>Bestimmungen gelten auch für nachfolgende Enterprise CAL Suite-Lizenzen, die von diesen Kunden</w:t>
      </w:r>
      <w:r w:rsidR="00AD7532">
        <w:rPr>
          <w:rFonts w:cs="Tahoma"/>
          <w:bCs/>
          <w:color w:val="000000"/>
          <w:szCs w:val="18"/>
          <w:lang w:val="de-DE"/>
        </w:rPr>
        <w:t> </w:t>
      </w:r>
      <w:r w:rsidRPr="00BB5519">
        <w:rPr>
          <w:rFonts w:cs="Tahoma"/>
          <w:bCs/>
          <w:color w:val="000000"/>
          <w:szCs w:val="18"/>
          <w:lang w:val="de-DE"/>
        </w:rPr>
        <w:t>vor dem 31. Dezember 2015 erworben werden. Die fortgesetzte Verwendung der Komponenten-Onlinedienste unterliegt weiterhin den Bestimmungen des Volumenlizenzvertrages des Kunden, den Produktbenutzungsrechten für die Onlinedienste und den hierin enthaltenen Bestimmungen.</w:t>
      </w:r>
    </w:p>
    <w:p w:rsidR="00C349AE" w:rsidRPr="00BB5519" w:rsidRDefault="00C349AE" w:rsidP="0084072C">
      <w:pPr>
        <w:ind w:left="720"/>
        <w:rPr>
          <w:lang w:val="de-DE"/>
        </w:rPr>
      </w:pPr>
    </w:p>
    <w:p w:rsidR="004E3869" w:rsidRPr="00BB5519" w:rsidRDefault="004E3869" w:rsidP="0084072C">
      <w:pPr>
        <w:spacing w:after="60"/>
        <w:ind w:left="720"/>
        <w:rPr>
          <w:lang w:val="de-DE"/>
        </w:rPr>
      </w:pPr>
      <w:r w:rsidRPr="00BB5519">
        <w:rPr>
          <w:rFonts w:cs="Tahoma"/>
          <w:b/>
          <w:color w:val="000000"/>
          <w:szCs w:val="20"/>
          <w:lang w:val="de-DE"/>
        </w:rPr>
        <w:t xml:space="preserve">Forefront Protection Suite </w:t>
      </w:r>
    </w:p>
    <w:p w:rsidR="004E3869" w:rsidRPr="00BB5519" w:rsidRDefault="004E3869" w:rsidP="00AD7532">
      <w:pPr>
        <w:ind w:left="720"/>
        <w:rPr>
          <w:lang w:val="de-DE"/>
        </w:rPr>
      </w:pPr>
      <w:r w:rsidRPr="00BB5519">
        <w:rPr>
          <w:rFonts w:cs="Tahoma"/>
          <w:color w:val="000000"/>
          <w:szCs w:val="20"/>
          <w:lang w:val="de-DE"/>
        </w:rPr>
        <w:t>Das Forefront Protection Suite-Abonnement umfasst die folgenden Onlinedienste:</w:t>
      </w:r>
      <w:r w:rsidR="009E4976" w:rsidRPr="00BB5519">
        <w:rPr>
          <w:rFonts w:cs="Tahoma"/>
          <w:color w:val="000000"/>
          <w:szCs w:val="20"/>
          <w:lang w:val="de-DE"/>
        </w:rPr>
        <w:t xml:space="preserve"> </w:t>
      </w:r>
      <w:r w:rsidRPr="00BB5519">
        <w:rPr>
          <w:rFonts w:cs="Tahoma"/>
          <w:color w:val="000000"/>
          <w:szCs w:val="20"/>
          <w:lang w:val="de-DE"/>
        </w:rPr>
        <w:t>System enter 2012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w:t>
      </w:r>
      <w:r w:rsidR="00AD7532">
        <w:rPr>
          <w:rFonts w:cs="Tahoma"/>
          <w:color w:val="000000"/>
          <w:szCs w:val="20"/>
          <w:lang w:val="de-DE"/>
        </w:rPr>
        <w:t> </w:t>
      </w:r>
      <w:r w:rsidRPr="00BB5519">
        <w:rPr>
          <w:rFonts w:cs="Tahoma"/>
          <w:color w:val="000000"/>
          <w:szCs w:val="20"/>
          <w:lang w:val="de-DE"/>
        </w:rPr>
        <w:t xml:space="preserve">2010 for SharePoint Server. </w:t>
      </w:r>
    </w:p>
    <w:p w:rsidR="00B2460D" w:rsidRPr="00BB5519" w:rsidRDefault="00B2460D" w:rsidP="0084072C">
      <w:pPr>
        <w:ind w:left="720"/>
        <w:rPr>
          <w:lang w:val="de-DE"/>
        </w:rPr>
      </w:pPr>
    </w:p>
    <w:p w:rsidR="00023FE7" w:rsidRPr="00BB5519" w:rsidRDefault="00023FE7" w:rsidP="0084072C">
      <w:pPr>
        <w:spacing w:after="60"/>
        <w:ind w:left="720"/>
        <w:rPr>
          <w:lang w:val="de-DE"/>
        </w:rPr>
      </w:pPr>
      <w:r w:rsidRPr="00BB5519">
        <w:rPr>
          <w:rFonts w:cs="Tahoma"/>
          <w:b/>
          <w:color w:val="000000"/>
          <w:szCs w:val="20"/>
          <w:lang w:val="de-DE"/>
        </w:rPr>
        <w:t>CALs für Studenten (Open- und Select-Lizenz für Forschung &amp; Lehre)</w:t>
      </w:r>
    </w:p>
    <w:p w:rsidR="00023FE7" w:rsidRPr="00BB5519" w:rsidRDefault="00023FE7" w:rsidP="0084072C">
      <w:pPr>
        <w:ind w:left="720"/>
        <w:rPr>
          <w:lang w:val="de-DE"/>
        </w:rPr>
      </w:pPr>
      <w:r w:rsidRPr="00BB5519">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026546" w:rsidRPr="00BB5519" w:rsidRDefault="00026546" w:rsidP="0084072C">
      <w:pPr>
        <w:ind w:left="720"/>
        <w:rPr>
          <w:lang w:val="de-DE"/>
        </w:rPr>
      </w:pPr>
    </w:p>
    <w:p w:rsidR="00D70D2C" w:rsidRPr="00BB5519" w:rsidRDefault="00D70D2C" w:rsidP="0084072C">
      <w:pPr>
        <w:ind w:left="540"/>
        <w:rPr>
          <w:lang w:val="de-DE"/>
        </w:rPr>
      </w:pPr>
    </w:p>
    <w:p w:rsidR="00D70D2C" w:rsidRPr="00BB5519" w:rsidRDefault="00F66FB0" w:rsidP="00D70D2C">
      <w:pPr>
        <w:pStyle w:val="Heading2"/>
        <w:ind w:left="270" w:hanging="270"/>
        <w:rPr>
          <w:lang w:val="de-DE"/>
        </w:rPr>
      </w:pPr>
      <w:bookmarkStart w:id="1245" w:name="_43_Exchange_Enterprise"/>
      <w:bookmarkStart w:id="1246" w:name="_44_Exchange_Online"/>
      <w:bookmarkStart w:id="1247" w:name="_Toc336338305"/>
      <w:bookmarkStart w:id="1248" w:name="_Toc354055000"/>
      <w:bookmarkStart w:id="1249" w:name="Srv_45ExchOnlineArchivingUserSL"/>
      <w:bookmarkEnd w:id="1245"/>
      <w:bookmarkEnd w:id="1246"/>
      <w:r w:rsidRPr="00BB5519">
        <w:rPr>
          <w:rFonts w:ascii="Tahoma" w:hAnsi="Tahoma" w:cs="Tahoma"/>
          <w:color w:val="F26200"/>
          <w:sz w:val="20"/>
          <w:vertAlign w:val="superscript"/>
          <w:lang w:val="de-DE"/>
        </w:rPr>
        <w:t>45</w:t>
      </w:r>
      <w:r w:rsidRPr="00BB5519">
        <w:rPr>
          <w:rFonts w:ascii="Tahoma" w:hAnsi="Tahoma" w:cs="Tahoma"/>
          <w:color w:val="F26200"/>
          <w:lang w:val="de-DE"/>
        </w:rPr>
        <w:t xml:space="preserve"> </w:t>
      </w:r>
      <w:r w:rsidRPr="00BB5519">
        <w:rPr>
          <w:rFonts w:ascii="Tahoma" w:hAnsi="Tahoma" w:cs="Tahoma"/>
          <w:color w:val="F26200"/>
          <w:sz w:val="22"/>
          <w:lang w:val="de-DE"/>
        </w:rPr>
        <w:t>Exchange Online-Archivierung (Nutzer-AL)</w:t>
      </w:r>
      <w:bookmarkEnd w:id="1247"/>
      <w:bookmarkEnd w:id="1248"/>
    </w:p>
    <w:bookmarkEnd w:id="1249"/>
    <w:p w:rsidR="00D70D2C" w:rsidRPr="00BB5519" w:rsidRDefault="00D70D2C" w:rsidP="00D70D2C">
      <w:pPr>
        <w:ind w:left="900"/>
        <w:rPr>
          <w:lang w:val="de-DE"/>
        </w:rPr>
      </w:pPr>
    </w:p>
    <w:p w:rsidR="00D70D2C" w:rsidRPr="00BB5519" w:rsidRDefault="00D70D2C" w:rsidP="00E62BC4">
      <w:pPr>
        <w:pStyle w:val="ListParagraph"/>
        <w:rPr>
          <w:lang w:val="de-DE"/>
        </w:rPr>
      </w:pPr>
      <w:r w:rsidRPr="00BB5519">
        <w:rPr>
          <w:rFonts w:ascii="Tahoma" w:hAnsi="Tahoma" w:cs="Tahoma"/>
          <w:color w:val="000000"/>
          <w:sz w:val="18"/>
          <w:szCs w:val="18"/>
          <w:lang w:val="de-DE"/>
        </w:rPr>
        <w:t>Exchange Online-Archivierung ist ein Folge-Onlinedienst für Exchange Hosted Archive.</w:t>
      </w:r>
    </w:p>
    <w:p w:rsidR="00D70D2C" w:rsidRPr="00BB5519" w:rsidRDefault="00D70D2C" w:rsidP="00E62BC4">
      <w:pPr>
        <w:pStyle w:val="ListParagraph"/>
        <w:rPr>
          <w:lang w:val="de-DE"/>
        </w:rPr>
      </w:pPr>
    </w:p>
    <w:p w:rsidR="00D70D2C" w:rsidRPr="00BB5519" w:rsidRDefault="00D70D2C" w:rsidP="00E62BC4">
      <w:pPr>
        <w:ind w:left="720"/>
        <w:rPr>
          <w:lang w:val="de-DE"/>
        </w:rPr>
      </w:pPr>
      <w:r w:rsidRPr="00BB5519">
        <w:rPr>
          <w:rFonts w:cs="Tahoma"/>
          <w:color w:val="000000"/>
          <w:szCs w:val="18"/>
          <w:lang w:val="de-DE"/>
        </w:rPr>
        <w:t>Wenn Sie von Exchange Hosted Archive auf Exchange Online-Archivierung verlängern und noch nicht auf Exchange Online-</w:t>
      </w:r>
      <w:r w:rsidRPr="00BB5519">
        <w:rPr>
          <w:color w:val="000000"/>
          <w:lang w:val="de-DE"/>
        </w:rPr>
        <w:t>Archivierung migriert haben, sind Ihre lizenzierte Nutzer berechtigt, den Exchange Hosted Archive-Dienst weiterhin unter den Bestimmungen der Produktbenutzungsrechte (PUR) von März 2011 zu verwenden, bis Sie auf Exchange Online-Archivierung migrieren oder bis Ihr Abonnement für Exchange Online-Archivierung abläuft, wobei das frühere Datum maßgeblich ist.</w:t>
      </w:r>
    </w:p>
    <w:p w:rsidR="00B23BE6" w:rsidRPr="00BB5519" w:rsidRDefault="00B23BE6" w:rsidP="00E62BC4">
      <w:pPr>
        <w:ind w:left="720"/>
        <w:rPr>
          <w:lang w:val="de-DE"/>
        </w:rPr>
      </w:pPr>
    </w:p>
    <w:p w:rsidR="00B23BE6" w:rsidRPr="00BB5519" w:rsidRDefault="00B23BE6" w:rsidP="0084072C">
      <w:pPr>
        <w:spacing w:after="60"/>
        <w:ind w:left="720"/>
      </w:pPr>
      <w:r w:rsidRPr="00BB5519">
        <w:rPr>
          <w:rFonts w:eastAsia="Calibri" w:cs="Tahoma"/>
          <w:b/>
          <w:color w:val="000000"/>
          <w:szCs w:val="18"/>
        </w:rPr>
        <w:t>Government Community Cloud (nur USA)</w:t>
      </w:r>
    </w:p>
    <w:p w:rsidR="00B23BE6" w:rsidRPr="00BB5519" w:rsidRDefault="00B23BE6" w:rsidP="00E62BC4">
      <w:pPr>
        <w:ind w:left="720"/>
        <w:rPr>
          <w:lang w:val="de-DE"/>
        </w:rPr>
      </w:pPr>
      <w:r w:rsidRPr="00BB5519">
        <w:rPr>
          <w:rFonts w:eastAsia="Calibri" w:cs="Tahoma"/>
          <w:color w:val="000000"/>
          <w:szCs w:val="18"/>
        </w:rPr>
        <w:t>Einige Onlinedienste in der Office 365-Produktfamilie (darunter Exchange Online-Archivierung) werden als Government Community Cloud-Dienste und Non-Government Community Cloud-Dienste angeboten.</w:t>
      </w:r>
      <w:r w:rsidR="009E4976" w:rsidRPr="00BB5519">
        <w:rPr>
          <w:rFonts w:eastAsia="Calibri" w:cs="Tahoma"/>
          <w:color w:val="000000"/>
          <w:szCs w:val="18"/>
        </w:rPr>
        <w:t xml:space="preserve"> </w:t>
      </w:r>
      <w:r w:rsidRPr="00BB5519">
        <w:rPr>
          <w:rFonts w:eastAsia="Calibri" w:cs="Tahoma"/>
          <w:color w:val="000000"/>
          <w:szCs w:val="18"/>
          <w:lang w:val="de-DE"/>
        </w:rPr>
        <w:t>Die Bereitstellung an Kunden kann in der einen oder anderen Form erfolgen, jedoch nicht als Kombination aus beidem.</w:t>
      </w:r>
      <w:r w:rsidR="009E4976" w:rsidRPr="00BB5519">
        <w:rPr>
          <w:rFonts w:eastAsia="Calibri" w:cs="Tahoma"/>
          <w:color w:val="000000"/>
          <w:szCs w:val="18"/>
          <w:lang w:val="de-DE"/>
        </w:rPr>
        <w:t xml:space="preserve"> </w:t>
      </w:r>
      <w:r w:rsidRPr="00BB551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9E4976" w:rsidRPr="00BB5519">
        <w:rPr>
          <w:rFonts w:eastAsia="Calibri" w:cs="Tahoma"/>
          <w:color w:val="000000"/>
          <w:szCs w:val="18"/>
          <w:lang w:val="de-DE"/>
        </w:rPr>
        <w:t xml:space="preserve"> </w:t>
      </w:r>
      <w:r w:rsidRPr="00BB5519">
        <w:rPr>
          <w:rFonts w:eastAsia="Calibri" w:cs="Tahoma"/>
          <w:color w:val="000000"/>
          <w:szCs w:val="18"/>
          <w:lang w:val="de-DE"/>
        </w:rPr>
        <w:t>Diese Beschränkung gilt für alle Onlinedienste, die zur Office 365-Produktfamilie gehören, darunter Exchange Online, SharePoint Online und Lync Online.</w:t>
      </w:r>
      <w:r w:rsidR="009E4976" w:rsidRPr="00BB5519">
        <w:rPr>
          <w:rFonts w:eastAsia="Calibri" w:cs="Tahoma"/>
          <w:color w:val="000000"/>
          <w:szCs w:val="18"/>
          <w:lang w:val="de-DE"/>
        </w:rPr>
        <w:t xml:space="preserve"> </w:t>
      </w:r>
    </w:p>
    <w:p w:rsidR="00B23BE6" w:rsidRPr="00BB5519" w:rsidRDefault="00B23BE6" w:rsidP="00E62BC4">
      <w:pPr>
        <w:ind w:left="720"/>
        <w:rPr>
          <w:lang w:val="de-DE"/>
        </w:rPr>
      </w:pPr>
    </w:p>
    <w:p w:rsidR="00B23BE6" w:rsidRPr="00BB5519" w:rsidRDefault="00B23BE6" w:rsidP="00E62BC4">
      <w:pPr>
        <w:ind w:left="720"/>
        <w:rPr>
          <w:lang w:val="de-DE"/>
        </w:rPr>
      </w:pPr>
      <w:r w:rsidRPr="00BB5519">
        <w:rPr>
          <w:rFonts w:eastAsia="Calibri" w:cs="Tahoma"/>
          <w:color w:val="000000"/>
          <w:szCs w:val="18"/>
          <w:lang w:val="de-DE"/>
        </w:rPr>
        <w:t>Wenn ein Onlinedienst in der Government Community Cloud bereitgestellt wird, bleibt er für die Dauer der Abonnementlaufzeit dort.</w:t>
      </w:r>
      <w:r w:rsidR="009E4976" w:rsidRPr="00BB5519">
        <w:rPr>
          <w:rFonts w:eastAsia="Calibri" w:cs="Tahoma"/>
          <w:color w:val="000000"/>
          <w:szCs w:val="18"/>
          <w:lang w:val="de-DE"/>
        </w:rPr>
        <w:t xml:space="preserve"> </w:t>
      </w:r>
      <w:r w:rsidRPr="00BB551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9E4976" w:rsidRPr="00BB5519">
        <w:rPr>
          <w:rFonts w:eastAsia="Calibri" w:cs="Tahoma"/>
          <w:color w:val="000000"/>
          <w:szCs w:val="18"/>
          <w:lang w:val="de-DE"/>
        </w:rPr>
        <w:t xml:space="preserve"> </w:t>
      </w:r>
      <w:r w:rsidRPr="00BB5519">
        <w:rPr>
          <w:rFonts w:eastAsia="Calibri" w:cs="Tahoma"/>
          <w:color w:val="000000"/>
          <w:szCs w:val="18"/>
          <w:lang w:val="de-DE"/>
        </w:rPr>
        <w:t>Die Nutzungsrechte für Government Community Cloud-Dienste entsprechen den Nutzungsrechten ihrer mehrinstanzenfähigen Standardäquivalente.</w:t>
      </w:r>
      <w:r w:rsidR="009E4976" w:rsidRPr="00BB5519">
        <w:rPr>
          <w:rFonts w:eastAsia="Calibri" w:cs="Tahoma"/>
          <w:color w:val="000000"/>
          <w:szCs w:val="18"/>
          <w:lang w:val="de-DE"/>
        </w:rPr>
        <w:t xml:space="preserve"> </w:t>
      </w:r>
      <w:r w:rsidRPr="00BB5519">
        <w:rPr>
          <w:rFonts w:eastAsia="Calibri" w:cs="Tahoma"/>
          <w:color w:val="000000"/>
          <w:szCs w:val="18"/>
          <w:lang w:val="de-DE"/>
        </w:rPr>
        <w:t>Government Community Cloud-Dienste sind zum jetzigen Zeitpunkt nicht zur Lizenzreservierung und Übergängen berechtigt.</w:t>
      </w:r>
    </w:p>
    <w:p w:rsidR="00B23BE6" w:rsidRPr="00BB5519" w:rsidRDefault="00B23BE6" w:rsidP="00D70D2C">
      <w:pPr>
        <w:ind w:left="540"/>
        <w:rPr>
          <w:lang w:val="de-DE"/>
        </w:rPr>
      </w:pPr>
    </w:p>
    <w:p w:rsidR="00EC1F23" w:rsidRPr="00BB5519" w:rsidRDefault="00EC1F23" w:rsidP="0084072C">
      <w:pPr>
        <w:pStyle w:val="Heading2"/>
        <w:ind w:left="0"/>
        <w:rPr>
          <w:lang w:val="de-DE"/>
        </w:rPr>
      </w:pPr>
    </w:p>
    <w:p w:rsidR="00EC1F23" w:rsidRPr="00BB5519" w:rsidRDefault="00F66FB0" w:rsidP="00F67384">
      <w:pPr>
        <w:pStyle w:val="Heading2"/>
        <w:keepNext/>
        <w:keepLines/>
        <w:pageBreakBefore/>
        <w:ind w:left="234" w:hanging="234"/>
      </w:pPr>
      <w:bookmarkStart w:id="1250" w:name="_45_Exchange_Hosted"/>
      <w:bookmarkStart w:id="1251" w:name="_Toc336338306"/>
      <w:bookmarkStart w:id="1252" w:name="_Toc354055001"/>
      <w:bookmarkStart w:id="1253" w:name="Srv_44ExchHostArchiveandStorage"/>
      <w:bookmarkEnd w:id="1250"/>
      <w:r w:rsidRPr="00BB5519">
        <w:rPr>
          <w:rFonts w:ascii="Tahoma" w:hAnsi="Tahoma" w:cs="Tahoma"/>
          <w:color w:val="F26200"/>
          <w:sz w:val="20"/>
          <w:vertAlign w:val="superscript"/>
        </w:rPr>
        <w:lastRenderedPageBreak/>
        <w:t>46</w:t>
      </w:r>
      <w:r w:rsidRPr="00BB5519">
        <w:rPr>
          <w:rFonts w:ascii="Tahoma" w:hAnsi="Tahoma" w:cs="Tahoma"/>
          <w:color w:val="F26200"/>
        </w:rPr>
        <w:t xml:space="preserve"> </w:t>
      </w:r>
      <w:r w:rsidRPr="00BB5519">
        <w:rPr>
          <w:rFonts w:ascii="Tahoma" w:hAnsi="Tahoma" w:cs="Tahoma"/>
          <w:color w:val="F26200"/>
          <w:sz w:val="22"/>
        </w:rPr>
        <w:t>Exchange Hosted Archive (Nutzer-AL), Exchange Hosted Archive Extra Storage (Add-On-AL)</w:t>
      </w:r>
      <w:bookmarkEnd w:id="1251"/>
      <w:bookmarkEnd w:id="1252"/>
      <w:r w:rsidRPr="00BB5519">
        <w:rPr>
          <w:rFonts w:ascii="Tahoma" w:hAnsi="Tahoma" w:cs="Tahoma"/>
          <w:color w:val="F26200"/>
          <w:sz w:val="22"/>
        </w:rPr>
        <w:t xml:space="preserve"> </w:t>
      </w:r>
      <w:bookmarkEnd w:id="1253"/>
    </w:p>
    <w:p w:rsidR="00EC1F23" w:rsidRPr="00BB5519" w:rsidRDefault="00EC1F23" w:rsidP="00872341"/>
    <w:p w:rsidR="00EC1F23" w:rsidRPr="00BB5519" w:rsidRDefault="00EC1F23" w:rsidP="0084072C">
      <w:pPr>
        <w:spacing w:after="60"/>
        <w:ind w:left="720"/>
        <w:rPr>
          <w:lang w:val="de-DE"/>
        </w:rPr>
      </w:pPr>
      <w:r w:rsidRPr="00BB5519">
        <w:rPr>
          <w:rFonts w:eastAsia="Calibri" w:cs="Tahoma"/>
          <w:b/>
          <w:bCs/>
          <w:iCs/>
          <w:color w:val="000000"/>
          <w:lang w:val="de-DE"/>
        </w:rPr>
        <w:t>1. Mai 2011 Lizenzgewährung für Exchange Hosted Archive-Kunden</w:t>
      </w:r>
      <w:r w:rsidRPr="00BB5519">
        <w:rPr>
          <w:rFonts w:eastAsia="Calibri" w:cs="Tahoma"/>
          <w:b/>
          <w:iCs/>
          <w:color w:val="000000"/>
          <w:lang w:val="de-DE"/>
        </w:rPr>
        <w:t xml:space="preserve"> </w:t>
      </w:r>
    </w:p>
    <w:p w:rsidR="00EC1F23" w:rsidRPr="00BB5519" w:rsidRDefault="00EC1F23" w:rsidP="00AD7532">
      <w:pPr>
        <w:ind w:left="720"/>
        <w:rPr>
          <w:lang w:val="de-DE"/>
        </w:rPr>
      </w:pPr>
      <w:r w:rsidRPr="00BB5519">
        <w:rPr>
          <w:rFonts w:eastAsia="Calibri" w:cs="Tahoma"/>
          <w:iCs/>
          <w:color w:val="000000"/>
          <w:lang w:val="de-DE"/>
        </w:rPr>
        <w:t>Kunden wird eine zusätzliche Anzahl von Lizenzen („zusätzliche Lizenzen“) gewährt, die 15 % der Anzahl von Lizenzen für Exchange Hosted Archive (EHA) entspricht, die sie erworben haben und die am 1.</w:t>
      </w:r>
      <w:r w:rsidR="00AD7532">
        <w:rPr>
          <w:rFonts w:eastAsia="Calibri" w:cs="Tahoma"/>
          <w:iCs/>
          <w:color w:val="000000"/>
          <w:lang w:val="de-DE"/>
        </w:rPr>
        <w:t> </w:t>
      </w:r>
      <w:r w:rsidRPr="00BB5519">
        <w:rPr>
          <w:rFonts w:eastAsia="Calibri" w:cs="Tahoma"/>
          <w:iCs/>
          <w:color w:val="000000"/>
          <w:lang w:val="de-DE"/>
        </w:rPr>
        <w:t>Mai</w:t>
      </w:r>
      <w:r w:rsidR="00AD7532">
        <w:rPr>
          <w:rFonts w:eastAsia="Calibri" w:cs="Tahoma"/>
          <w:iCs/>
          <w:color w:val="000000"/>
          <w:lang w:val="de-DE"/>
        </w:rPr>
        <w:t> </w:t>
      </w:r>
      <w:r w:rsidRPr="00BB5519">
        <w:rPr>
          <w:rFonts w:eastAsia="Calibri" w:cs="Tahoma"/>
          <w:iCs/>
          <w:color w:val="000000"/>
          <w:lang w:val="de-DE"/>
        </w:rPr>
        <w:t>2011 aktiv sind („qualifizierende Lizenzen“).</w:t>
      </w:r>
      <w:r w:rsidR="009E4976" w:rsidRPr="00BB5519">
        <w:rPr>
          <w:rFonts w:eastAsia="Calibri" w:cs="Tahoma"/>
          <w:iCs/>
          <w:color w:val="000000"/>
          <w:lang w:val="de-DE"/>
        </w:rPr>
        <w:t xml:space="preserve"> </w:t>
      </w:r>
      <w:r w:rsidRPr="00BB5519">
        <w:rPr>
          <w:rFonts w:eastAsia="Calibri" w:cs="Tahoma"/>
          <w:iCs/>
          <w:color w:val="000000"/>
          <w:lang w:val="de-DE"/>
        </w:rPr>
        <w:t>Solange die qualifizierenden Lizenzen eines Kunden aktiv bleiben, bleiben ihre zusätzlichen Lizenzen bis zum Ende der Abonnementlaufzeit gültig, das mit dem Datum der Migration des Kunden von EHA auf einen Folge-Onlinedienst übereinstimmt, wie in der Migrationstabelle unten angegeben.</w:t>
      </w:r>
      <w:r w:rsidR="009E4976" w:rsidRPr="00BB5519">
        <w:rPr>
          <w:rFonts w:eastAsia="Calibri" w:cs="Tahoma"/>
          <w:iCs/>
          <w:color w:val="000000"/>
          <w:lang w:val="de-DE"/>
        </w:rPr>
        <w:t xml:space="preserve"> </w:t>
      </w:r>
      <w:r w:rsidRPr="00BB5519">
        <w:rPr>
          <w:rFonts w:eastAsia="Calibri" w:cs="Tahoma"/>
          <w:iCs/>
          <w:color w:val="000000"/>
          <w:lang w:val="de-DE"/>
        </w:rPr>
        <w:t xml:space="preserve">Kunden, die den Folge-Onlinedienst nach Ablauf ihrer zusätzlichen Lizenzen weiterhin nutzen möchten, müssen eine Anzahl von Lizenzen bestellen, die der Gesamtzahl der Nutzer entspricht, die auf diesen Onlinedienst zugreifen oder ihn nutzen werden. </w:t>
      </w:r>
    </w:p>
    <w:p w:rsidR="00BA1490" w:rsidRPr="00BB5519" w:rsidRDefault="00BA1490" w:rsidP="0084072C">
      <w:pPr>
        <w:rPr>
          <w:lang w:val="de-DE"/>
        </w:rPr>
      </w:pPr>
    </w:p>
    <w:p w:rsidR="00EA6918" w:rsidRPr="00BB5519" w:rsidRDefault="00EC1F23" w:rsidP="0084072C">
      <w:pPr>
        <w:spacing w:after="60"/>
        <w:ind w:left="720"/>
        <w:rPr>
          <w:lang w:val="de-DE"/>
        </w:rPr>
      </w:pPr>
      <w:r w:rsidRPr="00BB5519">
        <w:rPr>
          <w:rFonts w:eastAsia="Calibri" w:cs="Tahoma"/>
          <w:b/>
          <w:bCs/>
          <w:iCs/>
          <w:color w:val="000000"/>
          <w:lang w:val="de-DE"/>
        </w:rPr>
        <w:t>Migrationslizenzgewährung für Exchange Hosted Archive-Kunden</w:t>
      </w:r>
    </w:p>
    <w:p w:rsidR="00EC1F23" w:rsidRPr="00BB5519" w:rsidRDefault="00EC1F23" w:rsidP="00E62BC4">
      <w:pPr>
        <w:ind w:left="720"/>
        <w:rPr>
          <w:lang w:val="de-DE"/>
        </w:rPr>
      </w:pPr>
      <w:r w:rsidRPr="00BB5519">
        <w:rPr>
          <w:rFonts w:eastAsia="Calibri" w:cs="Tahoma"/>
          <w:iCs/>
          <w:color w:val="000000"/>
          <w:lang w:val="de-DE"/>
        </w:rPr>
        <w:t>EHA-Kunden, die auf Folge-Onlinedienste migrieren, wird eine Gesamtzahl von Ersatzlizenzen für die Folge-Onlinedienste gewährt, die ihrer Gesamtzahl von qualifizierenden und zusätzlichen EHA-Lizenzen wie in der Tabelle unten dargestellt entspricht.</w:t>
      </w:r>
      <w:r w:rsidR="009E4976" w:rsidRPr="00BB5519">
        <w:rPr>
          <w:rFonts w:eastAsia="Calibri" w:cs="Tahoma"/>
          <w:iCs/>
          <w:color w:val="000000"/>
          <w:lang w:val="de-DE"/>
        </w:rPr>
        <w:t xml:space="preserve"> </w:t>
      </w:r>
      <w:r w:rsidRPr="00BB5519">
        <w:rPr>
          <w:rFonts w:eastAsia="Calibri" w:cs="Tahoma"/>
          <w:iCs/>
          <w:color w:val="000000"/>
          <w:lang w:val="de-DE"/>
        </w:rPr>
        <w:t xml:space="preserve">Diese Ersatzlizenzen laufen am Ende der Abonnementlaufzeit ab, das mit dem Datum der Migration des Kunden von EHA auf die Folge-Onlinedienste übereinstimmt. </w:t>
      </w:r>
    </w:p>
    <w:p w:rsidR="00EC1F23" w:rsidRPr="00BB5519" w:rsidRDefault="00EC1F23" w:rsidP="00E62BC4">
      <w:pPr>
        <w:ind w:left="720"/>
        <w:rPr>
          <w:lang w:val="de-DE"/>
        </w:rPr>
      </w:pPr>
    </w:p>
    <w:p w:rsidR="002512D3" w:rsidRPr="00BB5519" w:rsidRDefault="00EC1F23" w:rsidP="003165D6">
      <w:pPr>
        <w:ind w:left="720"/>
        <w:rPr>
          <w:lang w:val="de-DE"/>
        </w:rPr>
      </w:pPr>
      <w:r w:rsidRPr="00BB5519">
        <w:rPr>
          <w:rFonts w:eastAsia="Calibri" w:cs="Tahoma"/>
          <w:iCs/>
          <w:color w:val="000000"/>
          <w:lang w:val="de-DE"/>
        </w:rPr>
        <w:t>Nutzer-ALs für Exchange Online Plan 2 unter diesem Migrationsangebot müssen dem Nutzer zugewiesen werden, dem die entsprechende Nutzer-AL für Exchange Online Standard, Exchange Online Plan 2, BPOS Standard, Office 365 Enterprise E1, BPOS Deskless, Exchange Online Deskless oder Exchange Online Kiosk zugewiesen ist.</w:t>
      </w:r>
      <w:r w:rsidR="009E4976" w:rsidRPr="00BB5519">
        <w:rPr>
          <w:rFonts w:eastAsia="Calibri" w:cs="Tahoma"/>
          <w:iCs/>
          <w:color w:val="000000"/>
          <w:lang w:val="de-DE"/>
        </w:rPr>
        <w:t xml:space="preserve"> </w:t>
      </w:r>
      <w:r w:rsidRPr="00BB5519">
        <w:rPr>
          <w:rFonts w:eastAsia="Calibri" w:cs="Tahoma"/>
          <w:iCs/>
          <w:color w:val="000000"/>
          <w:lang w:val="de-DE"/>
        </w:rPr>
        <w:t xml:space="preserve">Wenn die entsprechende Nutzer-AL einem neuen Nutzer neu zugewiesen wird, dann muss auch der Exchange Online Plan 2 diesem neuen Nutzer neu zugewiesen werden. </w:t>
      </w:r>
    </w:p>
    <w:p w:rsidR="00EC1F23" w:rsidRPr="00BB5519" w:rsidRDefault="00EC1F23" w:rsidP="00EC1F23">
      <w:pPr>
        <w:rPr>
          <w:lang w:val="de-D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315"/>
      </w:tblGrid>
      <w:tr w:rsidR="00EC1F23" w:rsidRPr="00BB5519" w:rsidTr="00AD7532">
        <w:trPr>
          <w:jc w:val="center"/>
        </w:trPr>
        <w:tc>
          <w:tcPr>
            <w:tcW w:w="8275" w:type="dxa"/>
            <w:gridSpan w:val="2"/>
            <w:shd w:val="clear" w:color="auto" w:fill="FABF8F"/>
          </w:tcPr>
          <w:p w:rsidR="00EC1F23" w:rsidRPr="00BB5519" w:rsidRDefault="00EC1F23" w:rsidP="00022FBE">
            <w:pPr>
              <w:jc w:val="center"/>
              <w:rPr>
                <w:rFonts w:eastAsia="Calibri" w:cs="Tahoma"/>
                <w:b/>
                <w:iCs/>
                <w:color w:val="000000"/>
              </w:rPr>
            </w:pPr>
            <w:r w:rsidRPr="00BB5519">
              <w:rPr>
                <w:rFonts w:eastAsia="Calibri" w:cs="Tahoma"/>
                <w:b/>
                <w:iCs/>
                <w:color w:val="000000"/>
              </w:rPr>
              <w:t>Migrationslizenzgewährung</w:t>
            </w:r>
          </w:p>
        </w:tc>
      </w:tr>
      <w:tr w:rsidR="00EC1F23" w:rsidRPr="00BB5519" w:rsidTr="00AD7532">
        <w:trPr>
          <w:jc w:val="center"/>
        </w:trPr>
        <w:tc>
          <w:tcPr>
            <w:tcW w:w="3960" w:type="dxa"/>
            <w:shd w:val="clear" w:color="auto" w:fill="auto"/>
          </w:tcPr>
          <w:p w:rsidR="00EC1F23" w:rsidRPr="00BB5519" w:rsidRDefault="00EC1F23" w:rsidP="00022FBE">
            <w:pPr>
              <w:jc w:val="center"/>
              <w:rPr>
                <w:rFonts w:eastAsia="Calibri" w:cs="Tahoma"/>
                <w:iCs/>
                <w:color w:val="000000"/>
              </w:rPr>
            </w:pPr>
            <w:r w:rsidRPr="00BB5519">
              <w:rPr>
                <w:rFonts w:eastAsia="Calibri" w:cs="Tahoma"/>
                <w:iCs/>
                <w:color w:val="000000"/>
              </w:rPr>
              <w:t>Qualifizierende Lizenzposition</w:t>
            </w:r>
          </w:p>
        </w:tc>
        <w:tc>
          <w:tcPr>
            <w:tcW w:w="4315" w:type="dxa"/>
            <w:shd w:val="clear" w:color="auto" w:fill="auto"/>
          </w:tcPr>
          <w:p w:rsidR="00EC1F23" w:rsidRPr="00BB5519" w:rsidRDefault="00EC1F23" w:rsidP="00022FBE">
            <w:pPr>
              <w:jc w:val="center"/>
              <w:rPr>
                <w:rFonts w:eastAsia="Calibri" w:cs="Tahoma"/>
                <w:iCs/>
                <w:color w:val="000000"/>
              </w:rPr>
            </w:pPr>
            <w:r w:rsidRPr="00BB5519">
              <w:rPr>
                <w:rFonts w:eastAsia="Calibri" w:cs="Tahoma"/>
                <w:iCs/>
                <w:color w:val="000000"/>
              </w:rPr>
              <w:t>Lizenzgewährung</w:t>
            </w:r>
          </w:p>
        </w:tc>
      </w:tr>
      <w:tr w:rsidR="00EC1F23" w:rsidRPr="00D244F0" w:rsidTr="00AD7532">
        <w:trPr>
          <w:jc w:val="center"/>
        </w:trPr>
        <w:tc>
          <w:tcPr>
            <w:tcW w:w="3960" w:type="dxa"/>
            <w:shd w:val="clear" w:color="auto" w:fill="auto"/>
          </w:tcPr>
          <w:p w:rsidR="00EE53FF" w:rsidRPr="00BB5519" w:rsidRDefault="00EE53FF" w:rsidP="001051D1">
            <w:pPr>
              <w:spacing w:before="60" w:after="60"/>
              <w:ind w:left="158" w:right="346"/>
              <w:rPr>
                <w:lang w:val="de-DE"/>
              </w:rPr>
            </w:pPr>
            <w:r w:rsidRPr="00BB5519">
              <w:rPr>
                <w:rFonts w:eastAsia="Calibri" w:cs="Tahoma"/>
                <w:iCs/>
                <w:color w:val="000000"/>
                <w:lang w:val="de-DE"/>
              </w:rPr>
              <w:t>EHA-Nutzer-AL (in Verbindung mit einer lokalen Exchange-CAL genutzt)</w:t>
            </w:r>
          </w:p>
          <w:p w:rsidR="00EC1F23" w:rsidRPr="00BB5519" w:rsidRDefault="00EC1F23" w:rsidP="001051D1">
            <w:pPr>
              <w:spacing w:before="60" w:after="60"/>
              <w:ind w:left="158" w:right="346"/>
              <w:rPr>
                <w:lang w:val="de-DE"/>
              </w:rPr>
            </w:pPr>
            <w:r w:rsidRPr="00BB5519">
              <w:rPr>
                <w:rFonts w:eastAsia="Calibri" w:cs="Tahoma"/>
                <w:iCs/>
                <w:color w:val="000000"/>
                <w:lang w:val="de-DE"/>
              </w:rPr>
              <w:t>EHA-Nutzer-AL (in Verbindung mit Nutzer-ALs für Exchange Online Standard, Exchange Online Plan</w:t>
            </w:r>
          </w:p>
          <w:p w:rsidR="00EC1F23" w:rsidRPr="00BB5519" w:rsidRDefault="00EC1F23" w:rsidP="001051D1">
            <w:pPr>
              <w:spacing w:before="60" w:after="60"/>
              <w:ind w:left="158" w:right="346"/>
              <w:rPr>
                <w:rFonts w:eastAsia="Calibri" w:cs="Tahoma"/>
                <w:iCs/>
                <w:color w:val="000000"/>
                <w:lang w:val="de-DE"/>
              </w:rPr>
            </w:pPr>
            <w:r w:rsidRPr="00BB5519">
              <w:rPr>
                <w:rFonts w:eastAsia="Calibri" w:cs="Tahoma"/>
                <w:iCs/>
                <w:color w:val="000000"/>
                <w:lang w:val="de-DE"/>
              </w:rPr>
              <w:t>2, BPOS Standard, Office 365 E1, BPOS Deskless, Exchange Online Deskless oder Exchange Online Kiosk genutzt)</w:t>
            </w:r>
          </w:p>
        </w:tc>
        <w:tc>
          <w:tcPr>
            <w:tcW w:w="4315" w:type="dxa"/>
            <w:shd w:val="clear" w:color="auto" w:fill="auto"/>
          </w:tcPr>
          <w:p w:rsidR="00EC1F23" w:rsidRPr="00BB5519" w:rsidRDefault="00EC1F23" w:rsidP="001051D1">
            <w:pPr>
              <w:numPr>
                <w:ilvl w:val="0"/>
                <w:numId w:val="58"/>
              </w:numPr>
              <w:spacing w:before="60" w:after="60"/>
              <w:ind w:right="342"/>
              <w:rPr>
                <w:rFonts w:eastAsia="Calibri" w:cs="Tahoma"/>
                <w:iCs/>
                <w:color w:val="000000"/>
                <w:lang w:val="de-DE"/>
              </w:rPr>
            </w:pPr>
            <w:r w:rsidRPr="00BB5519">
              <w:rPr>
                <w:rFonts w:eastAsia="Calibri" w:cs="Tahoma"/>
                <w:iCs/>
                <w:color w:val="000000"/>
                <w:lang w:val="de-DE"/>
              </w:rPr>
              <w:t>Nutzer-AL für Exchange Online Plan 2</w:t>
            </w:r>
          </w:p>
        </w:tc>
      </w:tr>
    </w:tbl>
    <w:p w:rsidR="00DD39C7" w:rsidRPr="00BB5519" w:rsidRDefault="00DD39C7" w:rsidP="0084072C">
      <w:pPr>
        <w:rPr>
          <w:lang w:val="de-DE"/>
        </w:rPr>
      </w:pPr>
    </w:p>
    <w:p w:rsidR="00DD39C7" w:rsidRPr="00BB5519" w:rsidRDefault="00DD39C7" w:rsidP="0084072C">
      <w:pPr>
        <w:spacing w:after="60"/>
        <w:ind w:left="720"/>
        <w:rPr>
          <w:lang w:val="de-DE"/>
        </w:rPr>
      </w:pPr>
      <w:r w:rsidRPr="00BB5519">
        <w:rPr>
          <w:b/>
          <w:color w:val="000000"/>
          <w:lang w:val="de-DE"/>
        </w:rPr>
        <w:t>Kontinuierliche Verwendung von Exchange Hosted Archive (EHA) mit aktiven Abonnements für Business Productivity Online Subscription (BPOS) und Exchange Online Standard</w:t>
      </w:r>
    </w:p>
    <w:p w:rsidR="00DD39C7" w:rsidRPr="00BB5519" w:rsidRDefault="00DD39C7" w:rsidP="00AD7532">
      <w:pPr>
        <w:ind w:left="720"/>
        <w:rPr>
          <w:lang w:val="de-DE"/>
        </w:rPr>
      </w:pPr>
      <w:r w:rsidRPr="00BB5519">
        <w:rPr>
          <w:iCs/>
          <w:color w:val="000000"/>
          <w:lang w:val="de-DE"/>
        </w:rPr>
        <w:t>Kunden mit ablaufenden EHA-Abonnements, die noch nicht auf Office 365 migriert wurden und derzeit auf</w:t>
      </w:r>
      <w:r w:rsidR="00AD7532">
        <w:rPr>
          <w:iCs/>
          <w:color w:val="000000"/>
          <w:lang w:val="de-DE"/>
        </w:rPr>
        <w:t> </w:t>
      </w:r>
      <w:r w:rsidRPr="00BB5519">
        <w:rPr>
          <w:iCs/>
          <w:color w:val="000000"/>
          <w:lang w:val="de-DE"/>
        </w:rPr>
        <w:t>BPOS oder Exchange Online Standard bereitgestellt sind, sind berechtigt, EHA nach Ablauf ihres EHA-Abonnements und bis (i) zu ihrer Migration auf Office 365 oder (ii) zum Ablauf ihres Abonnements für BPOS</w:t>
      </w:r>
      <w:r w:rsidR="00AD7532">
        <w:rPr>
          <w:iCs/>
          <w:color w:val="000000"/>
          <w:lang w:val="de-DE"/>
        </w:rPr>
        <w:t> </w:t>
      </w:r>
      <w:r w:rsidRPr="00BB5519">
        <w:rPr>
          <w:iCs/>
          <w:color w:val="000000"/>
          <w:lang w:val="de-DE"/>
        </w:rPr>
        <w:t>oder Exchange Online Standard zu verwenden, wobei das frühere Datum maßgeblich ist.</w:t>
      </w:r>
      <w:r w:rsidR="009E4976" w:rsidRPr="00BB5519">
        <w:rPr>
          <w:iCs/>
          <w:color w:val="000000"/>
          <w:lang w:val="de-DE"/>
        </w:rPr>
        <w:t xml:space="preserve"> </w:t>
      </w:r>
      <w:r w:rsidRPr="00BB5519">
        <w:rPr>
          <w:iCs/>
          <w:color w:val="000000"/>
          <w:lang w:val="de-DE"/>
        </w:rPr>
        <w:t>Die Verwendung von EHA im Rahmen dieses Angebots durch Kunden unterliegt den Bestimmungen ihres Volumenlizenzvertrages und den EHA-Lizenzbestimmungen in den Produktbenutzungsrechten für Januar 2011. Kunden verfügen über eine zeitlich beschränkte EHA-Nutzer- oder -Geräte-Abonnementlizenz für jede ihrer ablaufenden EHA-Nutzer- oder -Geräte-Abonnementlizenzen. Diese zeitlich beschränkten EHA-Nutzer- und -Geräte-Abonnementlizenzen dürfen nur Nutzern und Geräten zugewiesen werden, denen BPOS- oder Exchange Online Standard-Lizenzen zugewiesen wurden.</w:t>
      </w:r>
      <w:r w:rsidR="009E4976" w:rsidRPr="00BB5519">
        <w:rPr>
          <w:iCs/>
          <w:color w:val="000000"/>
          <w:lang w:val="de-DE"/>
        </w:rPr>
        <w:t xml:space="preserve"> </w:t>
      </w:r>
      <w:r w:rsidRPr="00BB5519">
        <w:rPr>
          <w:iCs/>
          <w:color w:val="000000"/>
          <w:lang w:val="de-DE"/>
        </w:rPr>
        <w:t>EHA wird wie besehen und ohne Gewährleistung jeglicher Art lizenziert.</w:t>
      </w:r>
      <w:r w:rsidR="009E4976" w:rsidRPr="00BB5519">
        <w:rPr>
          <w:iCs/>
          <w:color w:val="000000"/>
          <w:lang w:val="de-DE"/>
        </w:rPr>
        <w:t xml:space="preserve"> </w:t>
      </w:r>
    </w:p>
    <w:p w:rsidR="00DD39C7" w:rsidRPr="00BB5519" w:rsidRDefault="00DD39C7" w:rsidP="00DD39C7">
      <w:pPr>
        <w:ind w:left="720"/>
        <w:rPr>
          <w:lang w:val="de-DE"/>
        </w:rPr>
      </w:pPr>
    </w:p>
    <w:p w:rsidR="00023FE7" w:rsidRPr="00BB5519" w:rsidRDefault="00023FE7" w:rsidP="00B52F10">
      <w:pPr>
        <w:pStyle w:val="Heading2"/>
        <w:rPr>
          <w:lang w:val="de-DE"/>
        </w:rPr>
      </w:pPr>
    </w:p>
    <w:p w:rsidR="00827D38" w:rsidRPr="00BB5519" w:rsidRDefault="00F66FB0" w:rsidP="00AD7532">
      <w:pPr>
        <w:pStyle w:val="Heading2"/>
        <w:keepNext/>
        <w:keepLines/>
        <w:ind w:left="0"/>
        <w:rPr>
          <w:lang w:val="de-DE"/>
        </w:rPr>
      </w:pPr>
      <w:bookmarkStart w:id="1254" w:name="_46_Exchange_Hosted"/>
      <w:bookmarkStart w:id="1255" w:name="_Toc336338307"/>
      <w:bookmarkStart w:id="1256" w:name="_Toc354055002"/>
      <w:bookmarkStart w:id="1257" w:name="Srv_39ExchangeOnDeskWork"/>
      <w:bookmarkEnd w:id="1254"/>
      <w:r w:rsidRPr="00BB5519">
        <w:rPr>
          <w:rFonts w:ascii="Tahoma" w:hAnsi="Tahoma" w:cs="Tahoma"/>
          <w:color w:val="E25B00"/>
          <w:sz w:val="22"/>
          <w:szCs w:val="22"/>
          <w:vertAlign w:val="superscript"/>
          <w:lang w:val="de-DE"/>
        </w:rPr>
        <w:lastRenderedPageBreak/>
        <w:t>47</w:t>
      </w:r>
      <w:r w:rsidRPr="00BB5519">
        <w:rPr>
          <w:rFonts w:ascii="Tahoma" w:hAnsi="Tahoma" w:cs="Tahoma"/>
          <w:sz w:val="22"/>
          <w:szCs w:val="22"/>
          <w:lang w:val="de-DE"/>
        </w:rPr>
        <w:t xml:space="preserve"> </w:t>
      </w:r>
      <w:r w:rsidRPr="00BB5519">
        <w:rPr>
          <w:rFonts w:ascii="Tahoma" w:hAnsi="Tahoma" w:cs="Tahoma"/>
          <w:color w:val="F66400"/>
          <w:sz w:val="22"/>
          <w:szCs w:val="22"/>
          <w:lang w:val="de-DE"/>
        </w:rPr>
        <w:t>Exchange Hosted Encryption (Nutzer-AL)</w:t>
      </w:r>
      <w:bookmarkEnd w:id="1255"/>
      <w:bookmarkEnd w:id="1256"/>
    </w:p>
    <w:p w:rsidR="00827D38" w:rsidRPr="00BB5519" w:rsidRDefault="00827D38" w:rsidP="00AD7532">
      <w:pPr>
        <w:keepNext/>
        <w:keepLines/>
        <w:ind w:left="900"/>
        <w:rPr>
          <w:lang w:val="de-DE"/>
        </w:rPr>
      </w:pPr>
    </w:p>
    <w:p w:rsidR="00827D38" w:rsidRPr="00BB5519" w:rsidRDefault="00827D38" w:rsidP="00AD7532">
      <w:pPr>
        <w:keepNext/>
        <w:keepLines/>
        <w:ind w:left="720"/>
        <w:rPr>
          <w:lang w:val="de-DE"/>
        </w:rPr>
      </w:pPr>
      <w:r w:rsidRPr="00BB5519">
        <w:rPr>
          <w:lang w:val="de-DE"/>
        </w:rPr>
        <w:t>Kunden verwenden für weitere Bestellungen denselben aktiven Select-Vertrag, Konzernvertrag oder Open Value-Vertrag wie bei der Anfangsbestellung.</w:t>
      </w:r>
    </w:p>
    <w:p w:rsidR="00827D38" w:rsidRPr="00BB5519" w:rsidRDefault="00827D38" w:rsidP="00AD7532">
      <w:pPr>
        <w:keepNext/>
        <w:keepLines/>
        <w:ind w:left="720"/>
        <w:rPr>
          <w:lang w:val="de-DE"/>
        </w:rPr>
      </w:pPr>
    </w:p>
    <w:p w:rsidR="00023FE7" w:rsidRPr="00BB5519" w:rsidRDefault="00827D38" w:rsidP="00E62BC4">
      <w:pPr>
        <w:ind w:left="720"/>
        <w:rPr>
          <w:lang w:val="de-DE"/>
        </w:rPr>
      </w:pPr>
      <w:r w:rsidRPr="00BB5519">
        <w:rPr>
          <w:lang w:val="de-DE"/>
        </w:rPr>
        <w:t xml:space="preserve">Preise und Zahlungsbestimmungen für Onlinedienste finden Sie in </w:t>
      </w:r>
      <w:hyperlink w:anchor="_Section_5_–" w:history="1">
        <w:r w:rsidRPr="00BB5519">
          <w:rPr>
            <w:rStyle w:val="Hyperlink"/>
            <w:lang w:val="de-DE"/>
          </w:rPr>
          <w:t>Abschnitt 5</w:t>
        </w:r>
      </w:hyperlink>
      <w:r w:rsidRPr="00BB5519">
        <w:rPr>
          <w:lang w:val="de-DE"/>
        </w:rPr>
        <w:t>.</w:t>
      </w:r>
    </w:p>
    <w:p w:rsidR="00023FE7" w:rsidRPr="00BB5519" w:rsidRDefault="00F66FB0">
      <w:pPr>
        <w:pStyle w:val="Heading3"/>
        <w:rPr>
          <w:lang w:val="de-DE"/>
        </w:rPr>
      </w:pPr>
      <w:bookmarkStart w:id="1258" w:name="_48_Exchange_Online_1"/>
      <w:bookmarkStart w:id="1259" w:name="_Toc336338308"/>
      <w:bookmarkStart w:id="1260" w:name="_Toc354055003"/>
      <w:bookmarkStart w:id="1261" w:name="Srv_40ExchangeOnDeskWork"/>
      <w:bookmarkStart w:id="1262" w:name="Srv_45ExchangeOnDeskWork"/>
      <w:bookmarkEnd w:id="1258"/>
      <w:r w:rsidRPr="00BB5519">
        <w:rPr>
          <w:rFonts w:ascii="Tahoma" w:hAnsi="Tahoma"/>
          <w:caps/>
          <w:color w:val="F66400"/>
          <w:sz w:val="22"/>
          <w:vertAlign w:val="superscript"/>
          <w:lang w:val="de-DE"/>
        </w:rPr>
        <w:t>48</w:t>
      </w:r>
      <w:r w:rsidRPr="00BB5519">
        <w:rPr>
          <w:rFonts w:ascii="Tahoma" w:hAnsi="Tahoma"/>
          <w:color w:val="F66400"/>
          <w:sz w:val="22"/>
          <w:lang w:val="de-DE"/>
        </w:rPr>
        <w:t xml:space="preserve"> Exchange Online Kiosk (Nutzer-AL)</w:t>
      </w:r>
      <w:bookmarkEnd w:id="1259"/>
      <w:bookmarkEnd w:id="1260"/>
    </w:p>
    <w:bookmarkEnd w:id="1257"/>
    <w:bookmarkEnd w:id="1261"/>
    <w:bookmarkEnd w:id="1262"/>
    <w:p w:rsidR="00023FE7" w:rsidRPr="00BB5519" w:rsidRDefault="00023FE7">
      <w:pPr>
        <w:pStyle w:val="EndnoteText"/>
        <w:rPr>
          <w:lang w:val="de-DE"/>
        </w:rPr>
      </w:pPr>
    </w:p>
    <w:p w:rsidR="00040ADC" w:rsidRPr="00BB5519" w:rsidRDefault="00040ADC" w:rsidP="00E62BC4">
      <w:pPr>
        <w:ind w:left="720"/>
        <w:rPr>
          <w:lang w:val="de-DE"/>
        </w:rPr>
      </w:pPr>
      <w:r w:rsidRPr="00BB5519">
        <w:rPr>
          <w:rFonts w:cs="Tahoma"/>
          <w:color w:val="000000"/>
          <w:szCs w:val="18"/>
          <w:lang w:val="de-DE"/>
        </w:rPr>
        <w:t>Ungeachtet gegenteiliger Bestimmungen in den Lizenzverträgen von Kunden umfassen qualifizierte Nutzer keine Nutzer mit Lizenzen für Exchange Online Kiosk.</w:t>
      </w:r>
    </w:p>
    <w:p w:rsidR="00040ADC" w:rsidRPr="00BB5519" w:rsidRDefault="00040ADC" w:rsidP="00E62BC4">
      <w:pPr>
        <w:ind w:left="720"/>
        <w:rPr>
          <w:lang w:val="de-DE"/>
        </w:rPr>
      </w:pPr>
    </w:p>
    <w:p w:rsidR="00040ADC" w:rsidRPr="00BB5519" w:rsidRDefault="00040ADC" w:rsidP="00E62BC4">
      <w:pPr>
        <w:ind w:left="720"/>
        <w:rPr>
          <w:lang w:val="de-DE"/>
        </w:rPr>
      </w:pPr>
      <w:r w:rsidRPr="00BB5519">
        <w:rPr>
          <w:rFonts w:cs="Tahoma"/>
          <w:color w:val="000000"/>
          <w:szCs w:val="18"/>
          <w:lang w:val="de-DE"/>
        </w:rPr>
        <w:t>Exchange Online Kiosk hieß zuvor Exchange Online Deskless Worker.</w:t>
      </w:r>
    </w:p>
    <w:p w:rsidR="00352135" w:rsidRPr="00BB5519" w:rsidRDefault="00352135" w:rsidP="00E62BC4">
      <w:pPr>
        <w:ind w:left="720"/>
        <w:rPr>
          <w:lang w:val="de-DE"/>
        </w:rPr>
      </w:pPr>
    </w:p>
    <w:p w:rsidR="00702931" w:rsidRPr="00BB5519" w:rsidRDefault="00702931" w:rsidP="00AF3B19">
      <w:pPr>
        <w:spacing w:after="60"/>
        <w:ind w:left="720"/>
      </w:pPr>
      <w:r w:rsidRPr="00BB5519">
        <w:rPr>
          <w:rFonts w:eastAsia="Calibri" w:cs="Tahoma"/>
          <w:b/>
          <w:color w:val="000000"/>
          <w:szCs w:val="18"/>
        </w:rPr>
        <w:t>Government Community Cloud (nur USA)</w:t>
      </w:r>
    </w:p>
    <w:p w:rsidR="00702931" w:rsidRPr="00BB5519" w:rsidRDefault="00702931" w:rsidP="00AD7532">
      <w:pPr>
        <w:ind w:left="720"/>
        <w:rPr>
          <w:lang w:val="de-DE"/>
        </w:rPr>
      </w:pPr>
      <w:r w:rsidRPr="00BB5519">
        <w:rPr>
          <w:rFonts w:eastAsia="Calibri" w:cs="Tahoma"/>
          <w:color w:val="000000"/>
          <w:szCs w:val="18"/>
        </w:rPr>
        <w:t>Einige Onlinedienste in der Office 365-Produktfamilie (darunter Exchange Online Kiosk) werden als Government Community Cloud-Dienste und Non-Government Community Cloud-Dienste angeboten.</w:t>
      </w:r>
      <w:r w:rsidR="009E4976" w:rsidRPr="00BB5519">
        <w:rPr>
          <w:rFonts w:eastAsia="Calibri" w:cs="Tahoma"/>
          <w:color w:val="000000"/>
          <w:szCs w:val="18"/>
        </w:rPr>
        <w:t xml:space="preserve"> </w:t>
      </w:r>
      <w:r w:rsidRPr="00BB5519">
        <w:rPr>
          <w:rFonts w:eastAsia="Calibri" w:cs="Tahoma"/>
          <w:color w:val="000000"/>
          <w:szCs w:val="18"/>
          <w:lang w:val="de-DE"/>
        </w:rPr>
        <w:t>Die</w:t>
      </w:r>
      <w:r w:rsidR="00AD7532">
        <w:rPr>
          <w:rFonts w:eastAsia="Calibri" w:cs="Tahoma"/>
          <w:color w:val="000000"/>
          <w:szCs w:val="18"/>
          <w:lang w:val="de-DE"/>
        </w:rPr>
        <w:t> </w:t>
      </w:r>
      <w:r w:rsidRPr="00BB5519">
        <w:rPr>
          <w:rFonts w:eastAsia="Calibri" w:cs="Tahoma"/>
          <w:color w:val="000000"/>
          <w:szCs w:val="18"/>
          <w:lang w:val="de-DE"/>
        </w:rPr>
        <w:t>Bereitstellung an Kunden kann in der einen oder anderen Form erfolgen, jedoch nicht als Kombination aus beidem.</w:t>
      </w:r>
      <w:r w:rsidR="009E4976" w:rsidRPr="00BB5519">
        <w:rPr>
          <w:rFonts w:eastAsia="Calibri" w:cs="Tahoma"/>
          <w:color w:val="000000"/>
          <w:szCs w:val="18"/>
          <w:lang w:val="de-DE"/>
        </w:rPr>
        <w:t xml:space="preserve"> </w:t>
      </w:r>
      <w:r w:rsidRPr="00BB551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9E4976" w:rsidRPr="00BB5519">
        <w:rPr>
          <w:rFonts w:eastAsia="Calibri" w:cs="Tahoma"/>
          <w:color w:val="000000"/>
          <w:szCs w:val="18"/>
          <w:lang w:val="de-DE"/>
        </w:rPr>
        <w:t xml:space="preserve"> </w:t>
      </w:r>
      <w:r w:rsidRPr="00BB5519">
        <w:rPr>
          <w:rFonts w:eastAsia="Calibri" w:cs="Tahoma"/>
          <w:color w:val="000000"/>
          <w:szCs w:val="18"/>
          <w:lang w:val="de-DE"/>
        </w:rPr>
        <w:t>Diese Beschränkung gilt für alle Onlinedienste, die zur Office 365-Produktfamilie gehören, darunter Exchange Online, SharePoint Online und Lync Online.</w:t>
      </w:r>
      <w:r w:rsidR="009E4976" w:rsidRPr="00BB5519">
        <w:rPr>
          <w:rFonts w:eastAsia="Calibri" w:cs="Tahoma"/>
          <w:color w:val="000000"/>
          <w:szCs w:val="18"/>
          <w:lang w:val="de-DE"/>
        </w:rPr>
        <w:t xml:space="preserve"> </w:t>
      </w:r>
    </w:p>
    <w:p w:rsidR="00702931" w:rsidRPr="00BB5519" w:rsidRDefault="00702931" w:rsidP="00E62BC4">
      <w:pPr>
        <w:ind w:left="720"/>
        <w:rPr>
          <w:lang w:val="de-DE"/>
        </w:rPr>
      </w:pPr>
    </w:p>
    <w:p w:rsidR="00702931" w:rsidRPr="00BB5519" w:rsidRDefault="00702931" w:rsidP="00E62BC4">
      <w:pPr>
        <w:ind w:left="720"/>
        <w:rPr>
          <w:lang w:val="de-DE"/>
        </w:rPr>
      </w:pPr>
      <w:r w:rsidRPr="00BB5519">
        <w:rPr>
          <w:rFonts w:eastAsia="Calibri" w:cs="Tahoma"/>
          <w:color w:val="000000"/>
          <w:szCs w:val="18"/>
          <w:lang w:val="de-DE"/>
        </w:rPr>
        <w:t>Wenn ein Onlinedienst in der Government Community Cloud bereitgestellt wird, bleibt er für die Dauer der Abonnementlaufzeit dort.</w:t>
      </w:r>
      <w:r w:rsidR="009E4976" w:rsidRPr="00BB5519">
        <w:rPr>
          <w:rFonts w:eastAsia="Calibri" w:cs="Tahoma"/>
          <w:color w:val="000000"/>
          <w:szCs w:val="18"/>
          <w:lang w:val="de-DE"/>
        </w:rPr>
        <w:t xml:space="preserve"> </w:t>
      </w:r>
      <w:r w:rsidRPr="00BB551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9E4976" w:rsidRPr="00BB5519">
        <w:rPr>
          <w:rFonts w:eastAsia="Calibri" w:cs="Tahoma"/>
          <w:color w:val="000000"/>
          <w:szCs w:val="18"/>
          <w:lang w:val="de-DE"/>
        </w:rPr>
        <w:t xml:space="preserve"> </w:t>
      </w:r>
      <w:r w:rsidRPr="00BB5519">
        <w:rPr>
          <w:rFonts w:eastAsia="Calibri" w:cs="Tahoma"/>
          <w:color w:val="000000"/>
          <w:szCs w:val="18"/>
          <w:lang w:val="de-DE"/>
        </w:rPr>
        <w:t>Die Nutzungsrechte für Government Community Cloud-Dienste entsprechen den Nutzungsrechten ihrer mehrinstanzenfähigen Standardäquivalente.</w:t>
      </w:r>
      <w:r w:rsidR="009E4976" w:rsidRPr="00BB5519">
        <w:rPr>
          <w:rFonts w:eastAsia="Calibri" w:cs="Tahoma"/>
          <w:color w:val="000000"/>
          <w:szCs w:val="18"/>
          <w:lang w:val="de-DE"/>
        </w:rPr>
        <w:t xml:space="preserve"> </w:t>
      </w:r>
    </w:p>
    <w:p w:rsidR="00023FE7" w:rsidRPr="00BB5519" w:rsidRDefault="00023FE7" w:rsidP="00E62BC4">
      <w:pPr>
        <w:pStyle w:val="Heading2"/>
        <w:rPr>
          <w:lang w:val="de-DE"/>
        </w:rPr>
      </w:pPr>
      <w:bookmarkStart w:id="1263" w:name="Srv_41ExchangeSvr07EntCAL"/>
    </w:p>
    <w:p w:rsidR="00C066F9" w:rsidRPr="00BB5519" w:rsidRDefault="00C066F9" w:rsidP="00C066F9">
      <w:pPr>
        <w:ind w:left="720"/>
        <w:rPr>
          <w:lang w:val="de-DE"/>
        </w:rPr>
      </w:pPr>
    </w:p>
    <w:p w:rsidR="00371299" w:rsidRPr="00BB5519" w:rsidRDefault="00F66FB0" w:rsidP="00B17EFB">
      <w:pPr>
        <w:pStyle w:val="Heading3"/>
        <w:rPr>
          <w:lang w:val="de-DE"/>
        </w:rPr>
      </w:pPr>
      <w:bookmarkStart w:id="1264" w:name="_48_Exchange_Online"/>
      <w:bookmarkStart w:id="1265" w:name="_49_Exchange_Online"/>
      <w:bookmarkStart w:id="1266" w:name="_Toc336338309"/>
      <w:bookmarkStart w:id="1267" w:name="_Toc354055004"/>
      <w:bookmarkStart w:id="1268" w:name="Srv_46ExhangeOnlinePlan1"/>
      <w:bookmarkStart w:id="1269" w:name="Srv_42ExchangeSvr2010EntCAL"/>
      <w:bookmarkStart w:id="1270" w:name="Srv_47ExchangeSvr2010EntCAL"/>
      <w:bookmarkEnd w:id="1264"/>
      <w:bookmarkEnd w:id="1265"/>
      <w:r w:rsidRPr="00BB5519">
        <w:rPr>
          <w:rFonts w:ascii="Tahoma" w:hAnsi="Tahoma" w:cs="Tahoma"/>
          <w:caps/>
          <w:color w:val="F66400"/>
          <w:sz w:val="22"/>
          <w:szCs w:val="22"/>
          <w:vertAlign w:val="superscript"/>
          <w:lang w:val="de-DE"/>
        </w:rPr>
        <w:t>49</w:t>
      </w:r>
      <w:r w:rsidRPr="00BB5519">
        <w:rPr>
          <w:rFonts w:ascii="Tahoma" w:hAnsi="Tahoma" w:cs="Tahoma"/>
          <w:color w:val="F66400"/>
          <w:sz w:val="22"/>
          <w:szCs w:val="22"/>
          <w:lang w:val="de-DE"/>
        </w:rPr>
        <w:t xml:space="preserve"> Exchange Online Plan 1</w:t>
      </w:r>
      <w:bookmarkEnd w:id="1266"/>
      <w:bookmarkEnd w:id="1267"/>
    </w:p>
    <w:bookmarkEnd w:id="1268"/>
    <w:p w:rsidR="00371299" w:rsidRPr="00BB5519" w:rsidRDefault="00371299" w:rsidP="00371299">
      <w:pPr>
        <w:outlineLvl w:val="2"/>
        <w:rPr>
          <w:lang w:val="de-DE"/>
        </w:rPr>
      </w:pPr>
    </w:p>
    <w:p w:rsidR="00371299" w:rsidRPr="00BB5519" w:rsidRDefault="00371299" w:rsidP="00371299">
      <w:pPr>
        <w:ind w:left="720"/>
        <w:contextualSpacing/>
        <w:rPr>
          <w:lang w:val="de-DE"/>
        </w:rPr>
      </w:pPr>
      <w:r w:rsidRPr="00BB5519">
        <w:rPr>
          <w:rFonts w:cs="Tahoma"/>
          <w:szCs w:val="20"/>
          <w:lang w:val="de-DE"/>
        </w:rPr>
        <w:t>Exchange Online Plan 1 hieß zuvor Exchange Online Standard.</w:t>
      </w:r>
    </w:p>
    <w:p w:rsidR="00A61080" w:rsidRPr="00BB5519" w:rsidRDefault="00A61080" w:rsidP="00C066F9">
      <w:pPr>
        <w:ind w:left="720"/>
        <w:contextualSpacing/>
        <w:rPr>
          <w:lang w:val="de-DE"/>
        </w:rPr>
      </w:pPr>
    </w:p>
    <w:p w:rsidR="00A61080" w:rsidRPr="00BB5519" w:rsidRDefault="00A61080" w:rsidP="00A61080">
      <w:pPr>
        <w:ind w:left="720"/>
        <w:rPr>
          <w:lang w:val="de-DE"/>
        </w:rPr>
      </w:pPr>
      <w:r w:rsidRPr="00BB5519">
        <w:rPr>
          <w:rFonts w:ascii="Arial" w:eastAsia="Calibri" w:hAnsi="Arial" w:cs="Arial"/>
          <w:color w:val="000000"/>
          <w:szCs w:val="18"/>
          <w:lang w:val="de-DE"/>
        </w:rPr>
        <w:t>Ungeachtet gegenteiliger Bestimmungen in den Produktbenutzungsrechten ermöglicht eine Nutzer-AL für Exchange Online Plan 1, die unter einem Campus- und School-Vertrag erworben wurde, keinen Zugriff auf Exchange Server.</w:t>
      </w:r>
    </w:p>
    <w:p w:rsidR="00B23BE6" w:rsidRPr="00BB5519" w:rsidRDefault="00B23BE6" w:rsidP="00A61080">
      <w:pPr>
        <w:ind w:left="720"/>
        <w:rPr>
          <w:lang w:val="de-DE"/>
        </w:rPr>
      </w:pPr>
    </w:p>
    <w:p w:rsidR="00702931" w:rsidRPr="00BB5519" w:rsidRDefault="00702931" w:rsidP="0067725A">
      <w:pPr>
        <w:spacing w:after="60"/>
        <w:ind w:left="720"/>
      </w:pPr>
      <w:r w:rsidRPr="00BB5519">
        <w:rPr>
          <w:rFonts w:eastAsia="Calibri" w:cs="Tahoma"/>
          <w:b/>
          <w:color w:val="000000"/>
          <w:szCs w:val="18"/>
        </w:rPr>
        <w:t>Government Community Cloud (nur USA)</w:t>
      </w:r>
    </w:p>
    <w:p w:rsidR="00702931" w:rsidRPr="00BB5519" w:rsidRDefault="00702931" w:rsidP="00702931">
      <w:pPr>
        <w:ind w:left="720"/>
        <w:rPr>
          <w:lang w:val="de-DE"/>
        </w:rPr>
      </w:pPr>
      <w:r w:rsidRPr="00BB5519">
        <w:rPr>
          <w:rFonts w:eastAsia="Calibri" w:cs="Tahoma"/>
          <w:color w:val="000000"/>
          <w:szCs w:val="18"/>
        </w:rPr>
        <w:t>Einige Onlinedienste in der Office 365-Produktfamilie (darunter Exchange Online Plan 1) werden als Government Community Cloud-Dienste und Non-Government Community Cloud-Dienste angeboten.</w:t>
      </w:r>
      <w:r w:rsidR="009E4976" w:rsidRPr="00BB5519">
        <w:rPr>
          <w:rFonts w:eastAsia="Calibri" w:cs="Tahoma"/>
          <w:color w:val="000000"/>
          <w:szCs w:val="18"/>
        </w:rPr>
        <w:t xml:space="preserve"> </w:t>
      </w:r>
      <w:r w:rsidRPr="00BB5519">
        <w:rPr>
          <w:rFonts w:eastAsia="Calibri" w:cs="Tahoma"/>
          <w:color w:val="000000"/>
          <w:szCs w:val="18"/>
          <w:lang w:val="de-DE"/>
        </w:rPr>
        <w:t>Die Bereitstellung an Kunden kann in der einen oder anderen Form erfolgen, jedoch nicht als Kombination aus beidem.</w:t>
      </w:r>
      <w:r w:rsidR="009E4976" w:rsidRPr="00BB5519">
        <w:rPr>
          <w:rFonts w:eastAsia="Calibri" w:cs="Tahoma"/>
          <w:color w:val="000000"/>
          <w:szCs w:val="18"/>
          <w:lang w:val="de-DE"/>
        </w:rPr>
        <w:t xml:space="preserve"> </w:t>
      </w:r>
      <w:r w:rsidRPr="00BB551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9E4976" w:rsidRPr="00BB5519">
        <w:rPr>
          <w:rFonts w:eastAsia="Calibri" w:cs="Tahoma"/>
          <w:color w:val="000000"/>
          <w:szCs w:val="18"/>
          <w:lang w:val="de-DE"/>
        </w:rPr>
        <w:t xml:space="preserve"> </w:t>
      </w:r>
      <w:r w:rsidRPr="00BB5519">
        <w:rPr>
          <w:rFonts w:eastAsia="Calibri" w:cs="Tahoma"/>
          <w:color w:val="000000"/>
          <w:szCs w:val="18"/>
          <w:lang w:val="de-DE"/>
        </w:rPr>
        <w:t>Diese Beschränkung gilt für alle Onlinedienste, die zur Office 365-Produktfamilie gehören, darunter Exchange Online, SharePoint Online und Lync Online.</w:t>
      </w:r>
      <w:r w:rsidR="009E4976" w:rsidRPr="00BB5519">
        <w:rPr>
          <w:rFonts w:eastAsia="Calibri" w:cs="Tahoma"/>
          <w:color w:val="000000"/>
          <w:szCs w:val="18"/>
          <w:lang w:val="de-DE"/>
        </w:rPr>
        <w:t xml:space="preserve"> </w:t>
      </w:r>
    </w:p>
    <w:p w:rsidR="00702931" w:rsidRPr="00BB5519" w:rsidRDefault="00702931" w:rsidP="00702931">
      <w:pPr>
        <w:ind w:left="720"/>
        <w:rPr>
          <w:lang w:val="de-DE"/>
        </w:rPr>
      </w:pPr>
    </w:p>
    <w:p w:rsidR="00702931" w:rsidRPr="00BB5519" w:rsidRDefault="00702931" w:rsidP="009374EE">
      <w:pPr>
        <w:ind w:left="720"/>
        <w:rPr>
          <w:lang w:val="de-DE"/>
        </w:rPr>
      </w:pPr>
      <w:r w:rsidRPr="00BB5519">
        <w:rPr>
          <w:rFonts w:eastAsia="Calibri" w:cs="Tahoma"/>
          <w:color w:val="000000"/>
          <w:szCs w:val="18"/>
          <w:lang w:val="de-DE"/>
        </w:rPr>
        <w:t>Wenn ein Onlinedienst in der Government Community Cloud bereitgestellt wird, bleibt er für die Dauer der</w:t>
      </w:r>
      <w:r w:rsidR="009374EE">
        <w:rPr>
          <w:rFonts w:eastAsia="Calibri" w:cs="Tahoma"/>
          <w:color w:val="000000"/>
          <w:szCs w:val="18"/>
          <w:lang w:val="de-DE"/>
        </w:rPr>
        <w:t> </w:t>
      </w:r>
      <w:r w:rsidRPr="00BB5519">
        <w:rPr>
          <w:rFonts w:eastAsia="Calibri" w:cs="Tahoma"/>
          <w:color w:val="000000"/>
          <w:szCs w:val="18"/>
          <w:lang w:val="de-DE"/>
        </w:rPr>
        <w:t>Abonnementlaufzeit dort.</w:t>
      </w:r>
      <w:r w:rsidR="009E4976" w:rsidRPr="00BB5519">
        <w:rPr>
          <w:rFonts w:eastAsia="Calibri" w:cs="Tahoma"/>
          <w:color w:val="000000"/>
          <w:szCs w:val="18"/>
          <w:lang w:val="de-DE"/>
        </w:rPr>
        <w:t xml:space="preserve"> </w:t>
      </w:r>
      <w:r w:rsidRPr="00BB5519">
        <w:rPr>
          <w:rFonts w:eastAsia="Calibri" w:cs="Tahoma"/>
          <w:color w:val="000000"/>
          <w:szCs w:val="18"/>
          <w:lang w:val="de-DE"/>
        </w:rPr>
        <w:t>Kunden, bei denen es sich um US-amerikanische Verwaltungseinrichtungen auf nationaler, einzelstaatlicher, kommunaler oder Stammesebene handelt, müssen Vertragspartei eines</w:t>
      </w:r>
      <w:r w:rsidR="009374EE">
        <w:rPr>
          <w:rFonts w:eastAsia="Calibri" w:cs="Tahoma"/>
          <w:color w:val="000000"/>
          <w:szCs w:val="18"/>
          <w:lang w:val="de-DE"/>
        </w:rPr>
        <w:t> </w:t>
      </w:r>
      <w:r w:rsidRPr="00BB5519">
        <w:rPr>
          <w:rFonts w:eastAsia="Calibri" w:cs="Tahoma"/>
          <w:color w:val="000000"/>
          <w:szCs w:val="18"/>
          <w:lang w:val="de-DE"/>
        </w:rPr>
        <w:t>Konzernbeitritts oder Konzern-Abonnement-Beitritts für US-Behörden sein, um zum Erwerb von Onlinediensten, die als Government Community Cloud bezeichnet werden, berechtigt zu sein.</w:t>
      </w:r>
      <w:r w:rsidR="009E4976" w:rsidRPr="00BB5519">
        <w:rPr>
          <w:rFonts w:eastAsia="Calibri" w:cs="Tahoma"/>
          <w:color w:val="000000"/>
          <w:szCs w:val="18"/>
          <w:lang w:val="de-DE"/>
        </w:rPr>
        <w:t xml:space="preserve"> </w:t>
      </w:r>
      <w:r w:rsidRPr="00BB5519">
        <w:rPr>
          <w:rFonts w:eastAsia="Calibri" w:cs="Tahoma"/>
          <w:color w:val="000000"/>
          <w:szCs w:val="18"/>
          <w:lang w:val="de-DE"/>
        </w:rPr>
        <w:t>Die Nutzungsrechte für Government Community Cloud-Dienste entsprechen den Nutzungsrechten ihrer mehrinstanzenfähigen Standardäquivalente.</w:t>
      </w:r>
      <w:r w:rsidR="009E4976" w:rsidRPr="00BB5519">
        <w:rPr>
          <w:rFonts w:eastAsia="Calibri" w:cs="Tahoma"/>
          <w:color w:val="000000"/>
          <w:szCs w:val="18"/>
          <w:lang w:val="de-DE"/>
        </w:rPr>
        <w:t xml:space="preserve"> </w:t>
      </w:r>
    </w:p>
    <w:p w:rsidR="00B23BE6" w:rsidRPr="00BB5519" w:rsidRDefault="00B23BE6" w:rsidP="00A61080">
      <w:pPr>
        <w:ind w:left="720"/>
        <w:rPr>
          <w:lang w:val="de-DE"/>
        </w:rPr>
      </w:pPr>
    </w:p>
    <w:p w:rsidR="00D70D2C" w:rsidRPr="00AA46DB" w:rsidRDefault="00AA46DB" w:rsidP="00021BF7">
      <w:pPr>
        <w:pStyle w:val="Heading2"/>
        <w:keepNext/>
        <w:keepLines/>
        <w:ind w:left="0"/>
        <w:rPr>
          <w:rFonts w:ascii="Tahoma" w:hAnsi="Tahoma" w:cs="Tahoma"/>
          <w:color w:val="F66400"/>
          <w:sz w:val="22"/>
          <w:szCs w:val="22"/>
          <w:lang w:val="de-DE"/>
        </w:rPr>
      </w:pPr>
      <w:bookmarkStart w:id="1271" w:name="_50_Exchange_Online"/>
      <w:bookmarkStart w:id="1272" w:name="_Toc354055005"/>
      <w:bookmarkStart w:id="1273" w:name="Srv_50ExchangeOnlinePlan2"/>
      <w:bookmarkEnd w:id="1271"/>
      <w:r>
        <w:rPr>
          <w:rFonts w:ascii="Tahoma" w:hAnsi="Tahoma" w:cs="Tahoma"/>
          <w:caps/>
          <w:color w:val="F66400"/>
          <w:sz w:val="22"/>
          <w:szCs w:val="22"/>
          <w:vertAlign w:val="superscript"/>
          <w:lang w:val="de-DE"/>
        </w:rPr>
        <w:lastRenderedPageBreak/>
        <w:t>50</w:t>
      </w:r>
      <w:r w:rsidRPr="00BB5519">
        <w:rPr>
          <w:rFonts w:ascii="Tahoma" w:hAnsi="Tahoma" w:cs="Tahoma"/>
          <w:color w:val="F66400"/>
          <w:sz w:val="22"/>
          <w:szCs w:val="22"/>
          <w:lang w:val="de-DE"/>
        </w:rPr>
        <w:t xml:space="preserve"> </w:t>
      </w:r>
      <w:r w:rsidR="00F66FB0" w:rsidRPr="00AA46DB">
        <w:rPr>
          <w:rFonts w:ascii="Tahoma" w:hAnsi="Tahoma" w:cs="Tahoma"/>
          <w:color w:val="F66400"/>
          <w:sz w:val="22"/>
          <w:szCs w:val="22"/>
          <w:lang w:val="de-DE"/>
        </w:rPr>
        <w:t>Exchange Online Plan</w:t>
      </w:r>
      <w:bookmarkEnd w:id="1272"/>
      <w:r w:rsidR="00F66FB0" w:rsidRPr="00AA46DB">
        <w:rPr>
          <w:rFonts w:ascii="Tahoma" w:hAnsi="Tahoma" w:cs="Tahoma"/>
          <w:color w:val="F66400"/>
          <w:sz w:val="22"/>
          <w:szCs w:val="22"/>
          <w:lang w:val="de-DE"/>
        </w:rPr>
        <w:t xml:space="preserve"> </w:t>
      </w:r>
    </w:p>
    <w:bookmarkEnd w:id="1273"/>
    <w:p w:rsidR="00D70D2C" w:rsidRPr="00BB5519" w:rsidRDefault="00D70D2C" w:rsidP="00021BF7">
      <w:pPr>
        <w:keepNext/>
        <w:keepLines/>
        <w:outlineLvl w:val="2"/>
        <w:rPr>
          <w:lang w:val="de-DE"/>
        </w:rPr>
      </w:pPr>
    </w:p>
    <w:p w:rsidR="00D70D2C" w:rsidRPr="00BB5519" w:rsidRDefault="00D70D2C" w:rsidP="00021BF7">
      <w:pPr>
        <w:pStyle w:val="ListParagraph"/>
        <w:keepNext/>
        <w:keepLines/>
        <w:rPr>
          <w:lang w:val="de-DE"/>
        </w:rPr>
      </w:pPr>
      <w:r w:rsidRPr="00BB5519">
        <w:rPr>
          <w:rFonts w:ascii="Tahoma" w:hAnsi="Tahoma" w:cs="Tahoma"/>
          <w:color w:val="000000"/>
          <w:sz w:val="18"/>
          <w:szCs w:val="18"/>
          <w:lang w:val="de-DE"/>
        </w:rPr>
        <w:t>Exchange Online Plan 2 ist ein Folge-Onlinedienst für Exchange Hosted Archive.</w:t>
      </w:r>
    </w:p>
    <w:p w:rsidR="00D70D2C" w:rsidRPr="00BB5519" w:rsidRDefault="00D70D2C" w:rsidP="00021BF7">
      <w:pPr>
        <w:pStyle w:val="ListParagraph"/>
        <w:keepNext/>
        <w:keepLines/>
        <w:rPr>
          <w:lang w:val="de-DE"/>
        </w:rPr>
      </w:pPr>
    </w:p>
    <w:p w:rsidR="00D70D2C" w:rsidRPr="00BB5519" w:rsidRDefault="00D70D2C" w:rsidP="00021BF7">
      <w:pPr>
        <w:keepNext/>
        <w:keepLines/>
        <w:ind w:left="720"/>
        <w:rPr>
          <w:lang w:val="de-DE"/>
        </w:rPr>
      </w:pPr>
      <w:r w:rsidRPr="00BB5519">
        <w:rPr>
          <w:rFonts w:cs="Tahoma"/>
          <w:color w:val="000000"/>
          <w:szCs w:val="18"/>
          <w:lang w:val="de-DE"/>
        </w:rPr>
        <w:t>Wenn Sie von Exchange Hosted Archive auf Exchange Online Plan 2 verlängern und noch nicht auf Exchange Online Plan 2 migriert haben,</w:t>
      </w:r>
      <w:r w:rsidRPr="00BB5519">
        <w:rPr>
          <w:color w:val="000000"/>
          <w:lang w:val="de-DE"/>
        </w:rPr>
        <w:t xml:space="preserve"> sind Ihre lizenzierte Nutzer berechtigt, den Exchange Hosted Archive-Dienst weiterhin unter den Bestimmungen der Produktbenutzungsrechte (PUR) von März 2011 zu verwenden, bis Sie auf Exchange Online Plan 2 migrieren oder bis Ihr Abonnement für Exchange Online Plan 2 abläuft, wobei das frühere Datum maßgeblich ist.</w:t>
      </w:r>
    </w:p>
    <w:p w:rsidR="00702931" w:rsidRPr="00BB5519" w:rsidRDefault="00702931" w:rsidP="00D70D2C">
      <w:pPr>
        <w:ind w:left="720"/>
        <w:rPr>
          <w:lang w:val="de-DE"/>
        </w:rPr>
      </w:pPr>
    </w:p>
    <w:p w:rsidR="00702931" w:rsidRPr="00BB5519" w:rsidRDefault="00702931" w:rsidP="0067725A">
      <w:pPr>
        <w:spacing w:after="60"/>
        <w:ind w:left="720"/>
      </w:pPr>
      <w:r w:rsidRPr="00BB5519">
        <w:rPr>
          <w:rFonts w:eastAsia="Calibri" w:cs="Tahoma"/>
          <w:b/>
          <w:color w:val="000000"/>
          <w:szCs w:val="18"/>
        </w:rPr>
        <w:t>Government Community Cloud (nur USA)</w:t>
      </w:r>
    </w:p>
    <w:p w:rsidR="00702931" w:rsidRPr="00BB5519" w:rsidRDefault="00702931" w:rsidP="00AD7532">
      <w:pPr>
        <w:ind w:left="720"/>
        <w:rPr>
          <w:lang w:val="de-DE"/>
        </w:rPr>
      </w:pPr>
      <w:r w:rsidRPr="00BB5519">
        <w:rPr>
          <w:rFonts w:eastAsia="Calibri" w:cs="Tahoma"/>
          <w:color w:val="000000"/>
          <w:szCs w:val="18"/>
        </w:rPr>
        <w:t>Einige Onlinedienste in der Office 365-Produktfamilie (darunter Exchange Online Plan 2) werden als Government Community Cloud-Dienste und Non-Government Community Cloud-Dienste angeboten.</w:t>
      </w:r>
      <w:r w:rsidR="009E4976" w:rsidRPr="00BB5519">
        <w:rPr>
          <w:rFonts w:eastAsia="Calibri" w:cs="Tahoma"/>
          <w:color w:val="000000"/>
          <w:szCs w:val="18"/>
        </w:rPr>
        <w:t xml:space="preserve"> </w:t>
      </w:r>
      <w:r w:rsidRPr="00BB5519">
        <w:rPr>
          <w:rFonts w:eastAsia="Calibri" w:cs="Tahoma"/>
          <w:color w:val="000000"/>
          <w:szCs w:val="18"/>
          <w:lang w:val="de-DE"/>
        </w:rPr>
        <w:t>Die</w:t>
      </w:r>
      <w:r w:rsidR="00AD7532">
        <w:rPr>
          <w:rFonts w:eastAsia="Calibri" w:cs="Tahoma"/>
          <w:color w:val="000000"/>
          <w:szCs w:val="18"/>
          <w:lang w:val="de-DE"/>
        </w:rPr>
        <w:t> </w:t>
      </w:r>
      <w:r w:rsidRPr="00BB5519">
        <w:rPr>
          <w:rFonts w:eastAsia="Calibri" w:cs="Tahoma"/>
          <w:color w:val="000000"/>
          <w:szCs w:val="18"/>
          <w:lang w:val="de-DE"/>
        </w:rPr>
        <w:t>Bereitstellung an Kunden kann in der einen oder anderen Form erfolgen, jedoch nicht als Kombination aus beidem.</w:t>
      </w:r>
      <w:r w:rsidR="009E4976" w:rsidRPr="00BB5519">
        <w:rPr>
          <w:rFonts w:eastAsia="Calibri" w:cs="Tahoma"/>
          <w:color w:val="000000"/>
          <w:szCs w:val="18"/>
          <w:lang w:val="de-DE"/>
        </w:rPr>
        <w:t xml:space="preserve"> </w:t>
      </w:r>
      <w:r w:rsidRPr="00BB551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9E4976" w:rsidRPr="00BB5519">
        <w:rPr>
          <w:rFonts w:eastAsia="Calibri" w:cs="Tahoma"/>
          <w:color w:val="000000"/>
          <w:szCs w:val="18"/>
          <w:lang w:val="de-DE"/>
        </w:rPr>
        <w:t xml:space="preserve"> </w:t>
      </w:r>
      <w:r w:rsidRPr="00BB5519">
        <w:rPr>
          <w:rFonts w:eastAsia="Calibri" w:cs="Tahoma"/>
          <w:color w:val="000000"/>
          <w:szCs w:val="18"/>
          <w:lang w:val="de-DE"/>
        </w:rPr>
        <w:t>Diese Beschränkung gilt für alle Onlinedienste, die zur Office 365-Produktfamilie gehören, darunter Exchange Online, SharePoint Online und Lync Online.</w:t>
      </w:r>
      <w:r w:rsidR="009E4976" w:rsidRPr="00BB5519">
        <w:rPr>
          <w:rFonts w:eastAsia="Calibri" w:cs="Tahoma"/>
          <w:color w:val="000000"/>
          <w:szCs w:val="18"/>
          <w:lang w:val="de-DE"/>
        </w:rPr>
        <w:t xml:space="preserve"> </w:t>
      </w:r>
    </w:p>
    <w:p w:rsidR="00702931" w:rsidRPr="00BB5519" w:rsidRDefault="00702931" w:rsidP="00702931">
      <w:pPr>
        <w:ind w:left="720"/>
        <w:rPr>
          <w:lang w:val="de-DE"/>
        </w:rPr>
      </w:pPr>
    </w:p>
    <w:p w:rsidR="00B2460D" w:rsidRPr="00BB5519" w:rsidRDefault="00702931" w:rsidP="00AD7532">
      <w:pPr>
        <w:ind w:left="720"/>
        <w:rPr>
          <w:lang w:val="de-DE"/>
        </w:rPr>
      </w:pPr>
      <w:r w:rsidRPr="00BB5519">
        <w:rPr>
          <w:rFonts w:eastAsia="Calibri" w:cs="Tahoma"/>
          <w:color w:val="000000"/>
          <w:szCs w:val="18"/>
          <w:lang w:val="de-DE"/>
        </w:rPr>
        <w:t>Wenn ein Onlinedienst in der Government Community Cloud bereitgestellt wird, bleibt er für die Dauer der</w:t>
      </w:r>
      <w:r w:rsidR="00AD7532">
        <w:rPr>
          <w:rFonts w:eastAsia="Calibri" w:cs="Tahoma"/>
          <w:color w:val="000000"/>
          <w:szCs w:val="18"/>
          <w:lang w:val="de-DE"/>
        </w:rPr>
        <w:t> </w:t>
      </w:r>
      <w:r w:rsidRPr="00BB5519">
        <w:rPr>
          <w:rFonts w:eastAsia="Calibri" w:cs="Tahoma"/>
          <w:color w:val="000000"/>
          <w:szCs w:val="18"/>
          <w:lang w:val="de-DE"/>
        </w:rPr>
        <w:t>Abonnementlaufzeit dort.</w:t>
      </w:r>
      <w:r w:rsidR="009E4976" w:rsidRPr="00BB5519">
        <w:rPr>
          <w:rFonts w:eastAsia="Calibri" w:cs="Tahoma"/>
          <w:color w:val="000000"/>
          <w:szCs w:val="18"/>
          <w:lang w:val="de-DE"/>
        </w:rPr>
        <w:t xml:space="preserve"> </w:t>
      </w:r>
      <w:r w:rsidRPr="00BB551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9E4976" w:rsidRPr="00BB5519">
        <w:rPr>
          <w:rFonts w:eastAsia="Calibri" w:cs="Tahoma"/>
          <w:color w:val="000000"/>
          <w:szCs w:val="18"/>
          <w:lang w:val="de-DE"/>
        </w:rPr>
        <w:t xml:space="preserve"> </w:t>
      </w:r>
      <w:r w:rsidRPr="00BB5519">
        <w:rPr>
          <w:rFonts w:eastAsia="Calibri" w:cs="Tahoma"/>
          <w:color w:val="000000"/>
          <w:szCs w:val="18"/>
          <w:lang w:val="de-DE"/>
        </w:rPr>
        <w:t>Die Nutzungsrechte für Government Community Cloud-Dienste entsprechen den Nutzungsrechten ihrer mehrinstanzenfähigen Standardäquivalente.</w:t>
      </w:r>
      <w:r w:rsidR="009E4976" w:rsidRPr="00BB5519">
        <w:rPr>
          <w:rFonts w:eastAsia="Calibri" w:cs="Tahoma"/>
          <w:color w:val="000000"/>
          <w:szCs w:val="18"/>
          <w:lang w:val="de-DE"/>
        </w:rPr>
        <w:t xml:space="preserve"> </w:t>
      </w:r>
      <w:bookmarkStart w:id="1274" w:name="_51_Exchange_Server"/>
      <w:bookmarkEnd w:id="1263"/>
      <w:bookmarkEnd w:id="1269"/>
      <w:bookmarkEnd w:id="1270"/>
      <w:bookmarkEnd w:id="1274"/>
    </w:p>
    <w:p w:rsidR="00023FE7" w:rsidRPr="00BB5519" w:rsidRDefault="00023FE7" w:rsidP="00C066F9">
      <w:pPr>
        <w:pStyle w:val="EndnoteText"/>
        <w:ind w:left="1620" w:hanging="900"/>
        <w:rPr>
          <w:lang w:val="de-DE"/>
        </w:rPr>
      </w:pPr>
      <w:bookmarkStart w:id="1275" w:name="Srv_43ExchangeSvr2010"/>
    </w:p>
    <w:p w:rsidR="00C066F9" w:rsidRPr="00BB5519" w:rsidRDefault="00C066F9" w:rsidP="00C066F9">
      <w:pPr>
        <w:pStyle w:val="EndnoteText"/>
        <w:ind w:left="1620" w:hanging="900"/>
        <w:rPr>
          <w:lang w:val="de-DE"/>
        </w:rPr>
      </w:pPr>
    </w:p>
    <w:p w:rsidR="00453CAC" w:rsidRPr="00BB5519" w:rsidRDefault="00F66FB0" w:rsidP="009D3013">
      <w:pPr>
        <w:pStyle w:val="Heading2"/>
        <w:ind w:left="0"/>
        <w:rPr>
          <w:lang w:val="de-DE"/>
        </w:rPr>
      </w:pPr>
      <w:bookmarkStart w:id="1276" w:name="_49_Exchange_Server"/>
      <w:bookmarkStart w:id="1277" w:name="_51_50_Exchange"/>
      <w:bookmarkStart w:id="1278" w:name="_Toc354055006"/>
      <w:bookmarkStart w:id="1279" w:name="_Toc336338311"/>
      <w:bookmarkStart w:id="1280" w:name="Srv_50ExchangeServer2010StdCAL"/>
      <w:bookmarkEnd w:id="1275"/>
      <w:bookmarkEnd w:id="1276"/>
      <w:bookmarkEnd w:id="1277"/>
      <w:r w:rsidRPr="00BB5519">
        <w:rPr>
          <w:rFonts w:ascii="Tahoma" w:hAnsi="Tahoma" w:cs="Tahoma"/>
          <w:caps/>
          <w:color w:val="FA6500"/>
          <w:sz w:val="22"/>
          <w:vertAlign w:val="superscript"/>
          <w:lang w:val="de-DE"/>
        </w:rPr>
        <w:t xml:space="preserve">51 </w:t>
      </w:r>
      <w:r w:rsidRPr="00BB5519">
        <w:rPr>
          <w:rFonts w:ascii="Tahoma" w:hAnsi="Tahoma" w:cs="Tahoma"/>
          <w:color w:val="F66400"/>
          <w:sz w:val="22"/>
          <w:szCs w:val="20"/>
          <w:lang w:val="de-DE"/>
        </w:rPr>
        <w:t>Exchange Online Protection (Nutzer-AL)</w:t>
      </w:r>
      <w:bookmarkEnd w:id="1278"/>
    </w:p>
    <w:p w:rsidR="00453CAC" w:rsidRPr="00BB5519" w:rsidRDefault="00453CAC" w:rsidP="00453CAC">
      <w:pPr>
        <w:ind w:left="720"/>
        <w:rPr>
          <w:lang w:val="de-DE"/>
        </w:rPr>
      </w:pPr>
    </w:p>
    <w:p w:rsidR="007D4770" w:rsidRPr="00BB5519" w:rsidRDefault="007D4770" w:rsidP="00453CAC">
      <w:pPr>
        <w:ind w:left="720"/>
        <w:rPr>
          <w:lang w:val="de-DE"/>
        </w:rPr>
      </w:pPr>
      <w:r w:rsidRPr="00BB5519">
        <w:rPr>
          <w:rFonts w:cs="Tahoma"/>
          <w:color w:val="444444"/>
          <w:szCs w:val="18"/>
          <w:lang w:val="de-DE"/>
        </w:rPr>
        <w:t>Da dieser Onlinedienst nach Domäne bereitgestellt wird, benötigen alle Nutzer in einer Domäne Nutzer-ALs.</w:t>
      </w:r>
      <w:r w:rsidR="009E4976" w:rsidRPr="00BB5519">
        <w:rPr>
          <w:rFonts w:cs="Tahoma"/>
          <w:color w:val="444444"/>
          <w:szCs w:val="18"/>
          <w:lang w:val="de-DE"/>
        </w:rPr>
        <w:t xml:space="preserve"> </w:t>
      </w:r>
      <w:r w:rsidRPr="00BB5519">
        <w:rPr>
          <w:rFonts w:cs="Tahoma"/>
          <w:color w:val="444444"/>
          <w:szCs w:val="18"/>
          <w:lang w:val="de-DE"/>
        </w:rPr>
        <w:t>Kunden, die den Dienst für eine Untergruppe ihrer Nutzerbasis anbieten möchten, können für eine gezieltere Bereitstellung Unterdomänen erstellen.</w:t>
      </w:r>
      <w:r w:rsidR="009E4976" w:rsidRPr="00BB5519">
        <w:rPr>
          <w:rFonts w:cs="Tahoma"/>
          <w:color w:val="444444"/>
          <w:szCs w:val="18"/>
          <w:lang w:val="de-DE"/>
        </w:rPr>
        <w:t xml:space="preserve"> </w:t>
      </w:r>
      <w:r w:rsidRPr="00BB5519">
        <w:rPr>
          <w:rFonts w:cs="Tahoma"/>
          <w:color w:val="444444"/>
          <w:szCs w:val="18"/>
          <w:lang w:val="de-DE"/>
        </w:rPr>
        <w:t>Nur die Nutzer innerhalb dieser Unterdomäne benötigen Nutzer-ALs.</w:t>
      </w:r>
    </w:p>
    <w:p w:rsidR="00453CAC" w:rsidRPr="00BB5519" w:rsidRDefault="00453CAC" w:rsidP="00453CAC">
      <w:pPr>
        <w:pStyle w:val="EndnoteText"/>
        <w:ind w:hanging="900"/>
        <w:rPr>
          <w:lang w:val="de-DE"/>
        </w:rPr>
      </w:pPr>
    </w:p>
    <w:p w:rsidR="0004051B" w:rsidRPr="00BB5519" w:rsidRDefault="0004051B">
      <w:pPr>
        <w:rPr>
          <w:lang w:val="de-DE"/>
        </w:rPr>
      </w:pPr>
    </w:p>
    <w:p w:rsidR="009D3013" w:rsidRPr="00BB5519" w:rsidRDefault="00F66FB0" w:rsidP="009D3013">
      <w:pPr>
        <w:pStyle w:val="Heading2"/>
        <w:ind w:left="0"/>
        <w:rPr>
          <w:lang w:val="de-DE"/>
        </w:rPr>
      </w:pPr>
      <w:bookmarkStart w:id="1281" w:name="_52_51_Exchange"/>
      <w:bookmarkStart w:id="1282" w:name="_Toc354055007"/>
      <w:bookmarkEnd w:id="1281"/>
      <w:r w:rsidRPr="00BB5519">
        <w:rPr>
          <w:rFonts w:ascii="Tahoma" w:hAnsi="Tahoma" w:cs="Tahoma"/>
          <w:caps/>
          <w:color w:val="FA6500"/>
          <w:sz w:val="22"/>
          <w:vertAlign w:val="superscript"/>
          <w:lang w:val="de-DE"/>
        </w:rPr>
        <w:t xml:space="preserve">52 </w:t>
      </w:r>
      <w:r w:rsidRPr="00BB5519">
        <w:rPr>
          <w:rFonts w:ascii="Tahoma" w:hAnsi="Tahoma" w:cs="Tahoma"/>
          <w:color w:val="FA6500"/>
          <w:sz w:val="22"/>
          <w:lang w:val="de-DE"/>
        </w:rPr>
        <w:t xml:space="preserve">Exchange Server 2013 Enterprise und </w:t>
      </w:r>
      <w:bookmarkEnd w:id="1279"/>
      <w:r w:rsidRPr="00BB5519">
        <w:rPr>
          <w:rFonts w:ascii="Tahoma" w:hAnsi="Tahoma" w:cs="Tahoma"/>
          <w:color w:val="FA6500"/>
          <w:sz w:val="22"/>
          <w:lang w:val="de-DE"/>
        </w:rPr>
        <w:t>Standard Editions</w:t>
      </w:r>
      <w:bookmarkEnd w:id="1282"/>
    </w:p>
    <w:p w:rsidR="009D3013" w:rsidRPr="00BB5519" w:rsidRDefault="009D3013" w:rsidP="009D3013">
      <w:pPr>
        <w:ind w:left="720"/>
        <w:rPr>
          <w:lang w:val="de-DE"/>
        </w:rPr>
      </w:pPr>
    </w:p>
    <w:p w:rsidR="009D3013" w:rsidRPr="00BB5519" w:rsidRDefault="009D3013" w:rsidP="009D3013">
      <w:pPr>
        <w:ind w:left="720"/>
        <w:rPr>
          <w:lang w:val="de-DE"/>
        </w:rPr>
      </w:pPr>
      <w:r w:rsidRPr="00BB5519">
        <w:rPr>
          <w:rFonts w:cs="Tahoma"/>
          <w:color w:val="000000"/>
          <w:szCs w:val="18"/>
          <w:lang w:val="de-DE"/>
        </w:rPr>
        <w:t>Exchange Server 2013 ist die neueste Version von Exchange Server.</w:t>
      </w:r>
    </w:p>
    <w:p w:rsidR="009D3013" w:rsidRPr="00BB5519" w:rsidRDefault="009D3013" w:rsidP="0067725A">
      <w:pPr>
        <w:rPr>
          <w:lang w:val="de-DE"/>
        </w:rPr>
      </w:pPr>
    </w:p>
    <w:p w:rsidR="009D3013" w:rsidRPr="00BB5519" w:rsidRDefault="009D3013" w:rsidP="0067725A">
      <w:pPr>
        <w:spacing w:after="60"/>
        <w:ind w:left="720"/>
        <w:rPr>
          <w:lang w:val="de-DE"/>
        </w:rPr>
      </w:pPr>
      <w:r w:rsidRPr="00BB5519">
        <w:rPr>
          <w:rFonts w:cs="Tahoma"/>
          <w:b/>
          <w:color w:val="000000"/>
          <w:szCs w:val="18"/>
          <w:lang w:val="de-DE"/>
        </w:rPr>
        <w:t>Lizenzgewährung für Kunden mit Externer Connector für Exchange Server 2010</w:t>
      </w:r>
    </w:p>
    <w:p w:rsidR="009D3013" w:rsidRPr="00BB5519" w:rsidRDefault="009D3013" w:rsidP="0067725A">
      <w:pPr>
        <w:ind w:left="720"/>
        <w:rPr>
          <w:lang w:val="de-DE"/>
        </w:rPr>
      </w:pPr>
      <w:r w:rsidRPr="00BB5519">
        <w:rPr>
          <w:rFonts w:cs="Tahoma"/>
          <w:color w:val="000000"/>
          <w:szCs w:val="18"/>
          <w:lang w:val="de-DE"/>
        </w:rPr>
        <w:t xml:space="preserve">Die 2010-Version der </w:t>
      </w:r>
      <w:bookmarkStart w:id="1283" w:name="Srv_42ExchangeSvr07"/>
      <w:bookmarkStart w:id="1284" w:name="Srv_48ExchangeSvr2010"/>
      <w:r w:rsidRPr="00BB5519">
        <w:rPr>
          <w:rFonts w:cs="Tahoma"/>
          <w:color w:val="000000"/>
          <w:szCs w:val="18"/>
          <w:lang w:val="de-DE"/>
        </w:rPr>
        <w:t>External Connector</w:t>
      </w:r>
      <w:bookmarkEnd w:id="1283"/>
      <w:bookmarkEnd w:id="1284"/>
      <w:r w:rsidRPr="00BB5519">
        <w:rPr>
          <w:rFonts w:cs="Tahoma"/>
          <w:color w:val="000000"/>
          <w:szCs w:val="18"/>
          <w:lang w:val="de-DE"/>
        </w:rPr>
        <w:t>-Lizenz für Exchange Server 2010 ist die letzte Version dieser Lizenz.</w:t>
      </w:r>
      <w:r w:rsidR="009E4976" w:rsidRPr="00BB5519">
        <w:rPr>
          <w:rFonts w:cs="Tahoma"/>
          <w:color w:val="000000"/>
          <w:szCs w:val="18"/>
          <w:lang w:val="de-DE"/>
        </w:rPr>
        <w:t xml:space="preserve"> </w:t>
      </w:r>
      <w:r w:rsidRPr="00BB5519">
        <w:rPr>
          <w:rFonts w:cs="Tahoma"/>
          <w:color w:val="000000"/>
          <w:szCs w:val="18"/>
          <w:lang w:val="de-DE"/>
        </w:rPr>
        <w:t>In Anbetracht dessen haben Kunden mit Externen Connector-Lizenzen für Exchange Server 2010 mit aktiver Software Assurance zum 1. Dezember 2012 Anspruch auf die folgende Lizenzgewährung.</w:t>
      </w:r>
    </w:p>
    <w:p w:rsidR="009D3013" w:rsidRPr="00BB5519" w:rsidRDefault="009D3013" w:rsidP="009D3013">
      <w:pPr>
        <w:ind w:left="90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BB5519" w:rsidTr="002C3AB1">
        <w:trPr>
          <w:trHeight w:val="332"/>
        </w:trPr>
        <w:tc>
          <w:tcPr>
            <w:tcW w:w="4500" w:type="dxa"/>
            <w:shd w:val="clear" w:color="auto" w:fill="FABF8F"/>
          </w:tcPr>
          <w:p w:rsidR="009D3013" w:rsidRPr="00BB5519" w:rsidRDefault="009D3013" w:rsidP="002C3AB1">
            <w:pPr>
              <w:rPr>
                <w:rFonts w:cs="Tahoma"/>
                <w:b/>
                <w:color w:val="000000"/>
                <w:szCs w:val="18"/>
              </w:rPr>
            </w:pPr>
            <w:r w:rsidRPr="00BB5519">
              <w:rPr>
                <w:rFonts w:cs="Tahoma"/>
                <w:b/>
                <w:color w:val="000000"/>
                <w:szCs w:val="18"/>
              </w:rPr>
              <w:t>Kriterien für qualifizierende Lizenzen</w:t>
            </w:r>
          </w:p>
        </w:tc>
        <w:tc>
          <w:tcPr>
            <w:tcW w:w="3600" w:type="dxa"/>
            <w:shd w:val="clear" w:color="auto" w:fill="FABF8F"/>
          </w:tcPr>
          <w:p w:rsidR="009D3013" w:rsidRPr="00BB5519" w:rsidRDefault="009D3013" w:rsidP="002C3AB1">
            <w:pPr>
              <w:rPr>
                <w:rFonts w:cs="Tahoma"/>
                <w:b/>
                <w:color w:val="000000"/>
                <w:szCs w:val="18"/>
              </w:rPr>
            </w:pPr>
            <w:r w:rsidRPr="00BB5519">
              <w:rPr>
                <w:rFonts w:cs="Tahoma"/>
                <w:b/>
                <w:color w:val="000000"/>
                <w:szCs w:val="18"/>
              </w:rPr>
              <w:t>Zusätzliche Lizenzen und Vergünstigungen</w:t>
            </w:r>
          </w:p>
        </w:tc>
      </w:tr>
      <w:tr w:rsidR="009D3013" w:rsidRPr="00D244F0" w:rsidTr="002C3AB1">
        <w:trPr>
          <w:trHeight w:val="70"/>
        </w:trPr>
        <w:tc>
          <w:tcPr>
            <w:tcW w:w="4500" w:type="dxa"/>
            <w:shd w:val="clear" w:color="auto" w:fill="auto"/>
          </w:tcPr>
          <w:p w:rsidR="009D3013" w:rsidRPr="00BB5519" w:rsidRDefault="009D3013" w:rsidP="002C3AB1">
            <w:pPr>
              <w:rPr>
                <w:rFonts w:cs="Tahoma"/>
                <w:color w:val="000000"/>
                <w:szCs w:val="18"/>
              </w:rPr>
            </w:pPr>
            <w:r w:rsidRPr="00BB5519">
              <w:rPr>
                <w:rFonts w:cs="Tahoma"/>
                <w:color w:val="000000"/>
                <w:szCs w:val="18"/>
                <w:lang w:val="de-DE"/>
              </w:rPr>
              <w:t xml:space="preserve">Externer Connector für Exchange Server 2010 mit aktiver Software Assurance zum 1. </w:t>
            </w:r>
            <w:r w:rsidRPr="00BB5519">
              <w:rPr>
                <w:rFonts w:cs="Tahoma"/>
                <w:color w:val="000000"/>
                <w:szCs w:val="18"/>
              </w:rPr>
              <w:t>Dezember 2012</w:t>
            </w:r>
          </w:p>
        </w:tc>
        <w:tc>
          <w:tcPr>
            <w:tcW w:w="3600" w:type="dxa"/>
            <w:shd w:val="clear" w:color="auto" w:fill="auto"/>
          </w:tcPr>
          <w:p w:rsidR="009D3013" w:rsidRPr="00BB5519" w:rsidRDefault="009D3013" w:rsidP="002C3AB1">
            <w:pPr>
              <w:rPr>
                <w:rFonts w:cs="Tahoma"/>
                <w:color w:val="000000"/>
                <w:szCs w:val="18"/>
                <w:lang w:val="de-DE"/>
              </w:rPr>
            </w:pPr>
            <w:r w:rsidRPr="00BB5519">
              <w:rPr>
                <w:rFonts w:cs="Tahoma"/>
                <w:color w:val="000000"/>
                <w:szCs w:val="18"/>
                <w:lang w:val="de-DE"/>
              </w:rPr>
              <w:t>Lizenz für Exchange Server 2013 Enterprise</w:t>
            </w:r>
          </w:p>
        </w:tc>
      </w:tr>
    </w:tbl>
    <w:p w:rsidR="009D3013" w:rsidRPr="00BB5519" w:rsidRDefault="009D3013" w:rsidP="0067725A">
      <w:pPr>
        <w:rPr>
          <w:lang w:val="de-DE"/>
        </w:rPr>
      </w:pPr>
    </w:p>
    <w:p w:rsidR="009D3013" w:rsidRPr="00BB5519" w:rsidRDefault="009D3013" w:rsidP="009D3013">
      <w:pPr>
        <w:ind w:left="720"/>
        <w:rPr>
          <w:lang w:val="de-DE"/>
        </w:rPr>
      </w:pPr>
      <w:r w:rsidRPr="00BB5519">
        <w:rPr>
          <w:rFonts w:cs="Tahoma"/>
          <w:color w:val="000000"/>
          <w:szCs w:val="18"/>
          <w:lang w:val="de-DE"/>
        </w:rPr>
        <w:t>Die folgenden Bestimmungen gelten für die Lizenzgewährung oben:</w:t>
      </w:r>
    </w:p>
    <w:p w:rsidR="009D3013" w:rsidRPr="00BB5519" w:rsidRDefault="009D3013" w:rsidP="009D3013">
      <w:pPr>
        <w:ind w:left="720"/>
        <w:rPr>
          <w:lang w:val="de-DE"/>
        </w:rPr>
      </w:pPr>
    </w:p>
    <w:p w:rsidR="009D3013" w:rsidRPr="00BB5519" w:rsidRDefault="009D3013" w:rsidP="00AD7532">
      <w:pPr>
        <w:numPr>
          <w:ilvl w:val="0"/>
          <w:numId w:val="124"/>
        </w:numPr>
        <w:spacing w:after="60"/>
        <w:ind w:left="1440"/>
        <w:rPr>
          <w:lang w:val="de-DE"/>
        </w:rPr>
      </w:pPr>
      <w:r w:rsidRPr="00BB5519">
        <w:rPr>
          <w:rFonts w:cs="Tahoma"/>
          <w:bCs/>
          <w:color w:val="000000"/>
          <w:szCs w:val="18"/>
          <w:lang w:val="de-DE"/>
        </w:rPr>
        <w:t>Migrationspfad</w:t>
      </w:r>
      <w:r w:rsidRPr="00BB5519">
        <w:rPr>
          <w:rFonts w:cs="Tahoma"/>
          <w:color w:val="000000"/>
          <w:szCs w:val="18"/>
          <w:lang w:val="de-DE"/>
        </w:rPr>
        <w:t>: Kunden mit aktiver Software Assurance für eine bestimmte Qualifizierende Lizenz zum 1. Dezember 2012 sind bei Freigabe von Exchange Server 2013 berechtigt, unter der Zusätzlichen Lizenz auf die Software Exchange Server 2013 upzugraden und sie anstelle der Software Exchange Server 2010 unter der jeweiligen qualifizierenden Externen Connector-Lizenz zu</w:t>
      </w:r>
      <w:r w:rsidR="00AD7532">
        <w:rPr>
          <w:rFonts w:cs="Tahoma"/>
          <w:color w:val="000000"/>
          <w:szCs w:val="18"/>
          <w:lang w:val="de-DE"/>
        </w:rPr>
        <w:t> </w:t>
      </w:r>
      <w:r w:rsidRPr="00BB5519">
        <w:rPr>
          <w:rFonts w:cs="Tahoma"/>
          <w:color w:val="000000"/>
          <w:szCs w:val="18"/>
          <w:lang w:val="de-DE"/>
        </w:rPr>
        <w:t>verwenden.</w:t>
      </w:r>
      <w:r w:rsidR="009E4976" w:rsidRPr="00BB5519">
        <w:rPr>
          <w:rFonts w:cs="Tahoma"/>
          <w:color w:val="000000"/>
          <w:szCs w:val="18"/>
          <w:lang w:val="de-DE"/>
        </w:rPr>
        <w:t xml:space="preserve"> </w:t>
      </w:r>
    </w:p>
    <w:p w:rsidR="009D3013" w:rsidRPr="00BB5519" w:rsidRDefault="009D3013" w:rsidP="00021BF7">
      <w:pPr>
        <w:keepNext/>
        <w:keepLines/>
        <w:numPr>
          <w:ilvl w:val="0"/>
          <w:numId w:val="124"/>
        </w:numPr>
        <w:spacing w:after="60"/>
        <w:ind w:left="1440"/>
        <w:rPr>
          <w:lang w:val="de-DE"/>
        </w:rPr>
      </w:pPr>
      <w:r w:rsidRPr="00BB5519">
        <w:rPr>
          <w:rFonts w:cs="Tahoma"/>
          <w:color w:val="000000"/>
          <w:szCs w:val="18"/>
          <w:lang w:val="de-DE"/>
        </w:rPr>
        <w:lastRenderedPageBreak/>
        <w:t>Nutzungsrechte: Das Recht zur Nutzung der Software unter der Zusätzlichen Lizenz unter diesem Angebot gilt bis zum Ablauf des Rechts zur Nutzung der Software unter der Qualifizierenden Lizenz.</w:t>
      </w:r>
      <w:r w:rsidR="00AD7532">
        <w:rPr>
          <w:rFonts w:cs="Tahoma"/>
          <w:color w:val="000000"/>
          <w:szCs w:val="18"/>
          <w:lang w:val="de-DE"/>
        </w:rPr>
        <w:t> </w:t>
      </w:r>
      <w:r w:rsidRPr="00BB5519">
        <w:rPr>
          <w:rFonts w:cs="Tahoma"/>
          <w:color w:val="000000"/>
          <w:szCs w:val="18"/>
          <w:lang w:val="de-DE"/>
        </w:rPr>
        <w:t>Die Nutzung dieser Software unterliegt den Nutzungsrechten für die Software sowie den</w:t>
      </w:r>
      <w:r w:rsidR="00AD7532">
        <w:rPr>
          <w:rFonts w:cs="Tahoma"/>
          <w:color w:val="000000"/>
          <w:szCs w:val="18"/>
          <w:lang w:val="de-DE"/>
        </w:rPr>
        <w:t> </w:t>
      </w:r>
      <w:r w:rsidRPr="00BB5519">
        <w:rPr>
          <w:rFonts w:cs="Tahoma"/>
          <w:color w:val="000000"/>
          <w:szCs w:val="18"/>
          <w:lang w:val="de-DE"/>
        </w:rPr>
        <w:t>Bestimmungen des Volumenlizenzvertrages des Kunden.</w:t>
      </w:r>
      <w:r w:rsidR="009E4976" w:rsidRPr="00BB5519">
        <w:rPr>
          <w:rFonts w:cs="Tahoma"/>
          <w:color w:val="000000"/>
          <w:szCs w:val="18"/>
          <w:lang w:val="de-DE"/>
        </w:rPr>
        <w:t xml:space="preserve"> </w:t>
      </w:r>
      <w:r w:rsidRPr="00BB5519">
        <w:rPr>
          <w:rFonts w:cs="Tahoma"/>
          <w:color w:val="000000"/>
          <w:szCs w:val="18"/>
          <w:lang w:val="de-DE"/>
        </w:rPr>
        <w:t>Dieser Hinweis auf die Produktbedingungen und der Nachweis des Kunden über die entsprechende Qualifizierende Lizenz</w:t>
      </w:r>
      <w:r w:rsidR="00AD7532">
        <w:rPr>
          <w:rFonts w:cs="Tahoma"/>
          <w:color w:val="000000"/>
          <w:szCs w:val="18"/>
          <w:lang w:val="de-DE"/>
        </w:rPr>
        <w:t> </w:t>
      </w:r>
      <w:r w:rsidRPr="00BB5519">
        <w:rPr>
          <w:rFonts w:cs="Tahoma"/>
          <w:color w:val="000000"/>
          <w:szCs w:val="18"/>
          <w:lang w:val="de-DE"/>
        </w:rPr>
        <w:t>und Software Assurance belegen zusammen das Recht zur Nutzung der Software unter der</w:t>
      </w:r>
      <w:r w:rsidR="00AD7532">
        <w:rPr>
          <w:rFonts w:cs="Tahoma"/>
          <w:color w:val="000000"/>
          <w:szCs w:val="18"/>
          <w:lang w:val="de-DE"/>
        </w:rPr>
        <w:t> </w:t>
      </w:r>
      <w:r w:rsidRPr="00BB5519">
        <w:rPr>
          <w:rFonts w:cs="Tahoma"/>
          <w:color w:val="000000"/>
          <w:szCs w:val="18"/>
          <w:lang w:val="de-DE"/>
        </w:rPr>
        <w:t>Zusätzlichen Lizenz unter diesem Angebot.</w:t>
      </w:r>
      <w:r w:rsidR="009E4976" w:rsidRPr="00BB5519">
        <w:rPr>
          <w:rFonts w:cs="Tahoma"/>
          <w:color w:val="000000"/>
          <w:szCs w:val="18"/>
          <w:lang w:val="de-DE"/>
        </w:rPr>
        <w:t xml:space="preserve"> </w:t>
      </w:r>
    </w:p>
    <w:p w:rsidR="009D3013" w:rsidRPr="00BB5519" w:rsidRDefault="009D3013" w:rsidP="00AD7532">
      <w:pPr>
        <w:numPr>
          <w:ilvl w:val="0"/>
          <w:numId w:val="8"/>
        </w:numPr>
        <w:spacing w:after="60"/>
        <w:ind w:left="1440"/>
        <w:rPr>
          <w:lang w:val="de-DE"/>
        </w:rPr>
      </w:pPr>
      <w:r w:rsidRPr="00BB5519">
        <w:rPr>
          <w:rFonts w:cs="Tahoma"/>
          <w:color w:val="000000"/>
          <w:szCs w:val="18"/>
          <w:lang w:val="de-DE"/>
        </w:rPr>
        <w:t>Lizenz und Software Assurance: Die Zusätzliche Lizenz enthält Software Assurance.</w:t>
      </w:r>
      <w:r w:rsidR="009E4976" w:rsidRPr="00BB5519">
        <w:rPr>
          <w:rFonts w:cs="Tahoma"/>
          <w:color w:val="000000"/>
          <w:szCs w:val="18"/>
          <w:lang w:val="de-DE"/>
        </w:rPr>
        <w:t xml:space="preserve"> </w:t>
      </w:r>
      <w:r w:rsidRPr="00BB5519">
        <w:rPr>
          <w:rFonts w:cs="Tahoma"/>
          <w:color w:val="000000"/>
          <w:szCs w:val="18"/>
          <w:lang w:val="de-DE"/>
        </w:rPr>
        <w:t>Software Assurance für die Zusätzliche Lizenz gilt bis zum Ablauf der Software Assurance für die Qualifizierende Lizenz.</w:t>
      </w:r>
      <w:r w:rsidR="009E4976" w:rsidRPr="00BB5519">
        <w:rPr>
          <w:rFonts w:cs="Tahoma"/>
          <w:color w:val="000000"/>
          <w:szCs w:val="18"/>
          <w:lang w:val="de-DE"/>
        </w:rPr>
        <w:t xml:space="preserve"> </w:t>
      </w:r>
      <w:r w:rsidRPr="00BB5519">
        <w:rPr>
          <w:rFonts w:cs="Tahoma"/>
          <w:color w:val="000000"/>
          <w:szCs w:val="18"/>
          <w:lang w:val="de-DE"/>
        </w:rPr>
        <w:t>Nach Ablauf von Software Assurance für die Qualifizierende Lizenz kann der</w:t>
      </w:r>
      <w:r w:rsidR="00AD7532">
        <w:rPr>
          <w:rFonts w:cs="Tahoma"/>
          <w:color w:val="000000"/>
          <w:szCs w:val="18"/>
          <w:lang w:val="de-DE"/>
        </w:rPr>
        <w:t> </w:t>
      </w:r>
      <w:r w:rsidRPr="00BB5519">
        <w:rPr>
          <w:rFonts w:cs="Tahoma"/>
          <w:color w:val="000000"/>
          <w:szCs w:val="18"/>
          <w:lang w:val="de-DE"/>
        </w:rPr>
        <w:t>Kunde Software Assurance für die Zusätzliche Lizenz verlängern, ohne separat eine neue Lizenz</w:t>
      </w:r>
      <w:r w:rsidR="00AD7532">
        <w:rPr>
          <w:rFonts w:cs="Tahoma"/>
          <w:color w:val="000000"/>
          <w:szCs w:val="18"/>
          <w:lang w:val="de-DE"/>
        </w:rPr>
        <w:t> </w:t>
      </w:r>
      <w:r w:rsidRPr="00BB5519">
        <w:rPr>
          <w:rFonts w:cs="Tahoma"/>
          <w:color w:val="000000"/>
          <w:szCs w:val="18"/>
          <w:lang w:val="de-DE"/>
        </w:rPr>
        <w:t>erwerben zu müssen.</w:t>
      </w:r>
    </w:p>
    <w:p w:rsidR="009D3013" w:rsidRPr="00BB5519" w:rsidRDefault="009D3013" w:rsidP="005427B6">
      <w:pPr>
        <w:numPr>
          <w:ilvl w:val="0"/>
          <w:numId w:val="125"/>
        </w:numPr>
        <w:spacing w:after="60"/>
        <w:ind w:left="1440"/>
        <w:rPr>
          <w:lang w:val="de-DE"/>
        </w:rPr>
      </w:pPr>
      <w:r w:rsidRPr="00BB5519">
        <w:rPr>
          <w:rFonts w:eastAsia="Calibri" w:cs="Tahoma"/>
          <w:color w:val="000000"/>
          <w:szCs w:val="18"/>
          <w:lang w:val="de-DE"/>
        </w:rPr>
        <w:t>True Ups</w:t>
      </w:r>
      <w:r w:rsidRPr="00BB5519">
        <w:rPr>
          <w:rFonts w:eastAsia="Calibri" w:cs="Tahoma"/>
          <w:bCs/>
          <w:color w:val="000000"/>
          <w:szCs w:val="18"/>
          <w:lang w:val="de-DE"/>
        </w:rPr>
        <w:t>:</w:t>
      </w:r>
      <w:r w:rsidR="009E4976" w:rsidRPr="00BB5519">
        <w:rPr>
          <w:rFonts w:eastAsia="Calibri" w:cs="Tahoma"/>
          <w:color w:val="000000"/>
          <w:szCs w:val="18"/>
          <w:lang w:val="de-DE"/>
        </w:rPr>
        <w:t xml:space="preserve"> </w:t>
      </w:r>
      <w:r w:rsidRPr="00BB5519">
        <w:rPr>
          <w:rFonts w:eastAsia="Calibri" w:cs="Tahoma"/>
          <w:color w:val="000000"/>
          <w:szCs w:val="18"/>
          <w:lang w:val="de-DE"/>
        </w:rPr>
        <w:t>Bei Kunden mit Konzernvertrag, die zu diesen oben beschriebenen zusätzlichen Lizenzen und Rechten berechtigt sind, gelten Externe Connector-Lizenzen für Exchange Server 2010, die unter dem jährlichen True Up-</w:t>
      </w:r>
      <w:r w:rsidRPr="00BB5519">
        <w:rPr>
          <w:rFonts w:cs="Tahoma"/>
          <w:color w:val="000000"/>
          <w:szCs w:val="18"/>
          <w:lang w:val="de-DE"/>
        </w:rPr>
        <w:t>Prozess erworben wurden, ebenfalls als Qualifizierende Lizenzen.</w:t>
      </w:r>
    </w:p>
    <w:p w:rsidR="009D3013" w:rsidRPr="00BB5519" w:rsidRDefault="009D3013" w:rsidP="00AD7532">
      <w:pPr>
        <w:numPr>
          <w:ilvl w:val="0"/>
          <w:numId w:val="125"/>
        </w:numPr>
        <w:spacing w:after="60"/>
        <w:ind w:left="1440"/>
        <w:rPr>
          <w:lang w:val="de-DE"/>
        </w:rPr>
      </w:pPr>
      <w:r w:rsidRPr="00BB5519">
        <w:rPr>
          <w:rFonts w:cs="Tahoma"/>
          <w:color w:val="000000"/>
          <w:szCs w:val="18"/>
          <w:lang w:val="de-DE"/>
        </w:rPr>
        <w:t>Abonnement-Verträge:</w:t>
      </w:r>
      <w:r w:rsidR="009E4976" w:rsidRPr="00BB5519">
        <w:rPr>
          <w:rFonts w:cs="Tahoma"/>
          <w:color w:val="000000"/>
          <w:szCs w:val="18"/>
          <w:lang w:val="de-DE"/>
        </w:rPr>
        <w:t xml:space="preserve"> </w:t>
      </w:r>
      <w:r w:rsidRPr="00BB5519">
        <w:rPr>
          <w:rFonts w:cs="Tahoma"/>
          <w:color w:val="000000"/>
          <w:szCs w:val="18"/>
          <w:lang w:val="de-DE"/>
        </w:rPr>
        <w:t xml:space="preserve">Für Konzern-Abonnement-Verträge, </w:t>
      </w:r>
      <w:r w:rsidRPr="00BB5519">
        <w:rPr>
          <w:rFonts w:cs="Tahoma"/>
          <w:szCs w:val="18"/>
          <w:lang w:val="de-DE"/>
        </w:rPr>
        <w:t>Open Value Subscription-Verträge, Campus- und School-Verträge, Beitritt für Bildungslösungen und Open Value Subscription – Bildungslösungen-Verträge werden vorübergehend unter denselben Bedingungen</w:t>
      </w:r>
      <w:r w:rsidRPr="00BB5519">
        <w:rPr>
          <w:rFonts w:cs="Tahoma"/>
          <w:color w:val="000000"/>
          <w:szCs w:val="18"/>
          <w:lang w:val="de-DE"/>
        </w:rPr>
        <w:t xml:space="preserve"> bis zum Ende der</w:t>
      </w:r>
      <w:r w:rsidR="00AD7532">
        <w:rPr>
          <w:rFonts w:cs="Tahoma"/>
          <w:color w:val="000000"/>
          <w:szCs w:val="18"/>
          <w:lang w:val="de-DE"/>
        </w:rPr>
        <w:t> </w:t>
      </w:r>
      <w:r w:rsidRPr="00BB5519">
        <w:rPr>
          <w:rFonts w:cs="Tahoma"/>
          <w:color w:val="000000"/>
          <w:szCs w:val="18"/>
          <w:lang w:val="de-DE"/>
        </w:rPr>
        <w:t>aktuellen Beitrittslaufzeit (bzw. Vertragslaufzeit im Falle von Open Value) die gleichen Rechte gewährt.</w:t>
      </w:r>
      <w:r w:rsidR="009E4976" w:rsidRPr="00BB5519">
        <w:rPr>
          <w:rFonts w:cs="Tahoma"/>
          <w:color w:val="000000"/>
          <w:szCs w:val="18"/>
          <w:lang w:val="de-DE"/>
        </w:rPr>
        <w:t xml:space="preserve"> </w:t>
      </w:r>
      <w:r w:rsidRPr="00BB5519">
        <w:rPr>
          <w:rFonts w:cs="Tahoma"/>
          <w:color w:val="000000"/>
          <w:szCs w:val="18"/>
          <w:lang w:val="de-DE"/>
        </w:rPr>
        <w:t>Der Kunde muss das Abonnement ununterbrochen aufrechterhalten.</w:t>
      </w:r>
      <w:r w:rsidR="009E4976" w:rsidRPr="00BB5519">
        <w:rPr>
          <w:rFonts w:cs="Tahoma"/>
          <w:color w:val="000000"/>
          <w:szCs w:val="18"/>
          <w:lang w:val="de-DE"/>
        </w:rPr>
        <w:t xml:space="preserve"> </w:t>
      </w:r>
      <w:bookmarkStart w:id="1285" w:name="_Toc336338313"/>
      <w:r w:rsidRPr="00BB5519">
        <w:rPr>
          <w:rFonts w:cs="Tahoma"/>
          <w:color w:val="000000"/>
          <w:szCs w:val="18"/>
          <w:lang w:val="de-DE"/>
        </w:rPr>
        <w:t>Diese Rechte werden erst nach Ausübung der Buy-Out-Option zeitlich unbeschränkt und unterliegen weiterhin allen Bestimmungen des Lizenzvertrages des Kunden.</w:t>
      </w:r>
    </w:p>
    <w:p w:rsidR="009D3013" w:rsidRPr="00BB5519" w:rsidRDefault="009D3013" w:rsidP="005427B6">
      <w:pPr>
        <w:numPr>
          <w:ilvl w:val="0"/>
          <w:numId w:val="126"/>
        </w:numPr>
        <w:spacing w:after="60"/>
        <w:ind w:left="1440"/>
        <w:rPr>
          <w:lang w:val="de-DE"/>
        </w:rPr>
      </w:pPr>
      <w:r w:rsidRPr="00BB5519">
        <w:rPr>
          <w:rFonts w:cs="Tahoma"/>
          <w:szCs w:val="18"/>
          <w:lang w:val="de-DE"/>
        </w:rPr>
        <w:t>Übergänge für Campus- und School-Verträge: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9D3013" w:rsidRPr="00BB5519" w:rsidRDefault="009D3013" w:rsidP="005427B6">
      <w:pPr>
        <w:pStyle w:val="ListParagraph"/>
        <w:numPr>
          <w:ilvl w:val="0"/>
          <w:numId w:val="105"/>
        </w:numPr>
        <w:spacing w:after="60"/>
        <w:ind w:left="1980"/>
        <w:contextualSpacing w:val="0"/>
        <w:rPr>
          <w:lang w:val="de-DE"/>
        </w:rPr>
      </w:pPr>
      <w:r w:rsidRPr="00BB5519">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73424F" w:rsidRPr="00BB5519" w:rsidRDefault="0073424F" w:rsidP="005427B6">
      <w:pPr>
        <w:pStyle w:val="ListParagraph"/>
        <w:numPr>
          <w:ilvl w:val="0"/>
          <w:numId w:val="105"/>
        </w:numPr>
        <w:spacing w:after="60"/>
        <w:ind w:left="1980"/>
        <w:contextualSpacing w:val="0"/>
        <w:rPr>
          <w:lang w:val="de-DE"/>
        </w:rPr>
      </w:pPr>
      <w:r w:rsidRPr="00BB5519">
        <w:rPr>
          <w:rFonts w:ascii="Tahoma" w:hAnsi="Tahoma" w:cs="Tahoma"/>
          <w:sz w:val="18"/>
          <w:szCs w:val="18"/>
          <w:lang w:val="de-DE"/>
        </w:rPr>
        <w:t>Diese Rechte werden erst nach Ausübung der Buy-Out-Option zeitlich unbeschränkt und unterliegen weiterhin allen Bestimmungen des Lizenzvertrages des Kunden.</w:t>
      </w:r>
    </w:p>
    <w:p w:rsidR="004069A4" w:rsidRPr="00AD7532" w:rsidRDefault="004069A4" w:rsidP="009D3013">
      <w:pPr>
        <w:pStyle w:val="EndnoteText"/>
        <w:ind w:left="540"/>
        <w:rPr>
          <w:rFonts w:ascii="Tahoma" w:hAnsi="Tahoma" w:cs="Tahoma"/>
          <w:sz w:val="18"/>
          <w:szCs w:val="18"/>
          <w:lang w:val="de-DE"/>
        </w:rPr>
      </w:pPr>
    </w:p>
    <w:p w:rsidR="009D3013" w:rsidRPr="00AD7532" w:rsidRDefault="009D3013" w:rsidP="009D3013">
      <w:pPr>
        <w:pStyle w:val="EndnoteText"/>
        <w:ind w:left="540"/>
        <w:rPr>
          <w:rFonts w:ascii="Tahoma" w:hAnsi="Tahoma" w:cs="Tahoma"/>
          <w:sz w:val="18"/>
          <w:szCs w:val="18"/>
          <w:lang w:val="de-DE"/>
        </w:rPr>
      </w:pPr>
    </w:p>
    <w:p w:rsidR="004069A4" w:rsidRPr="00BB5519" w:rsidRDefault="00F66FB0" w:rsidP="004069A4">
      <w:pPr>
        <w:pStyle w:val="Heading3"/>
        <w:rPr>
          <w:lang w:val="de-DE"/>
        </w:rPr>
      </w:pPr>
      <w:bookmarkStart w:id="1286" w:name="_50_Exchange_Server"/>
      <w:bookmarkStart w:id="1287" w:name="_53_52_Exchange"/>
      <w:bookmarkStart w:id="1288" w:name="_Toc354055008"/>
      <w:bookmarkEnd w:id="1286"/>
      <w:bookmarkEnd w:id="1287"/>
      <w:r w:rsidRPr="00BB5519">
        <w:rPr>
          <w:rFonts w:ascii="Tahoma" w:hAnsi="Tahoma"/>
          <w:caps/>
          <w:color w:val="F66400"/>
          <w:sz w:val="22"/>
          <w:vertAlign w:val="superscript"/>
          <w:lang w:val="de-DE"/>
        </w:rPr>
        <w:t>53</w:t>
      </w:r>
      <w:r w:rsidRPr="00BB5519">
        <w:rPr>
          <w:rFonts w:ascii="Tahoma" w:hAnsi="Tahoma"/>
          <w:color w:val="F66400"/>
          <w:sz w:val="22"/>
          <w:lang w:val="de-DE"/>
        </w:rPr>
        <w:t xml:space="preserve"> Exchange Server 2010 Standard CAL</w:t>
      </w:r>
      <w:bookmarkEnd w:id="1285"/>
      <w:bookmarkEnd w:id="1288"/>
    </w:p>
    <w:bookmarkEnd w:id="1280"/>
    <w:p w:rsidR="004069A4" w:rsidRPr="00BB5519" w:rsidRDefault="004069A4" w:rsidP="004069A4">
      <w:pPr>
        <w:rPr>
          <w:lang w:val="de-DE"/>
        </w:rPr>
      </w:pPr>
    </w:p>
    <w:p w:rsidR="004069A4" w:rsidRPr="00BB5519" w:rsidRDefault="004069A4" w:rsidP="005427B6">
      <w:pPr>
        <w:spacing w:after="60"/>
        <w:ind w:left="720"/>
        <w:rPr>
          <w:lang w:val="de-DE"/>
        </w:rPr>
      </w:pPr>
      <w:r w:rsidRPr="00BB5519">
        <w:rPr>
          <w:rFonts w:cs="Tahoma"/>
          <w:b/>
          <w:color w:val="000000"/>
          <w:szCs w:val="18"/>
          <w:lang w:val="de-DE"/>
        </w:rPr>
        <w:t>Managed Default Folders mit Standard-CAL für Exchange Server 2010</w:t>
      </w:r>
    </w:p>
    <w:p w:rsidR="004069A4" w:rsidRPr="00BB5519" w:rsidRDefault="004069A4" w:rsidP="00AD7532">
      <w:pPr>
        <w:ind w:left="720"/>
        <w:rPr>
          <w:lang w:val="de-DE"/>
        </w:rPr>
      </w:pPr>
      <w:r w:rsidRPr="00BB5519">
        <w:rPr>
          <w:rFonts w:cs="Tahoma"/>
          <w:color w:val="000000"/>
          <w:szCs w:val="18"/>
          <w:lang w:val="de-DE"/>
        </w:rPr>
        <w:t>Das Recht, die Funktion Managed Default Folder in Exchange Server 2010 zu nutzen, wird im Rahmen der</w:t>
      </w:r>
      <w:r w:rsidR="00AD7532">
        <w:rPr>
          <w:rFonts w:cs="Tahoma"/>
          <w:color w:val="000000"/>
          <w:szCs w:val="18"/>
          <w:lang w:val="de-DE"/>
        </w:rPr>
        <w:t> </w:t>
      </w:r>
      <w:r w:rsidRPr="00BB5519">
        <w:rPr>
          <w:rFonts w:cs="Tahoma"/>
          <w:color w:val="000000"/>
          <w:szCs w:val="18"/>
          <w:lang w:val="de-DE"/>
        </w:rPr>
        <w:t>Standard-CAL sowie gleichwertiger CALs für Exchange Server 2010 gewährt.</w:t>
      </w:r>
      <w:r w:rsidR="009E4976" w:rsidRPr="00BB5519">
        <w:rPr>
          <w:rFonts w:cs="Tahoma"/>
          <w:color w:val="000000"/>
          <w:szCs w:val="18"/>
          <w:lang w:val="de-DE"/>
        </w:rPr>
        <w:t xml:space="preserve"> </w:t>
      </w:r>
      <w:r w:rsidRPr="00BB5519">
        <w:rPr>
          <w:rFonts w:cs="Tahoma"/>
          <w:color w:val="000000"/>
          <w:szCs w:val="18"/>
          <w:lang w:val="de-DE"/>
        </w:rPr>
        <w:t>Zur Nutzung der Funktion</w:t>
      </w:r>
      <w:r w:rsidR="00AD7532">
        <w:rPr>
          <w:rFonts w:cs="Tahoma"/>
          <w:color w:val="000000"/>
          <w:szCs w:val="18"/>
          <w:lang w:val="de-DE"/>
        </w:rPr>
        <w:t> </w:t>
      </w:r>
      <w:r w:rsidRPr="00BB5519">
        <w:rPr>
          <w:rFonts w:cs="Tahoma"/>
          <w:color w:val="000000"/>
          <w:szCs w:val="18"/>
          <w:lang w:val="de-DE"/>
        </w:rPr>
        <w:t>Managed Custom Folder ist dagegen eine Enterprise-CAL oder eine gleichwertige CAL für Exchange</w:t>
      </w:r>
      <w:r w:rsidR="00AD7532">
        <w:rPr>
          <w:rFonts w:cs="Tahoma"/>
          <w:color w:val="000000"/>
          <w:szCs w:val="18"/>
          <w:lang w:val="de-DE"/>
        </w:rPr>
        <w:t> </w:t>
      </w:r>
      <w:r w:rsidRPr="00BB5519">
        <w:rPr>
          <w:rFonts w:cs="Tahoma"/>
          <w:color w:val="000000"/>
          <w:szCs w:val="18"/>
          <w:lang w:val="de-DE"/>
        </w:rPr>
        <w:t xml:space="preserve">Server 2010 erforderlich. </w:t>
      </w:r>
    </w:p>
    <w:p w:rsidR="004069A4" w:rsidRPr="00BB5519" w:rsidRDefault="004069A4" w:rsidP="00E62BC4">
      <w:pPr>
        <w:ind w:left="720"/>
        <w:rPr>
          <w:lang w:val="de-DE"/>
        </w:rPr>
      </w:pPr>
    </w:p>
    <w:p w:rsidR="00031547" w:rsidRPr="00BB5519" w:rsidRDefault="00031547" w:rsidP="005427B6">
      <w:pPr>
        <w:spacing w:after="60"/>
        <w:ind w:left="720"/>
        <w:rPr>
          <w:lang w:val="de-DE"/>
        </w:rPr>
      </w:pPr>
      <w:r w:rsidRPr="00BB5519">
        <w:rPr>
          <w:rFonts w:cs="Tahoma"/>
          <w:b/>
          <w:color w:val="000000"/>
          <w:szCs w:val="18"/>
          <w:lang w:val="de-DE"/>
        </w:rPr>
        <w:t>Suche in mehreren Postfächern lizenziert mit Standard-CAL für Exchange Server 2010</w:t>
      </w:r>
    </w:p>
    <w:p w:rsidR="00031547" w:rsidRPr="00BB5519" w:rsidRDefault="00031547" w:rsidP="00BA1490">
      <w:pPr>
        <w:ind w:left="720"/>
        <w:rPr>
          <w:lang w:val="de-DE"/>
        </w:rPr>
      </w:pPr>
      <w:r w:rsidRPr="00BB5519">
        <w:rPr>
          <w:rFonts w:cs="Tahoma"/>
          <w:bCs/>
          <w:szCs w:val="20"/>
          <w:lang w:val="de-DE"/>
        </w:rPr>
        <w:t>Die Nutzungsrechte für Exchange Server 2010 werden insoweit aktualisiert, dass das Recht, auf die postfachübergreifende Suche in Exchange Server 2010 zuzugreifen, unter Exchange Server 2010 Standard und äquivalenten CALs gewährt wird. Diese Aktualisierung gilt für alle Exchange Server 2010-Lizenzen.</w:t>
      </w:r>
    </w:p>
    <w:p w:rsidR="004D0019" w:rsidRPr="00BB5519" w:rsidRDefault="004D0019" w:rsidP="00E62BC4">
      <w:pPr>
        <w:ind w:left="720"/>
        <w:rPr>
          <w:lang w:val="de-DE"/>
        </w:rPr>
      </w:pPr>
    </w:p>
    <w:p w:rsidR="004069A4" w:rsidRPr="00BB5519" w:rsidRDefault="004069A4" w:rsidP="005427B6">
      <w:pPr>
        <w:spacing w:after="60"/>
        <w:ind w:left="720"/>
        <w:rPr>
          <w:lang w:val="de-DE"/>
        </w:rPr>
      </w:pPr>
      <w:r w:rsidRPr="00BB5519">
        <w:rPr>
          <w:rFonts w:cs="Tahoma"/>
          <w:b/>
          <w:color w:val="000000"/>
          <w:szCs w:val="18"/>
          <w:lang w:val="de-DE"/>
        </w:rPr>
        <w:t>CALs für Studenten (Open- und Select-Lizenz für Forschung &amp; Lehre)</w:t>
      </w:r>
    </w:p>
    <w:p w:rsidR="004069A4" w:rsidRPr="00BB5519" w:rsidRDefault="004069A4" w:rsidP="00E62BC4">
      <w:pPr>
        <w:ind w:left="720"/>
        <w:rPr>
          <w:lang w:val="de-DE"/>
        </w:rPr>
      </w:pPr>
      <w:r w:rsidRPr="00BB5519">
        <w:rPr>
          <w:rFonts w:cs="Tahoma"/>
          <w:szCs w:val="20"/>
          <w:lang w:val="de-DE"/>
        </w:rPr>
        <w:t>CALs für Studenten dienen nur der Lizenzierung von PCs, die Studenten oder Einrichtungen gehören und die ausschließlich für die individuelle studentische Nutzung und NICHT für die Nutzung in einem Labor oder Hörsaal bestimmt sind.</w:t>
      </w:r>
    </w:p>
    <w:p w:rsidR="00DD14E6" w:rsidRPr="00BB5519" w:rsidRDefault="00DD14E6" w:rsidP="005427B6">
      <w:pPr>
        <w:rPr>
          <w:lang w:val="de-DE"/>
        </w:rPr>
      </w:pPr>
      <w:bookmarkStart w:id="1289" w:name="Srv_43ExchangeSvr07StdCAL"/>
      <w:bookmarkStart w:id="1290" w:name="Srv_44ExchangeSvr2010StdCAL"/>
    </w:p>
    <w:p w:rsidR="005427B6" w:rsidRPr="00BB5519" w:rsidRDefault="005427B6" w:rsidP="005427B6">
      <w:pPr>
        <w:rPr>
          <w:lang w:val="de-DE"/>
        </w:rPr>
      </w:pPr>
    </w:p>
    <w:p w:rsidR="00CC1B99" w:rsidRPr="00BB5519" w:rsidRDefault="00F66FB0" w:rsidP="00AD7532">
      <w:pPr>
        <w:pStyle w:val="Heading3"/>
        <w:keepNext/>
        <w:keepLines/>
        <w:rPr>
          <w:lang w:val="de-DE"/>
        </w:rPr>
      </w:pPr>
      <w:bookmarkStart w:id="1291" w:name="_53_Forefront_Endpoint"/>
      <w:bookmarkStart w:id="1292" w:name="_54_Forefront_Endpoint"/>
      <w:bookmarkStart w:id="1293" w:name="_Toc336338314"/>
      <w:bookmarkStart w:id="1294" w:name="_Toc354055009"/>
      <w:bookmarkStart w:id="1295" w:name="Srv_51ForfrontEndpointProtection"/>
      <w:bookmarkStart w:id="1296" w:name="Srv_50ForfrontEndpointProtection"/>
      <w:bookmarkStart w:id="1297" w:name="Srv_42ExchangeSvr07StdCAL"/>
      <w:bookmarkEnd w:id="1291"/>
      <w:bookmarkEnd w:id="1292"/>
      <w:r w:rsidRPr="00BB5519">
        <w:rPr>
          <w:rFonts w:ascii="Tahoma" w:hAnsi="Tahoma"/>
          <w:caps/>
          <w:color w:val="F66400"/>
          <w:sz w:val="22"/>
          <w:vertAlign w:val="superscript"/>
          <w:lang w:val="de-DE"/>
        </w:rPr>
        <w:lastRenderedPageBreak/>
        <w:t>54</w:t>
      </w:r>
      <w:r w:rsidRPr="00BB5519">
        <w:rPr>
          <w:rFonts w:ascii="Tahoma" w:hAnsi="Tahoma"/>
          <w:color w:val="F66400"/>
          <w:sz w:val="22"/>
          <w:lang w:val="de-DE"/>
        </w:rPr>
        <w:t xml:space="preserve"> Forefront Endpoint Protection</w:t>
      </w:r>
      <w:bookmarkEnd w:id="1293"/>
      <w:bookmarkEnd w:id="1294"/>
    </w:p>
    <w:bookmarkEnd w:id="1295"/>
    <w:bookmarkEnd w:id="1296"/>
    <w:p w:rsidR="00CC1B99" w:rsidRPr="00BB5519" w:rsidRDefault="00CC1B99" w:rsidP="00AD7532">
      <w:pPr>
        <w:keepNext/>
        <w:keepLines/>
        <w:ind w:left="720"/>
        <w:rPr>
          <w:lang w:val="de-DE"/>
        </w:rPr>
      </w:pPr>
    </w:p>
    <w:p w:rsidR="008A1A57" w:rsidRPr="00BB5519" w:rsidRDefault="008A1A57" w:rsidP="00AD7532">
      <w:pPr>
        <w:keepNext/>
        <w:keepLines/>
        <w:tabs>
          <w:tab w:val="left" w:pos="1920"/>
        </w:tabs>
        <w:ind w:left="720"/>
        <w:rPr>
          <w:lang w:val="de-DE"/>
        </w:rPr>
      </w:pPr>
      <w:r w:rsidRPr="00BB5519">
        <w:rPr>
          <w:lang w:val="de-DE"/>
        </w:rPr>
        <w:t xml:space="preserve">Mit Wirkung vom 1. April 2012 </w:t>
      </w:r>
      <w:r w:rsidRPr="00BB5519">
        <w:rPr>
          <w:rFonts w:eastAsia="Calibri" w:cs="Tahoma"/>
          <w:szCs w:val="18"/>
          <w:lang w:val="de-DE"/>
        </w:rPr>
        <w:t xml:space="preserve">wird Forefront Endpoint Protection als Angebot für Clientschutz durch </w:t>
      </w:r>
      <w:r w:rsidRPr="00BB5519">
        <w:rPr>
          <w:lang w:val="de-DE"/>
        </w:rPr>
        <w:t>System</w:t>
      </w:r>
      <w:r w:rsidR="00AD7532">
        <w:rPr>
          <w:lang w:val="de-DE"/>
        </w:rPr>
        <w:t> </w:t>
      </w:r>
      <w:r w:rsidRPr="00BB5519">
        <w:rPr>
          <w:lang w:val="de-DE"/>
        </w:rPr>
        <w:t>Center 2012 Endpoint Protection ersetzt. System Center 2012 Endpoint Protection gewährt als eigenständiges Angebot nur Rechte zum Schutz von Clientgeräten. Nutzungsrechte zum Schutz von Servergeräten können nur durch Erwerb von Management-Lizenzen für System Center 2012 Standard oder</w:t>
      </w:r>
      <w:r w:rsidR="00AD7532">
        <w:rPr>
          <w:lang w:val="de-DE"/>
        </w:rPr>
        <w:t> </w:t>
      </w:r>
      <w:r w:rsidRPr="00BB5519">
        <w:rPr>
          <w:lang w:val="de-DE"/>
        </w:rPr>
        <w:t>Datacenter erworben werden.</w:t>
      </w:r>
    </w:p>
    <w:p w:rsidR="008A1A57" w:rsidRPr="00BB5519" w:rsidRDefault="008A1A57" w:rsidP="00E62BC4">
      <w:pPr>
        <w:tabs>
          <w:tab w:val="left" w:pos="1920"/>
        </w:tabs>
        <w:ind w:left="720"/>
        <w:rPr>
          <w:lang w:val="de-DE"/>
        </w:rPr>
      </w:pPr>
    </w:p>
    <w:p w:rsidR="008A1A57" w:rsidRPr="00BB5519" w:rsidRDefault="008A1A57" w:rsidP="00E62BC4">
      <w:pPr>
        <w:tabs>
          <w:tab w:val="left" w:pos="1920"/>
        </w:tabs>
        <w:ind w:left="720"/>
        <w:rPr>
          <w:lang w:val="de-DE"/>
        </w:rPr>
      </w:pPr>
      <w:r w:rsidRPr="00BB5519">
        <w:rPr>
          <w:rFonts w:eastAsia="Calibri" w:cs="Tahoma"/>
          <w:szCs w:val="18"/>
          <w:lang w:val="de-DE"/>
        </w:rPr>
        <w:t>Nutzer, die über aktive Forefront Endpoint Protection-Abonnements</w:t>
      </w:r>
      <w:r w:rsidRPr="00BB5519">
        <w:rPr>
          <w:lang w:val="de-DE"/>
        </w:rPr>
        <w:t xml:space="preserve"> verfügen und den Dienst zum Schutz von Clientgeräten nutzen, können ein Upgrade auf System Center 2012 Endpoint Protection für denselben Zweck durchführen.</w:t>
      </w:r>
    </w:p>
    <w:p w:rsidR="008A1A57" w:rsidRPr="00BB5519" w:rsidRDefault="008A1A57" w:rsidP="00E62BC4">
      <w:pPr>
        <w:tabs>
          <w:tab w:val="left" w:pos="1920"/>
        </w:tabs>
        <w:ind w:left="720"/>
        <w:rPr>
          <w:lang w:val="de-DE"/>
        </w:rPr>
      </w:pPr>
    </w:p>
    <w:p w:rsidR="008A1A57" w:rsidRPr="00BB5519" w:rsidRDefault="008A1A57" w:rsidP="00E62BC4">
      <w:pPr>
        <w:tabs>
          <w:tab w:val="left" w:pos="1920"/>
        </w:tabs>
        <w:ind w:left="720"/>
        <w:rPr>
          <w:lang w:val="de-DE"/>
        </w:rPr>
      </w:pPr>
      <w:r w:rsidRPr="00BB5519">
        <w:rPr>
          <w:rFonts w:eastAsia="Calibri" w:cs="Tahoma"/>
          <w:szCs w:val="18"/>
          <w:lang w:val="de-DE"/>
        </w:rPr>
        <w:t>Nutzer, die über aktive Forefront Endpoint Protection-Abonnements</w:t>
      </w:r>
      <w:r w:rsidRPr="00BB5519">
        <w:rPr>
          <w:lang w:val="de-DE"/>
        </w:rPr>
        <w:t xml:space="preserve"> verfügen und den Dienst zum Schutz von Servergeräten nutzen, sind berechtigt, den Forefront Endpoint Protection-Dienst weiterhin zu verwenden.</w:t>
      </w:r>
    </w:p>
    <w:p w:rsidR="008A1A57" w:rsidRPr="00BB5519" w:rsidRDefault="008A1A57" w:rsidP="00E62BC4">
      <w:pPr>
        <w:ind w:left="720"/>
        <w:rPr>
          <w:lang w:val="de-DE"/>
        </w:rPr>
      </w:pPr>
    </w:p>
    <w:p w:rsidR="008A1A57" w:rsidRPr="00BB5519" w:rsidRDefault="008A1A57" w:rsidP="00E62BC4">
      <w:pPr>
        <w:ind w:left="720"/>
        <w:rPr>
          <w:lang w:val="de-DE"/>
        </w:rPr>
      </w:pPr>
      <w:r w:rsidRPr="00BB5519">
        <w:rPr>
          <w:rFonts w:eastAsia="Calibri" w:cs="Tahoma"/>
          <w:szCs w:val="18"/>
          <w:lang w:val="de-DE"/>
        </w:rPr>
        <w:t>System Center Configuration Manager 2007 R2 oder R3 ist die Verwaltungskonsole für Forefront Endpoint Protection 2010. Kunden müssen für System Center Configuration Manager 2007 R2 oder R3 lizenziert sein, um Forefront Endpoint Protection 2010 verwalten zu können. Forefront Endpoint Protection 2010 kann unverwaltet verwendet werden, ohne dass System Center Configuration Manager lizenziert werden muss.</w:t>
      </w:r>
      <w:r w:rsidR="009E4976" w:rsidRPr="00BB5519">
        <w:rPr>
          <w:rFonts w:eastAsia="Calibri" w:cs="Tahoma"/>
          <w:szCs w:val="18"/>
          <w:lang w:val="de-DE"/>
        </w:rPr>
        <w:t xml:space="preserve"> </w:t>
      </w:r>
    </w:p>
    <w:p w:rsidR="008A1A57" w:rsidRPr="00BB5519" w:rsidRDefault="008A1A57" w:rsidP="00E62BC4">
      <w:pPr>
        <w:ind w:left="720"/>
        <w:rPr>
          <w:lang w:val="de-DE"/>
        </w:rPr>
      </w:pPr>
    </w:p>
    <w:p w:rsidR="008A1A57" w:rsidRPr="00BB5519" w:rsidRDefault="005427B6" w:rsidP="005427B6">
      <w:pPr>
        <w:spacing w:after="60"/>
        <w:ind w:left="720"/>
        <w:rPr>
          <w:lang w:val="de-DE"/>
        </w:rPr>
      </w:pPr>
      <w:r w:rsidRPr="00BB5519">
        <w:rPr>
          <w:rFonts w:eastAsia="Calibri" w:cs="Tahoma"/>
          <w:b/>
          <w:szCs w:val="18"/>
          <w:lang w:val="de-DE"/>
        </w:rPr>
        <w:t>Heimnutzung</w:t>
      </w:r>
    </w:p>
    <w:p w:rsidR="008A1A57" w:rsidRPr="00BB5519" w:rsidRDefault="008A1A57" w:rsidP="00E62BC4">
      <w:pPr>
        <w:ind w:left="720"/>
        <w:rPr>
          <w:lang w:val="de-DE"/>
        </w:rPr>
      </w:pPr>
      <w:r w:rsidRPr="00BB5519">
        <w:rPr>
          <w:rFonts w:eastAsia="Calibri" w:cs="Tahoma"/>
          <w:szCs w:val="18"/>
          <w:lang w:val="de-DE"/>
        </w:rPr>
        <w:t>Kunden mit aktuellen Nutzer-Abonnementlizenzen für Forefront Endpoint Protection 2010 sind für das Home Use Program qualifiziert.</w:t>
      </w:r>
    </w:p>
    <w:p w:rsidR="00BA1490" w:rsidRPr="00BB5519" w:rsidRDefault="00BA1490" w:rsidP="00BA1490">
      <w:pPr>
        <w:rPr>
          <w:lang w:val="de-DE"/>
        </w:rPr>
      </w:pPr>
      <w:bookmarkStart w:id="1298" w:name="_Toc254758297"/>
      <w:bookmarkStart w:id="1299" w:name="Srv_44ForefrontOnSecforExch"/>
      <w:bookmarkStart w:id="1300" w:name="Srv_43ForefrontOnSecforExch"/>
      <w:bookmarkEnd w:id="1289"/>
      <w:bookmarkEnd w:id="1290"/>
      <w:bookmarkEnd w:id="1297"/>
    </w:p>
    <w:p w:rsidR="00BA1490" w:rsidRPr="00BB5519" w:rsidRDefault="00BA1490" w:rsidP="00BA1490">
      <w:pPr>
        <w:rPr>
          <w:lang w:val="de-DE"/>
        </w:rPr>
      </w:pPr>
    </w:p>
    <w:p w:rsidR="009E4FDD" w:rsidRPr="00BB5519" w:rsidRDefault="00F66FB0" w:rsidP="009E4FDD">
      <w:pPr>
        <w:pStyle w:val="Heading3"/>
        <w:rPr>
          <w:lang w:val="de-DE"/>
        </w:rPr>
      </w:pPr>
      <w:bookmarkStart w:id="1301" w:name="_54_Forefront_Identity"/>
      <w:bookmarkStart w:id="1302" w:name="_Toc336338315"/>
      <w:bookmarkStart w:id="1303" w:name="_Toc354055010"/>
      <w:bookmarkStart w:id="1304" w:name="Srv_43ForefrontIdMgr2010"/>
      <w:bookmarkStart w:id="1305" w:name="Srv_48ForefrontIdMgr2010"/>
      <w:bookmarkStart w:id="1306" w:name="Srv_45ForefrontIdMgr2010"/>
      <w:bookmarkEnd w:id="1301"/>
      <w:r w:rsidRPr="00BB5519">
        <w:rPr>
          <w:rFonts w:ascii="Tahoma" w:hAnsi="Tahoma"/>
          <w:caps/>
          <w:color w:val="F66400"/>
          <w:sz w:val="22"/>
          <w:vertAlign w:val="superscript"/>
          <w:lang w:val="de-DE"/>
        </w:rPr>
        <w:t xml:space="preserve">55 </w:t>
      </w:r>
      <w:r w:rsidRPr="00BB5519">
        <w:rPr>
          <w:rFonts w:ascii="Tahoma" w:hAnsi="Tahoma"/>
          <w:color w:val="F66400"/>
          <w:sz w:val="22"/>
          <w:lang w:val="de-DE"/>
        </w:rPr>
        <w:t>Forefront Identity Manager 2010</w:t>
      </w:r>
      <w:bookmarkEnd w:id="1298"/>
      <w:r w:rsidRPr="00BB5519">
        <w:rPr>
          <w:rFonts w:ascii="Tahoma" w:hAnsi="Tahoma"/>
          <w:color w:val="F66400"/>
          <w:sz w:val="22"/>
          <w:lang w:val="de-DE"/>
        </w:rPr>
        <w:t xml:space="preserve"> R2</w:t>
      </w:r>
      <w:bookmarkEnd w:id="1302"/>
      <w:bookmarkEnd w:id="1303"/>
    </w:p>
    <w:bookmarkEnd w:id="1304"/>
    <w:bookmarkEnd w:id="1305"/>
    <w:bookmarkEnd w:id="1306"/>
    <w:p w:rsidR="009E4FDD" w:rsidRPr="00BB5519" w:rsidRDefault="009E4FDD" w:rsidP="009E4FDD">
      <w:pPr>
        <w:ind w:left="720"/>
        <w:rPr>
          <w:lang w:val="de-DE"/>
        </w:rPr>
      </w:pPr>
    </w:p>
    <w:p w:rsidR="009E4FDD" w:rsidRPr="00BB5519" w:rsidRDefault="009E4FDD" w:rsidP="005427B6">
      <w:pPr>
        <w:spacing w:after="60"/>
        <w:ind w:left="720"/>
        <w:rPr>
          <w:lang w:val="de-DE"/>
        </w:rPr>
      </w:pPr>
      <w:r w:rsidRPr="00BB5519">
        <w:rPr>
          <w:rFonts w:cs="Tahoma"/>
          <w:b/>
          <w:color w:val="000000"/>
          <w:szCs w:val="18"/>
          <w:lang w:val="de-DE"/>
        </w:rPr>
        <w:t>Version</w:t>
      </w:r>
    </w:p>
    <w:p w:rsidR="009E4FDD" w:rsidRPr="00BB5519" w:rsidRDefault="009E4FDD" w:rsidP="005427B6">
      <w:pPr>
        <w:ind w:left="720"/>
        <w:rPr>
          <w:lang w:val="de-DE"/>
        </w:rPr>
      </w:pPr>
      <w:r w:rsidRPr="00BB5519">
        <w:rPr>
          <w:rFonts w:cs="Tahoma"/>
          <w:color w:val="000000"/>
          <w:szCs w:val="18"/>
          <w:lang w:val="de-DE"/>
        </w:rPr>
        <w:t>Forefront Identity Manager 2010 R2 ist die nächste Version von Forefront Identity Manager 2010.</w:t>
      </w:r>
    </w:p>
    <w:p w:rsidR="005427B6" w:rsidRPr="00BB5519" w:rsidRDefault="005427B6" w:rsidP="005427B6">
      <w:pPr>
        <w:rPr>
          <w:lang w:val="de-DE"/>
        </w:rPr>
      </w:pPr>
    </w:p>
    <w:p w:rsidR="005427B6" w:rsidRPr="00BB5519" w:rsidRDefault="005427B6" w:rsidP="005427B6">
      <w:pPr>
        <w:rPr>
          <w:lang w:val="de-DE"/>
        </w:rPr>
      </w:pPr>
    </w:p>
    <w:p w:rsidR="00936C19" w:rsidRPr="00BB5519" w:rsidRDefault="00F66FB0" w:rsidP="005427B6">
      <w:pPr>
        <w:pStyle w:val="Heading2"/>
        <w:ind w:left="0"/>
      </w:pPr>
      <w:bookmarkStart w:id="1307" w:name="_55_Forefront_Identity"/>
      <w:bookmarkStart w:id="1308" w:name="_Toc336338316"/>
      <w:bookmarkStart w:id="1309" w:name="Srv_54ForefrontIDMgrWinLiveEd"/>
      <w:bookmarkStart w:id="1310" w:name="_Toc354055011"/>
      <w:bookmarkStart w:id="1311" w:name="Srv_46ForefrontOnlineProforExch"/>
      <w:bookmarkEnd w:id="1307"/>
      <w:r w:rsidRPr="00BB5519">
        <w:rPr>
          <w:rFonts w:ascii="Tahoma" w:hAnsi="Tahoma" w:cs="Tahoma"/>
          <w:caps/>
          <w:color w:val="F26200"/>
          <w:sz w:val="20"/>
          <w:vertAlign w:val="superscript"/>
        </w:rPr>
        <w:t>56</w:t>
      </w:r>
      <w:r w:rsidRPr="00BB5519">
        <w:rPr>
          <w:rFonts w:ascii="Tahoma" w:hAnsi="Tahoma" w:cs="Tahoma"/>
          <w:color w:val="F26200"/>
        </w:rPr>
        <w:t xml:space="preserve"> </w:t>
      </w:r>
      <w:r w:rsidRPr="00BB5519">
        <w:rPr>
          <w:rFonts w:ascii="Tahoma" w:hAnsi="Tahoma" w:cs="Tahoma"/>
          <w:color w:val="F26200"/>
          <w:sz w:val="22"/>
        </w:rPr>
        <w:t>Forefront Identity Manager 2010 – Windows Live Edition</w:t>
      </w:r>
      <w:bookmarkEnd w:id="1308"/>
      <w:bookmarkEnd w:id="1309"/>
      <w:bookmarkEnd w:id="1310"/>
    </w:p>
    <w:p w:rsidR="005427B6" w:rsidRPr="00BB5519" w:rsidRDefault="005427B6" w:rsidP="005427B6"/>
    <w:p w:rsidR="005D346C" w:rsidRPr="00BB5519" w:rsidRDefault="005D346C" w:rsidP="005427B6">
      <w:pPr>
        <w:spacing w:after="60"/>
        <w:ind w:left="720"/>
      </w:pPr>
      <w:r w:rsidRPr="00BB5519">
        <w:rPr>
          <w:rFonts w:cs="Tahoma"/>
          <w:b/>
          <w:color w:val="000000"/>
          <w:szCs w:val="18"/>
        </w:rPr>
        <w:t>Version</w:t>
      </w:r>
    </w:p>
    <w:p w:rsidR="005D346C" w:rsidRPr="00BB5519" w:rsidRDefault="005D346C" w:rsidP="00E62BC4">
      <w:pPr>
        <w:ind w:left="720"/>
      </w:pPr>
      <w:r w:rsidRPr="00BB5519">
        <w:rPr>
          <w:color w:val="000000"/>
        </w:rPr>
        <w:t>Forefront Identity Manager 2010 – Windows Live Edition ist die nächste Version von Identity Lifecycle Manager 2007 – Windows Live Edition.</w:t>
      </w:r>
    </w:p>
    <w:p w:rsidR="005D346C" w:rsidRPr="00BB5519" w:rsidRDefault="005D346C" w:rsidP="005D346C"/>
    <w:p w:rsidR="00BF1889" w:rsidRPr="00BB5519" w:rsidRDefault="00BF1889" w:rsidP="00697E59">
      <w:pPr>
        <w:pStyle w:val="EndnoteText"/>
        <w:ind w:left="0"/>
      </w:pPr>
      <w:bookmarkStart w:id="1312" w:name="Srv_47ForefrontProforExcSvrandShare"/>
      <w:bookmarkEnd w:id="1299"/>
      <w:bookmarkEnd w:id="1300"/>
      <w:bookmarkEnd w:id="1311"/>
    </w:p>
    <w:p w:rsidR="00273685" w:rsidRPr="00BB5519" w:rsidRDefault="00F66FB0" w:rsidP="00273685">
      <w:pPr>
        <w:pStyle w:val="Heading3"/>
        <w:ind w:left="270" w:hanging="270"/>
      </w:pPr>
      <w:bookmarkStart w:id="1313" w:name="_54_Forefront_Protection"/>
      <w:bookmarkStart w:id="1314" w:name="_55_Forefront_Protection"/>
      <w:bookmarkStart w:id="1315" w:name="_Toc336338318"/>
      <w:bookmarkStart w:id="1316" w:name="_Toc354055012"/>
      <w:bookmarkStart w:id="1317" w:name="Srv_44ForefrontSecforExcSharep"/>
      <w:bookmarkStart w:id="1318" w:name="Srv_45ForefrontSecforExcSharep"/>
      <w:bookmarkStart w:id="1319" w:name="Srv_48ForefrontProtectionSuite"/>
      <w:bookmarkEnd w:id="1312"/>
      <w:bookmarkEnd w:id="1313"/>
      <w:bookmarkEnd w:id="1314"/>
      <w:r w:rsidRPr="00BB5519">
        <w:rPr>
          <w:rFonts w:ascii="Tahoma" w:hAnsi="Tahoma"/>
          <w:caps/>
          <w:color w:val="F66400"/>
          <w:sz w:val="22"/>
          <w:vertAlign w:val="superscript"/>
        </w:rPr>
        <w:t>57</w:t>
      </w:r>
      <w:r w:rsidRPr="00BB5519">
        <w:rPr>
          <w:rFonts w:ascii="Tahoma" w:hAnsi="Tahoma"/>
          <w:color w:val="F66400"/>
          <w:sz w:val="22"/>
        </w:rPr>
        <w:t xml:space="preserve"> Forefront Protection 2010 für Exchange Server (Geräte- und Nutzer-AL), Forefront Protection 2010 for SharePoint (Geräte- und Nutzer-AL) </w:t>
      </w:r>
      <w:bookmarkEnd w:id="1315"/>
      <w:r w:rsidRPr="00BB5519">
        <w:rPr>
          <w:rFonts w:ascii="Tahoma" w:hAnsi="Tahoma"/>
          <w:color w:val="F66400"/>
          <w:sz w:val="22"/>
        </w:rPr>
        <w:t>und Forefront Protection 2010 for Internet Sites (Add-On-AL)</w:t>
      </w:r>
      <w:bookmarkEnd w:id="1316"/>
    </w:p>
    <w:bookmarkEnd w:id="1317"/>
    <w:bookmarkEnd w:id="1318"/>
    <w:p w:rsidR="00273685" w:rsidRPr="00BB5519" w:rsidRDefault="00273685" w:rsidP="00273685">
      <w:pPr>
        <w:ind w:left="720"/>
      </w:pPr>
    </w:p>
    <w:p w:rsidR="00273685" w:rsidRPr="00BB5519" w:rsidRDefault="00273685" w:rsidP="00273685">
      <w:pPr>
        <w:ind w:left="720"/>
        <w:rPr>
          <w:lang w:val="de-DE"/>
        </w:rPr>
      </w:pPr>
      <w:r w:rsidRPr="00BB5519">
        <w:rPr>
          <w:rFonts w:cs="Tahoma"/>
          <w:bCs/>
          <w:color w:val="000000"/>
          <w:szCs w:val="18"/>
        </w:rPr>
        <w:t xml:space="preserve">Forefront Protection 2010 for SharePoint, Forefront Protection 2010 für Exchange Server und Forefront Protection 2010 for Internet Sites sind ab dem 1. Dezember 2012 nicht mehr erhältlich. </w:t>
      </w:r>
      <w:r w:rsidRPr="00BB5519">
        <w:rPr>
          <w:rFonts w:cs="Tahoma"/>
          <w:bCs/>
          <w:color w:val="000000"/>
          <w:szCs w:val="18"/>
          <w:lang w:val="de-DE"/>
        </w:rPr>
        <w:t>Bestehende Kunden mit aktiven Abonnements für die Onlinedienste zum 30. November 2012 sind berechtigt, die Onlinedienste bis zum 31. Dezember 2015 zu nutzen.</w:t>
      </w:r>
      <w:r w:rsidR="009E4976" w:rsidRPr="00BB5519">
        <w:rPr>
          <w:rFonts w:cs="Tahoma"/>
          <w:bCs/>
          <w:color w:val="000000"/>
          <w:szCs w:val="18"/>
          <w:lang w:val="de-DE"/>
        </w:rPr>
        <w:t xml:space="preserve"> </w:t>
      </w:r>
      <w:r w:rsidRPr="00BB5519">
        <w:rPr>
          <w:lang w:val="de-DE"/>
        </w:rPr>
        <w:t>Bestehende Kunden sind außerdem berechtigt, neue Nutzer nach Bedarf hinzuzufügen, ohne zusätzliche Nutzer-Abonnementlizenzen bestellen zu müssen.</w:t>
      </w:r>
      <w:r w:rsidR="009E4976" w:rsidRPr="00BB5519">
        <w:rPr>
          <w:lang w:val="de-DE"/>
        </w:rPr>
        <w:t xml:space="preserve"> </w:t>
      </w:r>
      <w:r w:rsidRPr="00BB5519">
        <w:rPr>
          <w:rFonts w:cs="Tahoma"/>
          <w:bCs/>
          <w:color w:val="000000"/>
          <w:szCs w:val="18"/>
          <w:lang w:val="de-DE"/>
        </w:rPr>
        <w:t xml:space="preserve">Die fortgesetzte Verwendung der Onlinedienste unterliegt weiterhin den Bestimmungen des Volumenlizenzvertrages des Kunden, den Produktbenutzungsrechten für den Onlinedienst und den hierin enthaltenen Bestimmungen. </w:t>
      </w:r>
    </w:p>
    <w:p w:rsidR="00273685" w:rsidRPr="00BB5519" w:rsidRDefault="00273685" w:rsidP="00273685">
      <w:pPr>
        <w:ind w:left="720"/>
        <w:rPr>
          <w:lang w:val="de-DE"/>
        </w:rPr>
      </w:pPr>
    </w:p>
    <w:p w:rsidR="00273685" w:rsidRPr="00BB5519" w:rsidRDefault="00273685" w:rsidP="00AD7532">
      <w:pPr>
        <w:keepNext/>
        <w:keepLines/>
        <w:spacing w:after="60"/>
        <w:ind w:left="720"/>
        <w:rPr>
          <w:lang w:val="de-DE"/>
        </w:rPr>
      </w:pPr>
      <w:r w:rsidRPr="00BB5519">
        <w:rPr>
          <w:rFonts w:cs="Tahoma"/>
          <w:b/>
          <w:szCs w:val="20"/>
          <w:lang w:val="de-DE"/>
        </w:rPr>
        <w:lastRenderedPageBreak/>
        <w:t>Migrationsrecht für Forefront Protection 2010 für Exchange Server</w:t>
      </w:r>
    </w:p>
    <w:p w:rsidR="00273685" w:rsidRPr="00BB5519" w:rsidRDefault="00273685" w:rsidP="00AD7532">
      <w:pPr>
        <w:keepNext/>
        <w:keepLines/>
        <w:ind w:left="720"/>
        <w:rPr>
          <w:lang w:val="de-DE"/>
        </w:rPr>
      </w:pPr>
      <w:r w:rsidRPr="00BB5519">
        <w:rPr>
          <w:rFonts w:cs="Tahoma"/>
          <w:color w:val="000000"/>
          <w:szCs w:val="20"/>
          <w:lang w:val="de-DE"/>
        </w:rPr>
        <w:t>Kunden mit Volumenlizenzverträgen, die eine Lizenz für Forefront Protection 2010 für Exchange Server erworben haben, sind berechtigt, statt diesem Produkt Antigen für Exchange, Antigen für SMTP Gateways und Antigen Spam Manager zu verwenden.</w:t>
      </w:r>
      <w:r w:rsidR="009E4976" w:rsidRPr="00BB5519">
        <w:rPr>
          <w:rFonts w:cs="Tahoma"/>
          <w:color w:val="000000"/>
          <w:szCs w:val="20"/>
          <w:lang w:val="de-DE"/>
        </w:rPr>
        <w:t xml:space="preserve"> </w:t>
      </w:r>
      <w:r w:rsidRPr="00BB5519">
        <w:rPr>
          <w:rFonts w:cs="Tahoma"/>
          <w:color w:val="000000"/>
          <w:szCs w:val="20"/>
          <w:lang w:val="de-DE"/>
        </w:rP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rsidR="00273685" w:rsidRPr="00BB5519" w:rsidRDefault="00273685" w:rsidP="00221A57">
      <w:pPr>
        <w:ind w:left="720"/>
        <w:rPr>
          <w:lang w:val="de-DE"/>
        </w:rPr>
      </w:pPr>
    </w:p>
    <w:p w:rsidR="00273685" w:rsidRPr="00BB5519" w:rsidRDefault="00273685" w:rsidP="00AD7532">
      <w:pPr>
        <w:ind w:left="720" w:right="-90"/>
        <w:rPr>
          <w:lang w:val="de-DE"/>
        </w:rPr>
      </w:pPr>
      <w:r w:rsidRPr="00BB5519">
        <w:rPr>
          <w:rFonts w:cs="Tahoma"/>
          <w:color w:val="000000"/>
          <w:szCs w:val="20"/>
          <w:lang w:val="de-DE"/>
        </w:rPr>
        <w:t>*Das Recht zur Nutzung von Antigen anstelle von Forefront Security gilt nicht für Kunden, die zunächst Lizenzen für einen oder mehrere Antigen-Dienste erwerben und dann zu Forefront Protection 2010 für Exchange Server migrieren.</w:t>
      </w:r>
      <w:r w:rsidR="009E4976" w:rsidRPr="00BB5519">
        <w:rPr>
          <w:rFonts w:cs="Tahoma"/>
          <w:color w:val="000000"/>
          <w:szCs w:val="20"/>
          <w:lang w:val="de-DE"/>
        </w:rPr>
        <w:t xml:space="preserve"> </w:t>
      </w:r>
      <w:r w:rsidRPr="00BB5519">
        <w:rPr>
          <w:rFonts w:cs="Tahoma"/>
          <w:color w:val="000000"/>
          <w:szCs w:val="20"/>
          <w:lang w:val="de-DE"/>
        </w:rP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9E4976" w:rsidRPr="00BB5519">
        <w:rPr>
          <w:rFonts w:cs="Tahoma"/>
          <w:color w:val="000000"/>
          <w:szCs w:val="20"/>
          <w:lang w:val="de-DE"/>
        </w:rPr>
        <w:t xml:space="preserve"> </w:t>
      </w:r>
    </w:p>
    <w:p w:rsidR="00973A93" w:rsidRPr="00BB5519" w:rsidRDefault="00973A93">
      <w:pPr>
        <w:rPr>
          <w:lang w:val="de-DE"/>
        </w:rPr>
      </w:pPr>
    </w:p>
    <w:p w:rsidR="00273685" w:rsidRPr="00BB5519" w:rsidRDefault="00273685" w:rsidP="00221A57">
      <w:pPr>
        <w:spacing w:after="60"/>
        <w:ind w:left="720"/>
      </w:pPr>
      <w:r w:rsidRPr="00BB5519">
        <w:rPr>
          <w:rFonts w:cs="Tahoma"/>
          <w:b/>
          <w:szCs w:val="20"/>
        </w:rPr>
        <w:t>Downgraderecht für Forefront Security for SharePoint</w:t>
      </w:r>
    </w:p>
    <w:p w:rsidR="00273685" w:rsidRPr="00BB5519" w:rsidRDefault="00273685" w:rsidP="00221A57">
      <w:pPr>
        <w:ind w:left="720"/>
        <w:rPr>
          <w:lang w:val="de-DE"/>
        </w:rPr>
      </w:pPr>
      <w:r w:rsidRPr="00BB5519">
        <w:rPr>
          <w:rFonts w:cs="Tahoma"/>
          <w:szCs w:val="20"/>
          <w:lang w:val="de-DE"/>
        </w:rPr>
        <w:t>Kunden mit Volumenlizenzverträgen, die eine Lizenz für Forefront Protection 2010 for SharePoint erworben haben, sind berechtigt, ein Downgrade durchzuführen und statt diesem Produkt Antigen für SharePoint zu verwenden.</w:t>
      </w:r>
      <w:r w:rsidR="009E4976" w:rsidRPr="00BB5519">
        <w:rPr>
          <w:rFonts w:cs="Tahoma"/>
          <w:szCs w:val="20"/>
          <w:lang w:val="de-DE"/>
        </w:rPr>
        <w:t xml:space="preserve"> </w:t>
      </w:r>
      <w:r w:rsidRPr="00BB5519">
        <w:rPr>
          <w:rFonts w:cs="Tahoma"/>
          <w:szCs w:val="20"/>
          <w:lang w:val="de-DE"/>
        </w:rP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rsidR="00273685" w:rsidRPr="00BB5519" w:rsidRDefault="00273685" w:rsidP="00221A57">
      <w:pPr>
        <w:ind w:left="720"/>
        <w:rPr>
          <w:lang w:val="de-DE"/>
        </w:rPr>
      </w:pPr>
    </w:p>
    <w:p w:rsidR="00273685" w:rsidRPr="00BB5519" w:rsidRDefault="00273685" w:rsidP="00221A57">
      <w:pPr>
        <w:ind w:left="720"/>
        <w:rPr>
          <w:lang w:val="de-DE"/>
        </w:rPr>
      </w:pPr>
      <w:r w:rsidRPr="00BB5519">
        <w:rPr>
          <w:rFonts w:cs="Tahoma"/>
          <w:bCs/>
          <w:color w:val="000000"/>
          <w:szCs w:val="20"/>
          <w:lang w:val="de-DE"/>
        </w:rPr>
        <w:t>Alle Nutzer (oder Geräte), die auf einen geschützten Server zugreifen, benötigen Nutzer- (oder Geräte-)ALs, außer die Lizenz läuft über den externen Connector für Forefront für Exchange oder die Add-On-ALs für Forefront Security for SharePoint for Internet Sites.</w:t>
      </w:r>
    </w:p>
    <w:p w:rsidR="00273685" w:rsidRPr="00BB5519" w:rsidRDefault="00273685" w:rsidP="00221A57">
      <w:pPr>
        <w:pStyle w:val="EndnoteText"/>
        <w:ind w:left="720"/>
        <w:rPr>
          <w:lang w:val="de-DE"/>
        </w:rPr>
      </w:pPr>
    </w:p>
    <w:p w:rsidR="00023FE7" w:rsidRPr="00100D96" w:rsidRDefault="00273685" w:rsidP="00221A57">
      <w:pPr>
        <w:pStyle w:val="EndnoteText"/>
        <w:ind w:left="720"/>
        <w:rPr>
          <w:rFonts w:ascii="Tahoma" w:hAnsi="Tahoma" w:cs="Tahoma"/>
          <w:sz w:val="18"/>
          <w:szCs w:val="18"/>
          <w:lang w:val="de-DE"/>
        </w:rPr>
      </w:pPr>
      <w:r w:rsidRPr="00100D96">
        <w:rPr>
          <w:rFonts w:ascii="Tahoma" w:hAnsi="Tahoma" w:cs="Tahoma"/>
          <w:bCs/>
          <w:color w:val="000000"/>
          <w:sz w:val="18"/>
          <w:szCs w:val="18"/>
          <w:lang w:val="de-DE"/>
        </w:rPr>
        <w:t>Preise und Zahlungsbestimmungen für Onlinedienste finden Sie in</w:t>
      </w:r>
      <w:hyperlink w:anchor="_Abschnitt_5_–" w:history="1">
        <w:r w:rsidRPr="00100D96">
          <w:rPr>
            <w:rFonts w:ascii="Tahoma" w:hAnsi="Tahoma" w:cs="Tahoma"/>
            <w:sz w:val="18"/>
            <w:szCs w:val="18"/>
            <w:lang w:val="de-DE"/>
          </w:rPr>
          <w:t xml:space="preserve"> </w:t>
        </w:r>
        <w:r w:rsidRPr="00100D96">
          <w:rPr>
            <w:rStyle w:val="Hyperlink"/>
            <w:rFonts w:ascii="Tahoma" w:hAnsi="Tahoma" w:cs="Tahoma"/>
            <w:sz w:val="18"/>
            <w:szCs w:val="18"/>
            <w:lang w:val="de-DE"/>
          </w:rPr>
          <w:t>Abschnitt 5</w:t>
        </w:r>
      </w:hyperlink>
      <w:r w:rsidRPr="00100D96">
        <w:rPr>
          <w:rFonts w:ascii="Tahoma" w:hAnsi="Tahoma" w:cs="Tahoma"/>
          <w:bCs/>
          <w:color w:val="000000"/>
          <w:sz w:val="18"/>
          <w:szCs w:val="18"/>
          <w:lang w:val="de-DE"/>
        </w:rPr>
        <w:t>.</w:t>
      </w:r>
    </w:p>
    <w:p w:rsidR="00273685" w:rsidRPr="00BB5519" w:rsidRDefault="00273685" w:rsidP="00273685">
      <w:pPr>
        <w:pStyle w:val="EndnoteText"/>
        <w:rPr>
          <w:lang w:val="de-DE"/>
        </w:rPr>
      </w:pPr>
    </w:p>
    <w:p w:rsidR="00586FCE" w:rsidRPr="00BB5519" w:rsidRDefault="00586FCE" w:rsidP="00273685">
      <w:pPr>
        <w:pStyle w:val="EndnoteText"/>
        <w:rPr>
          <w:lang w:val="de-DE"/>
        </w:rPr>
      </w:pPr>
    </w:p>
    <w:p w:rsidR="00796FF5" w:rsidRPr="00BB5519" w:rsidRDefault="00F66FB0" w:rsidP="00796FF5">
      <w:pPr>
        <w:pStyle w:val="Heading3"/>
        <w:rPr>
          <w:lang w:val="de-DE"/>
        </w:rPr>
      </w:pPr>
      <w:bookmarkStart w:id="1320" w:name="_58_Forefront_Protection"/>
      <w:bookmarkStart w:id="1321" w:name="_Toc336338319"/>
      <w:bookmarkStart w:id="1322" w:name="_Toc354055013"/>
      <w:bookmarkStart w:id="1323" w:name="Srv_45ForefrontSecfoOffComm"/>
      <w:bookmarkStart w:id="1324" w:name="Srv_46ForefrontSecfoOffComm"/>
      <w:bookmarkEnd w:id="1320"/>
      <w:r w:rsidRPr="00BB5519">
        <w:rPr>
          <w:rFonts w:ascii="Tahoma" w:hAnsi="Tahoma"/>
          <w:caps/>
          <w:color w:val="F66400"/>
          <w:sz w:val="22"/>
          <w:vertAlign w:val="superscript"/>
          <w:lang w:val="de-DE"/>
        </w:rPr>
        <w:t>58</w:t>
      </w:r>
      <w:r w:rsidRPr="00BB5519">
        <w:rPr>
          <w:rFonts w:ascii="Tahoma" w:hAnsi="Tahoma"/>
          <w:color w:val="F66400"/>
          <w:sz w:val="22"/>
          <w:lang w:val="de-DE"/>
        </w:rPr>
        <w:t xml:space="preserve"> Forefront Protection Suite (Gerät und Nutzer)</w:t>
      </w:r>
      <w:bookmarkEnd w:id="1321"/>
      <w:bookmarkEnd w:id="1322"/>
    </w:p>
    <w:bookmarkEnd w:id="1319"/>
    <w:p w:rsidR="00796FF5" w:rsidRPr="00BB5519" w:rsidRDefault="00796FF5" w:rsidP="00796FF5">
      <w:pPr>
        <w:rPr>
          <w:lang w:val="de-DE"/>
        </w:rPr>
      </w:pPr>
    </w:p>
    <w:p w:rsidR="009115D6" w:rsidRPr="00BB5519" w:rsidRDefault="009115D6" w:rsidP="00AD7532">
      <w:pPr>
        <w:ind w:left="720" w:right="-90"/>
        <w:rPr>
          <w:lang w:val="de-DE"/>
        </w:rPr>
      </w:pPr>
      <w:r w:rsidRPr="00BB5519">
        <w:rPr>
          <w:rFonts w:cs="Tahoma"/>
          <w:bCs/>
          <w:color w:val="000000"/>
          <w:szCs w:val="18"/>
          <w:lang w:val="de-DE"/>
        </w:rPr>
        <w:t>Forefront Protection Suite ist ab dem 1. Dezember 2012 nicht mehr verfügbar. Kunden mit aktiven Abonnements für den Onlinedienst zum 30. November 2012 sind berechtigt, die Komponenten-Onlinedienste weiterhin zu nutzen, bis ihr Abonnement abläuft.</w:t>
      </w:r>
      <w:r w:rsidR="009E4976" w:rsidRPr="00BB5519">
        <w:rPr>
          <w:rFonts w:cs="Tahoma"/>
          <w:bCs/>
          <w:color w:val="000000"/>
          <w:szCs w:val="18"/>
          <w:lang w:val="de-DE"/>
        </w:rPr>
        <w:t xml:space="preserve"> </w:t>
      </w:r>
      <w:r w:rsidRPr="00BB5519">
        <w:rPr>
          <w:rFonts w:cs="Tahoma"/>
          <w:bCs/>
          <w:color w:val="000000"/>
          <w:szCs w:val="18"/>
          <w:lang w:val="de-DE"/>
        </w:rPr>
        <w:t xml:space="preserve">Diese Kunden sind außerdem berechtigt, die Komponenten </w:t>
      </w:r>
      <w:r w:rsidRPr="00BB5519">
        <w:rPr>
          <w:rFonts w:cs="Tahoma"/>
          <w:color w:val="000000"/>
          <w:szCs w:val="20"/>
          <w:lang w:val="de-DE"/>
        </w:rPr>
        <w:t xml:space="preserve">Forefront Security für Office Communications Server, Forefront Protection 2010 für Exchange Server, Forefront Threat Management Gateway Web Protection Service und Forefront Protection 2010 für SharePoint Server </w:t>
      </w:r>
      <w:r w:rsidRPr="00BB5519">
        <w:rPr>
          <w:rFonts w:cs="Tahoma"/>
          <w:bCs/>
          <w:color w:val="000000"/>
          <w:szCs w:val="18"/>
          <w:lang w:val="de-DE"/>
        </w:rPr>
        <w:t xml:space="preserve">der Suite weiterhin bis zum 31. Dezember 2015 zu verwenden. </w:t>
      </w:r>
      <w:r w:rsidRPr="00BB5519">
        <w:rPr>
          <w:lang w:val="de-DE"/>
        </w:rPr>
        <w:t>Bestehende Kunden sind außerdem berechtigt, neue Nutzer nach Bedarf für Forefront Security for Office Communications Server, Forefront Protection 2010 für Exchange Server, Forefront Threat Management Gateway Web Protection Service und Forefront Protection for SharePoint Server hinzuzufügen, ohne zusätzliche Nutzer-Abonnementlizenzen bestellen zu müssen.</w:t>
      </w:r>
      <w:r w:rsidRPr="00BB5519">
        <w:rPr>
          <w:rFonts w:cs="Tahoma"/>
          <w:bCs/>
          <w:szCs w:val="18"/>
          <w:lang w:val="de-DE"/>
        </w:rPr>
        <w:t xml:space="preserve"> </w:t>
      </w:r>
      <w:r w:rsidRPr="00BB5519">
        <w:rPr>
          <w:rFonts w:cs="Tahoma"/>
          <w:bCs/>
          <w:color w:val="000000"/>
          <w:szCs w:val="18"/>
          <w:lang w:val="de-DE"/>
        </w:rPr>
        <w:t>Die fortgesetzte Verwendung der Komponenten-Onlinedienste unterliegt weiterhin den Bestimmungen des Volumenlizenzvertrages des Kunden, den Produktbenutzungsrechten für die Onlinedienste und den hierin enthaltenen Bestimmungen.</w:t>
      </w:r>
    </w:p>
    <w:p w:rsidR="009115D6" w:rsidRPr="00BB5519" w:rsidRDefault="009115D6" w:rsidP="00796FF5">
      <w:pPr>
        <w:ind w:left="720"/>
        <w:rPr>
          <w:lang w:val="de-DE"/>
        </w:rPr>
      </w:pPr>
    </w:p>
    <w:p w:rsidR="00796FF5" w:rsidRPr="00BB5519" w:rsidRDefault="00796FF5" w:rsidP="00796FF5">
      <w:pPr>
        <w:ind w:left="720"/>
        <w:rPr>
          <w:lang w:val="de-DE"/>
        </w:rPr>
      </w:pPr>
      <w:r w:rsidRPr="00BB5519">
        <w:rPr>
          <w:rFonts w:cs="Tahoma"/>
          <w:color w:val="000000"/>
          <w:szCs w:val="20"/>
          <w:lang w:val="de-DE"/>
        </w:rPr>
        <w:t xml:space="preserve">Das Forefront Protection Suite-Abonnement umfasst die folgenden Onlinedienste: Forefront Endpoint Protection, Forefront für Office Communications Server (bisher Antigen für Instant Messaging), Forefront Online Protection für Exchange (bisher Exchange Hosted Filtering), Forefront Protection 2010 für Exchange Server, Forefront Threat Management Gateway Web Protection Service und Forefront Protection 2010 for SharePoint Server. </w:t>
      </w:r>
    </w:p>
    <w:p w:rsidR="00796FF5" w:rsidRPr="00BB5519" w:rsidRDefault="00796FF5" w:rsidP="00796FF5">
      <w:pPr>
        <w:ind w:left="720"/>
        <w:rPr>
          <w:lang w:val="de-DE"/>
        </w:rPr>
      </w:pPr>
    </w:p>
    <w:p w:rsidR="006E5A58" w:rsidRPr="00BB5519" w:rsidRDefault="00796FF5" w:rsidP="00221A57">
      <w:pPr>
        <w:ind w:left="720"/>
        <w:rPr>
          <w:lang w:val="de-DE"/>
        </w:rPr>
      </w:pPr>
      <w:r w:rsidRPr="00BB5519">
        <w:rPr>
          <w:rFonts w:cs="Tahoma"/>
          <w:bCs/>
          <w:color w:val="000000"/>
          <w:szCs w:val="20"/>
          <w:lang w:val="de-DE"/>
        </w:rPr>
        <w:t xml:space="preserve">Preise und Zahlungsbestimmungen für Onlinedienste finden Sie in </w:t>
      </w:r>
      <w:r w:rsidRPr="00BB5519">
        <w:rPr>
          <w:lang w:val="de-DE"/>
        </w:rPr>
        <w:t>Abschnitt 5</w:t>
      </w:r>
      <w:r w:rsidRPr="00BB5519">
        <w:rPr>
          <w:rFonts w:cs="Tahoma"/>
          <w:bCs/>
          <w:color w:val="000000"/>
          <w:szCs w:val="20"/>
          <w:lang w:val="de-DE"/>
        </w:rPr>
        <w:t xml:space="preserve">. </w:t>
      </w:r>
    </w:p>
    <w:p w:rsidR="00796FF5" w:rsidRPr="00BB5519" w:rsidRDefault="00796FF5" w:rsidP="00221A57">
      <w:pPr>
        <w:rPr>
          <w:lang w:val="de-DE"/>
        </w:rPr>
      </w:pPr>
    </w:p>
    <w:p w:rsidR="009C2B6B" w:rsidRPr="00BB5519" w:rsidRDefault="009C2B6B" w:rsidP="00221A57">
      <w:pPr>
        <w:rPr>
          <w:lang w:val="de-DE"/>
        </w:rPr>
      </w:pPr>
    </w:p>
    <w:p w:rsidR="00023FE7" w:rsidRPr="00BB5519" w:rsidRDefault="00F66FB0" w:rsidP="00021BF7">
      <w:pPr>
        <w:pStyle w:val="Heading3"/>
        <w:keepNext/>
        <w:keepLines/>
      </w:pPr>
      <w:bookmarkStart w:id="1325" w:name="_59_Forefront_Security"/>
      <w:bookmarkStart w:id="1326" w:name="_Toc336338320"/>
      <w:bookmarkStart w:id="1327" w:name="_Toc354055014"/>
      <w:bookmarkStart w:id="1328" w:name="Srv_49ForefrontSecfoOffComm"/>
      <w:bookmarkEnd w:id="1325"/>
      <w:r w:rsidRPr="00BB5519">
        <w:rPr>
          <w:rFonts w:ascii="Tahoma" w:hAnsi="Tahoma"/>
          <w:caps/>
          <w:color w:val="F66400"/>
          <w:sz w:val="22"/>
          <w:vertAlign w:val="superscript"/>
        </w:rPr>
        <w:lastRenderedPageBreak/>
        <w:t xml:space="preserve">59 </w:t>
      </w:r>
      <w:r w:rsidRPr="00BB5519">
        <w:rPr>
          <w:rFonts w:ascii="Tahoma" w:hAnsi="Tahoma"/>
          <w:color w:val="F66400"/>
          <w:sz w:val="22"/>
        </w:rPr>
        <w:t>Forefront Security for Office Communications Server (Nutzer- und Geräte-AL)</w:t>
      </w:r>
      <w:bookmarkEnd w:id="1326"/>
      <w:bookmarkEnd w:id="1327"/>
    </w:p>
    <w:bookmarkEnd w:id="1328"/>
    <w:p w:rsidR="00023FE7" w:rsidRPr="00BB5519" w:rsidRDefault="00023FE7" w:rsidP="00021BF7">
      <w:pPr>
        <w:pStyle w:val="EndnoteText"/>
        <w:keepNext/>
        <w:keepLines/>
        <w:ind w:left="0"/>
      </w:pPr>
    </w:p>
    <w:bookmarkEnd w:id="1323"/>
    <w:bookmarkEnd w:id="1324"/>
    <w:p w:rsidR="009115D6" w:rsidRPr="00BB5519" w:rsidRDefault="009115D6" w:rsidP="00021BF7">
      <w:pPr>
        <w:keepNext/>
        <w:keepLines/>
        <w:ind w:left="720"/>
        <w:rPr>
          <w:lang w:val="de-DE"/>
        </w:rPr>
      </w:pPr>
      <w:r w:rsidRPr="00BB5519">
        <w:rPr>
          <w:rFonts w:cs="Tahoma"/>
          <w:bCs/>
          <w:color w:val="000000"/>
          <w:szCs w:val="18"/>
        </w:rPr>
        <w:t xml:space="preserve">Forefront Security for Office Communications Server ist ab dem 1. </w:t>
      </w:r>
      <w:r w:rsidRPr="00BB5519">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BB5519">
        <w:rPr>
          <w:lang w:val="de-DE"/>
        </w:rPr>
        <w:t>Bestehende Kunden sind außerdem berechtigt, neue Nutzer nach Bedarf hinzuzufügen, ohne zusätzliche Nutzer-Abonnementlizenzen bestellen zu müssen.</w:t>
      </w:r>
      <w:r w:rsidR="009E4976" w:rsidRPr="00BB5519">
        <w:rPr>
          <w:lang w:val="de-DE"/>
        </w:rPr>
        <w:t xml:space="preserve"> </w:t>
      </w:r>
      <w:r w:rsidRPr="00BB5519">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9115D6" w:rsidRPr="00BB5519" w:rsidRDefault="009115D6" w:rsidP="009115D6">
      <w:pPr>
        <w:ind w:left="720"/>
        <w:rPr>
          <w:lang w:val="de-DE"/>
        </w:rPr>
      </w:pPr>
    </w:p>
    <w:p w:rsidR="00023FE7" w:rsidRPr="00BB5519" w:rsidRDefault="00023FE7" w:rsidP="00E62BC4">
      <w:pPr>
        <w:pStyle w:val="EndnoteText"/>
        <w:ind w:left="720"/>
        <w:rPr>
          <w:lang w:val="de-DE"/>
        </w:rPr>
      </w:pPr>
      <w:r w:rsidRPr="00BB5519">
        <w:rPr>
          <w:rFonts w:ascii="Tahoma" w:hAnsi="Tahoma" w:cs="Tahoma"/>
          <w:bCs/>
          <w:color w:val="000000"/>
          <w:sz w:val="18"/>
          <w:szCs w:val="20"/>
          <w:lang w:val="de-DE"/>
        </w:rPr>
        <w:t>Alle Nutzer (oder Geräte), die auf einen geschützten Server zugreifen, benötigen Nutzer- (oder Geräte-)ALs.</w:t>
      </w:r>
      <w:r w:rsidR="009E4976" w:rsidRPr="00BB5519">
        <w:rPr>
          <w:rFonts w:ascii="Tahoma" w:hAnsi="Tahoma" w:cs="Tahoma"/>
          <w:bCs/>
          <w:color w:val="000000"/>
          <w:sz w:val="18"/>
          <w:szCs w:val="20"/>
          <w:lang w:val="de-DE"/>
        </w:rPr>
        <w:t xml:space="preserve"> </w:t>
      </w:r>
      <w:r w:rsidRPr="00BB5519">
        <w:rPr>
          <w:rFonts w:ascii="Tahoma" w:hAnsi="Tahoma" w:cs="Tahoma"/>
          <w:bCs/>
          <w:color w:val="000000"/>
          <w:sz w:val="18"/>
          <w:szCs w:val="20"/>
          <w:lang w:val="de-DE"/>
        </w:rPr>
        <w:t>Dieser Onlinedienst hieß früher Antigen für Instant Messaging.</w:t>
      </w:r>
      <w:r w:rsidR="009E4976" w:rsidRPr="00BB5519">
        <w:rPr>
          <w:rFonts w:ascii="Tahoma" w:hAnsi="Tahoma" w:cs="Tahoma"/>
          <w:bCs/>
          <w:color w:val="000000"/>
          <w:sz w:val="18"/>
          <w:szCs w:val="20"/>
          <w:lang w:val="de-DE"/>
        </w:rPr>
        <w:t xml:space="preserve"> </w:t>
      </w:r>
    </w:p>
    <w:p w:rsidR="00023FE7" w:rsidRPr="00BB5519" w:rsidRDefault="00023FE7" w:rsidP="00697E59">
      <w:pPr>
        <w:rPr>
          <w:lang w:val="de-DE"/>
        </w:rPr>
      </w:pPr>
      <w:bookmarkStart w:id="1329" w:name="Srv_48ForefrontSvrSecMgmtConsole"/>
    </w:p>
    <w:p w:rsidR="00EE30F1" w:rsidRPr="00BB5519" w:rsidRDefault="00EE30F1" w:rsidP="00221A57">
      <w:pPr>
        <w:rPr>
          <w:lang w:val="de-DE"/>
        </w:rPr>
      </w:pPr>
      <w:bookmarkStart w:id="1330" w:name="_49_Forefront_Threat"/>
      <w:bookmarkStart w:id="1331" w:name="Srv_52ForefrontUnifiedAccessGtwy2010"/>
      <w:bookmarkStart w:id="1332" w:name="Srv_56ForefrontUnifiedAccessGtwy2010"/>
      <w:bookmarkEnd w:id="1329"/>
      <w:bookmarkEnd w:id="1330"/>
    </w:p>
    <w:p w:rsidR="0079439D" w:rsidRPr="00BB5519" w:rsidRDefault="00F66FB0" w:rsidP="00221A57">
      <w:pPr>
        <w:pStyle w:val="Heading3"/>
        <w:rPr>
          <w:lang w:val="de-DE"/>
        </w:rPr>
      </w:pPr>
      <w:bookmarkStart w:id="1333" w:name="_50__Forefront"/>
      <w:bookmarkStart w:id="1334" w:name="_57_Forefront_Threat"/>
      <w:bookmarkStart w:id="1335" w:name="_60_Forefront_Threat"/>
      <w:bookmarkStart w:id="1336" w:name="_Toc336338321"/>
      <w:bookmarkStart w:id="1337" w:name="Srv_51ForefrontThreatMgmtGtwy2010"/>
      <w:bookmarkStart w:id="1338" w:name="_Toc354055015"/>
      <w:bookmarkEnd w:id="1333"/>
      <w:bookmarkEnd w:id="1334"/>
      <w:bookmarkEnd w:id="1335"/>
      <w:r w:rsidRPr="00BB5519">
        <w:rPr>
          <w:rFonts w:ascii="Tahoma" w:hAnsi="Tahoma"/>
          <w:caps/>
          <w:color w:val="F66400"/>
          <w:sz w:val="22"/>
          <w:vertAlign w:val="superscript"/>
          <w:lang w:val="de-DE"/>
        </w:rPr>
        <w:t xml:space="preserve">60 </w:t>
      </w:r>
      <w:r w:rsidRPr="00BB5519">
        <w:rPr>
          <w:rFonts w:ascii="Tahoma" w:hAnsi="Tahoma"/>
          <w:color w:val="F66400"/>
          <w:sz w:val="22"/>
          <w:lang w:val="de-DE"/>
        </w:rPr>
        <w:t xml:space="preserve">Forefront Threat Management Gateway </w:t>
      </w:r>
      <w:bookmarkEnd w:id="1336"/>
      <w:r w:rsidRPr="00BB5519">
        <w:rPr>
          <w:rFonts w:ascii="Tahoma" w:hAnsi="Tahoma"/>
          <w:color w:val="F66400"/>
          <w:sz w:val="22"/>
          <w:lang w:val="de-DE"/>
        </w:rPr>
        <w:t>Web Protection Service</w:t>
      </w:r>
      <w:bookmarkEnd w:id="1337"/>
      <w:bookmarkEnd w:id="1338"/>
    </w:p>
    <w:p w:rsidR="00221A57" w:rsidRPr="00BB5519" w:rsidRDefault="00221A57" w:rsidP="00221A57">
      <w:pPr>
        <w:rPr>
          <w:lang w:val="de-DE"/>
        </w:rPr>
      </w:pPr>
    </w:p>
    <w:p w:rsidR="00586FCE" w:rsidRPr="00BB5519" w:rsidRDefault="0079439D" w:rsidP="00221A57">
      <w:pPr>
        <w:ind w:left="720"/>
        <w:rPr>
          <w:lang w:val="de-DE"/>
        </w:rPr>
      </w:pPr>
      <w:bookmarkStart w:id="1339" w:name="_Toc336338322"/>
      <w:r w:rsidRPr="00BB5519">
        <w:rPr>
          <w:rFonts w:cs="Tahoma"/>
          <w:bCs/>
          <w:color w:val="000000"/>
          <w:szCs w:val="18"/>
        </w:rPr>
        <w:t xml:space="preserve">Forefront Threat Management Gateway Web Protection Service ist ab dem 1. </w:t>
      </w:r>
      <w:r w:rsidRPr="00BB5519">
        <w:rPr>
          <w:rFonts w:cs="Tahoma"/>
          <w:bCs/>
          <w:color w:val="000000"/>
          <w:szCs w:val="18"/>
          <w:lang w:val="de-DE"/>
        </w:rPr>
        <w:t xml:space="preserve">Dezember 2012 nicht mehr verfügbar. Kunden mit aktiven Abonnements für den Onlinedienst zum 30. November 2012 sind berechtigt, den Onlinedienst weiterhin bis zum 31. Dezember 2015 zu nutzen. </w:t>
      </w:r>
      <w:r w:rsidRPr="00BB5519">
        <w:rPr>
          <w:lang w:val="de-DE"/>
        </w:rPr>
        <w:t>Bestehende Kunden sind außerdem berechtigt, neue Nutzer nach Bedarf hinzuzufügen, ohne zusätzliche Nutzer-Abonnementlizenzen bestellen zu müssen.</w:t>
      </w:r>
      <w:r w:rsidR="009E4976" w:rsidRPr="00BB5519">
        <w:rPr>
          <w:rFonts w:cs="Tahoma"/>
          <w:bCs/>
          <w:szCs w:val="18"/>
          <w:lang w:val="de-DE"/>
        </w:rPr>
        <w:t xml:space="preserve"> </w:t>
      </w:r>
      <w:r w:rsidRPr="00BB5519">
        <w:rPr>
          <w:rFonts w:cs="Tahoma"/>
          <w:bCs/>
          <w:color w:val="000000"/>
          <w:szCs w:val="18"/>
          <w:lang w:val="de-DE"/>
        </w:rPr>
        <w:t xml:space="preserve">Die fortgesetzte Verwendung des Onlinedienstes unterliegt weiterhin den Bestimmungen des Volumenlizenzvertrages des Kunden, den Produktbenutzungsrechten für den Onlinedienst und den hierin enthaltenen Bestimmungen. </w:t>
      </w:r>
    </w:p>
    <w:p w:rsidR="00221A57" w:rsidRPr="00BB5519" w:rsidRDefault="00221A57" w:rsidP="00221A57">
      <w:pPr>
        <w:rPr>
          <w:lang w:val="de-DE"/>
        </w:rPr>
      </w:pPr>
    </w:p>
    <w:p w:rsidR="00221A57" w:rsidRPr="00BB5519" w:rsidRDefault="00221A57" w:rsidP="00221A57">
      <w:pPr>
        <w:rPr>
          <w:lang w:val="de-DE"/>
        </w:rPr>
      </w:pPr>
    </w:p>
    <w:p w:rsidR="009E4FDD" w:rsidRPr="00BB5519" w:rsidRDefault="00F66FB0" w:rsidP="009E4FDD">
      <w:pPr>
        <w:pStyle w:val="Heading3"/>
        <w:rPr>
          <w:lang w:val="de-DE"/>
        </w:rPr>
      </w:pPr>
      <w:bookmarkStart w:id="1340" w:name="_61_Forefront_Unified"/>
      <w:bookmarkStart w:id="1341" w:name="_Toc354055016"/>
      <w:bookmarkEnd w:id="1340"/>
      <w:r w:rsidRPr="00BB5519">
        <w:rPr>
          <w:rFonts w:ascii="Tahoma" w:hAnsi="Tahoma"/>
          <w:caps/>
          <w:color w:val="F66400"/>
          <w:sz w:val="22"/>
          <w:vertAlign w:val="superscript"/>
          <w:lang w:val="de-DE"/>
        </w:rPr>
        <w:t xml:space="preserve">61 </w:t>
      </w:r>
      <w:r w:rsidRPr="00BB5519">
        <w:rPr>
          <w:rFonts w:ascii="Tahoma" w:hAnsi="Tahoma"/>
          <w:color w:val="F66400"/>
          <w:sz w:val="22"/>
          <w:lang w:val="de-DE"/>
        </w:rPr>
        <w:t>Forefront Unified Access Gateway 2010</w:t>
      </w:r>
      <w:bookmarkEnd w:id="1339"/>
      <w:bookmarkEnd w:id="1341"/>
    </w:p>
    <w:bookmarkEnd w:id="1331"/>
    <w:bookmarkEnd w:id="1332"/>
    <w:p w:rsidR="009E4FDD" w:rsidRPr="00BB5519" w:rsidRDefault="009E4FDD" w:rsidP="009E4FDD">
      <w:pPr>
        <w:rPr>
          <w:lang w:val="de-DE"/>
        </w:rPr>
      </w:pPr>
    </w:p>
    <w:p w:rsidR="009E4FDD" w:rsidRPr="00BB5519" w:rsidRDefault="009E4FDD" w:rsidP="00221A57">
      <w:pPr>
        <w:spacing w:after="60"/>
        <w:ind w:left="720"/>
        <w:rPr>
          <w:lang w:val="de-DE"/>
        </w:rPr>
      </w:pPr>
      <w:r w:rsidRPr="00BB5519">
        <w:rPr>
          <w:rFonts w:cs="Tahoma"/>
          <w:b/>
          <w:color w:val="000000"/>
          <w:szCs w:val="18"/>
          <w:lang w:val="de-DE"/>
        </w:rPr>
        <w:t>Version</w:t>
      </w:r>
    </w:p>
    <w:p w:rsidR="009E4FDD" w:rsidRPr="00BB5519" w:rsidRDefault="009E4FDD" w:rsidP="00431B3C">
      <w:pPr>
        <w:ind w:left="720"/>
        <w:rPr>
          <w:lang w:val="de-DE"/>
        </w:rPr>
      </w:pPr>
      <w:r w:rsidRPr="00BB5519">
        <w:rPr>
          <w:rFonts w:cs="Tahoma"/>
          <w:color w:val="000000"/>
          <w:szCs w:val="18"/>
          <w:lang w:val="de-DE"/>
        </w:rPr>
        <w:t>Forefront Unified Access Gateway 2010 ist die nächste Version von Whale Intelligent Application</w:t>
      </w:r>
      <w:r w:rsidR="00431B3C">
        <w:rPr>
          <w:rFonts w:cs="Tahoma"/>
          <w:color w:val="000000"/>
          <w:szCs w:val="18"/>
          <w:lang w:val="de-DE"/>
        </w:rPr>
        <w:t> </w:t>
      </w:r>
      <w:r w:rsidRPr="00BB5519">
        <w:rPr>
          <w:rFonts w:cs="Tahoma"/>
          <w:color w:val="000000"/>
          <w:szCs w:val="18"/>
          <w:lang w:val="de-DE"/>
        </w:rPr>
        <w:t>Gateway</w:t>
      </w:r>
      <w:r w:rsidR="00431B3C">
        <w:rPr>
          <w:rFonts w:cs="Tahoma"/>
          <w:color w:val="000000"/>
          <w:szCs w:val="18"/>
          <w:lang w:val="de-DE"/>
        </w:rPr>
        <w:t> </w:t>
      </w:r>
      <w:r w:rsidRPr="00BB5519">
        <w:rPr>
          <w:rFonts w:cs="Tahoma"/>
          <w:color w:val="000000"/>
          <w:szCs w:val="18"/>
          <w:lang w:val="de-DE"/>
        </w:rPr>
        <w:t>2007.</w:t>
      </w:r>
    </w:p>
    <w:p w:rsidR="00EE30F1" w:rsidRPr="00BB5519" w:rsidRDefault="00EE30F1">
      <w:pPr>
        <w:ind w:left="720"/>
        <w:rPr>
          <w:lang w:val="de-DE"/>
        </w:rPr>
      </w:pPr>
    </w:p>
    <w:p w:rsidR="001979E9" w:rsidRPr="00BB5519" w:rsidRDefault="001979E9">
      <w:pPr>
        <w:ind w:left="720"/>
        <w:rPr>
          <w:lang w:val="de-DE"/>
        </w:rPr>
      </w:pPr>
    </w:p>
    <w:p w:rsidR="00023FE7" w:rsidRPr="00BB5519" w:rsidRDefault="00F66FB0" w:rsidP="00416294">
      <w:pPr>
        <w:pStyle w:val="Heading3"/>
        <w:rPr>
          <w:lang w:val="de-DE"/>
        </w:rPr>
      </w:pPr>
      <w:bookmarkStart w:id="1342" w:name="_51_High_Performance"/>
      <w:bookmarkStart w:id="1343" w:name="_63_61_HPC"/>
      <w:bookmarkStart w:id="1344" w:name="_62_HPC_Pack"/>
      <w:bookmarkStart w:id="1345" w:name="_Toc336338323"/>
      <w:bookmarkStart w:id="1346" w:name="_Toc354055017"/>
      <w:bookmarkStart w:id="1347" w:name="Srv_48HighPerfComputingPack"/>
      <w:bookmarkStart w:id="1348" w:name="Srv_54HighPerfComputingPack"/>
      <w:bookmarkStart w:id="1349" w:name="Srv_49HighPerfComputingPack"/>
      <w:bookmarkEnd w:id="1342"/>
      <w:bookmarkEnd w:id="1343"/>
      <w:bookmarkEnd w:id="1344"/>
      <w:r w:rsidRPr="00BB5519">
        <w:rPr>
          <w:rFonts w:ascii="Tahoma" w:hAnsi="Tahoma"/>
          <w:caps/>
          <w:color w:val="F66400"/>
          <w:sz w:val="22"/>
          <w:vertAlign w:val="superscript"/>
          <w:lang w:val="de-DE"/>
        </w:rPr>
        <w:t xml:space="preserve">62 </w:t>
      </w:r>
      <w:r w:rsidRPr="00BB5519">
        <w:rPr>
          <w:rFonts w:ascii="Tahoma" w:hAnsi="Tahoma"/>
          <w:color w:val="F66400"/>
          <w:sz w:val="22"/>
          <w:lang w:val="de-DE"/>
        </w:rPr>
        <w:t>HPC Pack 2008 R2 Enterprise</w:t>
      </w:r>
      <w:bookmarkEnd w:id="1345"/>
      <w:bookmarkEnd w:id="1346"/>
    </w:p>
    <w:bookmarkEnd w:id="1347"/>
    <w:bookmarkEnd w:id="1348"/>
    <w:p w:rsidR="00023FE7" w:rsidRPr="00BB5519" w:rsidRDefault="00023FE7" w:rsidP="00416294">
      <w:pPr>
        <w:ind w:left="720"/>
        <w:rPr>
          <w:lang w:val="de-DE"/>
        </w:rPr>
      </w:pPr>
    </w:p>
    <w:bookmarkEnd w:id="1349"/>
    <w:p w:rsidR="00221A57" w:rsidRPr="00BB5519" w:rsidRDefault="001978C7" w:rsidP="00221A57">
      <w:pPr>
        <w:spacing w:after="60"/>
        <w:ind w:left="720"/>
        <w:rPr>
          <w:lang w:val="de-DE"/>
        </w:rPr>
      </w:pPr>
      <w:r w:rsidRPr="00BB5519">
        <w:rPr>
          <w:b/>
          <w:color w:val="000000"/>
          <w:lang w:val="de-DE"/>
        </w:rPr>
        <w:t>Lizenzgewährungen im Zusammenhang mit dem Ende der Lebensdauer von HPC Pack Enterprise</w:t>
      </w:r>
    </w:p>
    <w:p w:rsidR="00221A57" w:rsidRPr="00BB5519" w:rsidRDefault="001978C7" w:rsidP="00221A57">
      <w:pPr>
        <w:ind w:left="720"/>
        <w:rPr>
          <w:lang w:val="de-DE"/>
        </w:rPr>
      </w:pPr>
      <w:r w:rsidRPr="00BB5519">
        <w:rPr>
          <w:color w:val="000000"/>
          <w:lang w:val="de-DE"/>
        </w:rPr>
        <w:t xml:space="preserve">HPC Pack 2008 R2 Enterprise ist die letzte Version von HPC Pack Enterprise, die über Volumenlizenzierung verkauft wird. Künftige Versionen werden als kostenloser Download zur Verfügung gestellt. Volumenlizenzkunden, die am 1. September 2012 oder am Datum der ersten Verfügbarkeit von Windows Server 2012 zum Download im Volume Licensing Service Center, wobei das frühere Datum maßgeblich ist, über aktive Software Assurance für HPC Pack 2008 R2 Enterprise-Lizenzen verfügen, („Qualifizierende Lizenzen“) sind berechtigt, </w:t>
      </w:r>
      <w:r w:rsidRPr="00BB5519">
        <w:rPr>
          <w:rFonts w:eastAsia="Calibri" w:cs="Tahoma"/>
          <w:szCs w:val="18"/>
          <w:lang w:val="de-DE"/>
        </w:rPr>
        <w:t>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w:t>
      </w:r>
    </w:p>
    <w:p w:rsidR="001978C7" w:rsidRPr="00BB5519" w:rsidRDefault="001978C7" w:rsidP="00221A57">
      <w:pPr>
        <w:ind w:left="720"/>
        <w:rPr>
          <w:lang w:val="de-DE"/>
        </w:rPr>
      </w:pPr>
      <w:r w:rsidRPr="00BB5519">
        <w:rPr>
          <w:rFonts w:eastAsia="Calibri" w:cs="Tahoma"/>
          <w:szCs w:val="18"/>
          <w:lang w:val="de-DE"/>
        </w:rPr>
        <w:t xml:space="preserve"> </w:t>
      </w:r>
    </w:p>
    <w:p w:rsidR="001978C7" w:rsidRPr="00BB5519" w:rsidRDefault="001978C7" w:rsidP="00221A57">
      <w:pPr>
        <w:numPr>
          <w:ilvl w:val="0"/>
          <w:numId w:val="70"/>
        </w:numPr>
        <w:tabs>
          <w:tab w:val="clear" w:pos="360"/>
          <w:tab w:val="left" w:pos="1440"/>
        </w:tabs>
        <w:spacing w:after="60"/>
        <w:ind w:left="1440"/>
        <w:rPr>
          <w:lang w:val="de-DE"/>
        </w:rPr>
      </w:pPr>
      <w:r w:rsidRPr="00BB5519">
        <w:rPr>
          <w:color w:val="000000"/>
          <w:lang w:val="de-DE"/>
        </w:rPr>
        <w:t>Wenn ein Kunde über eine ungerade Anzahl von HPC Pack Enterprise-Lizenzen verfügt, muss der Kunde auf die nächste gerade Zahl aufrunden, um festzustellen, wie viele Lizenzen ihm gewährt werden.</w:t>
      </w:r>
      <w:r w:rsidR="009E4976" w:rsidRPr="00BB5519">
        <w:rPr>
          <w:color w:val="000000"/>
          <w:lang w:val="de-DE"/>
        </w:rPr>
        <w:t xml:space="preserve"> </w:t>
      </w:r>
      <w:r w:rsidRPr="00BB5519">
        <w:rPr>
          <w:color w:val="000000"/>
          <w:lang w:val="de-DE"/>
        </w:rPr>
        <w:t>Beispiel: Einem Kunden, der über drei HPC Pack Enterprise-Lizenzen verfügt, werden insgesamt zwei Windows Server 2012 Standard-Lizenzen gewährt.</w:t>
      </w:r>
    </w:p>
    <w:p w:rsidR="001978C7" w:rsidRPr="00BB5519" w:rsidRDefault="001978C7" w:rsidP="00431B3C">
      <w:pPr>
        <w:pStyle w:val="ListParagraph"/>
        <w:numPr>
          <w:ilvl w:val="0"/>
          <w:numId w:val="70"/>
        </w:numPr>
        <w:tabs>
          <w:tab w:val="clear" w:pos="360"/>
          <w:tab w:val="left" w:pos="1440"/>
        </w:tabs>
        <w:spacing w:after="60"/>
        <w:ind w:left="1440"/>
        <w:contextualSpacing w:val="0"/>
        <w:rPr>
          <w:lang w:val="de-DE"/>
        </w:rPr>
      </w:pPr>
      <w:r w:rsidRPr="00BB5519">
        <w:rPr>
          <w:rFonts w:ascii="Tahoma" w:eastAsia="Calibri" w:hAnsi="Tahoma" w:cs="Tahoma"/>
          <w:sz w:val="18"/>
          <w:szCs w:val="18"/>
          <w:lang w:val="de-DE"/>
        </w:rPr>
        <w:t>Lizenzen, die im Rahmen dieser Gewährung erworben werden, umfassen Software Assurance.</w:t>
      </w:r>
      <w:r w:rsidR="009E4976" w:rsidRPr="00BB5519">
        <w:rPr>
          <w:rFonts w:ascii="Tahoma" w:eastAsia="Calibri" w:hAnsi="Tahoma" w:cs="Tahoma"/>
          <w:sz w:val="18"/>
          <w:szCs w:val="18"/>
          <w:lang w:val="de-DE"/>
        </w:rPr>
        <w:t xml:space="preserve"> </w:t>
      </w:r>
      <w:r w:rsidRPr="00BB5519">
        <w:rPr>
          <w:rFonts w:ascii="Tahoma" w:eastAsia="Calibri" w:hAnsi="Tahoma" w:cs="Tahoma"/>
          <w:sz w:val="18"/>
          <w:szCs w:val="18"/>
          <w:lang w:val="de-DE"/>
        </w:rPr>
        <w:t>Diese Software Assurance gilt bis zum Ablauf der Software Assurance für die Qualifizierenden</w:t>
      </w:r>
      <w:r w:rsidR="00431B3C">
        <w:rPr>
          <w:rFonts w:ascii="Tahoma" w:eastAsia="Calibri" w:hAnsi="Tahoma" w:cs="Tahoma"/>
          <w:sz w:val="18"/>
          <w:szCs w:val="18"/>
          <w:lang w:val="de-DE"/>
        </w:rPr>
        <w:t> </w:t>
      </w:r>
      <w:r w:rsidRPr="00BB5519">
        <w:rPr>
          <w:rFonts w:ascii="Tahoma" w:eastAsia="Calibri" w:hAnsi="Tahoma" w:cs="Tahoma"/>
          <w:sz w:val="18"/>
          <w:szCs w:val="18"/>
          <w:lang w:val="de-DE"/>
        </w:rPr>
        <w:t>Lizenzen.</w:t>
      </w:r>
    </w:p>
    <w:p w:rsidR="001978C7" w:rsidRPr="00BB5519" w:rsidRDefault="001978C7" w:rsidP="00221A57">
      <w:pPr>
        <w:pStyle w:val="ListParagraph"/>
        <w:numPr>
          <w:ilvl w:val="0"/>
          <w:numId w:val="70"/>
        </w:numPr>
        <w:tabs>
          <w:tab w:val="clear" w:pos="360"/>
          <w:tab w:val="left" w:pos="1440"/>
        </w:tabs>
        <w:spacing w:after="60"/>
        <w:ind w:left="1440"/>
        <w:contextualSpacing w:val="0"/>
        <w:rPr>
          <w:lang w:val="de-DE"/>
        </w:rPr>
      </w:pPr>
      <w:r w:rsidRPr="00BB551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1978C7" w:rsidRPr="00BB5519" w:rsidRDefault="001978C7" w:rsidP="00221A57">
      <w:pPr>
        <w:numPr>
          <w:ilvl w:val="0"/>
          <w:numId w:val="70"/>
        </w:numPr>
        <w:tabs>
          <w:tab w:val="clear" w:pos="360"/>
          <w:tab w:val="left" w:pos="1440"/>
          <w:tab w:val="left" w:pos="2160"/>
        </w:tabs>
        <w:spacing w:after="60"/>
        <w:ind w:left="1440"/>
        <w:rPr>
          <w:lang w:val="de-DE"/>
        </w:rPr>
      </w:pPr>
      <w:r w:rsidRPr="00BB5519">
        <w:rPr>
          <w:rFonts w:eastAsia="Calibri" w:cs="Tahoma"/>
          <w:szCs w:val="18"/>
          <w:lang w:val="de-DE"/>
        </w:rPr>
        <w:lastRenderedPageBreak/>
        <w:t xml:space="preserve">Bei Upgrade auf Windows Server 2012 Standard unter dieser Gewährung bleiben die bestehenden </w:t>
      </w:r>
      <w:r w:rsidRPr="00BB5519">
        <w:rPr>
          <w:color w:val="000000"/>
          <w:lang w:val="de-DE"/>
        </w:rPr>
        <w:t>HPC Pack Enterprise-</w:t>
      </w:r>
      <w:r w:rsidRPr="00BB5519">
        <w:rPr>
          <w:rFonts w:eastAsia="Calibri" w:cs="Tahoma"/>
          <w:szCs w:val="18"/>
          <w:lang w:val="de-DE"/>
        </w:rPr>
        <w:t>Lizenzen des Kunden gültig.</w:t>
      </w:r>
    </w:p>
    <w:p w:rsidR="001978C7" w:rsidRPr="00BB5519" w:rsidRDefault="001978C7" w:rsidP="00221A57">
      <w:pPr>
        <w:numPr>
          <w:ilvl w:val="0"/>
          <w:numId w:val="70"/>
        </w:numPr>
        <w:tabs>
          <w:tab w:val="clear" w:pos="360"/>
          <w:tab w:val="left" w:pos="1440"/>
          <w:tab w:val="left" w:pos="2160"/>
        </w:tabs>
        <w:spacing w:after="60"/>
        <w:ind w:left="1440"/>
        <w:rPr>
          <w:lang w:val="de-DE"/>
        </w:rPr>
      </w:pPr>
      <w:r w:rsidRPr="00BB5519">
        <w:rPr>
          <w:color w:val="000000"/>
          <w:lang w:val="de-DE"/>
        </w:rPr>
        <w:t>HPC Pack 2008 R2 Enterprise</w:t>
      </w:r>
      <w:r w:rsidRPr="00BB5519">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p>
    <w:p w:rsidR="001978C7" w:rsidRPr="00BB5519" w:rsidRDefault="001978C7" w:rsidP="00221A57">
      <w:pPr>
        <w:numPr>
          <w:ilvl w:val="0"/>
          <w:numId w:val="70"/>
        </w:numPr>
        <w:tabs>
          <w:tab w:val="clear" w:pos="360"/>
          <w:tab w:val="left" w:pos="1440"/>
          <w:tab w:val="left" w:pos="2160"/>
        </w:tabs>
        <w:spacing w:after="60"/>
        <w:ind w:left="1440"/>
        <w:rPr>
          <w:lang w:val="de-DE"/>
        </w:rPr>
      </w:pPr>
      <w:r w:rsidRPr="00BB5519">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221A57" w:rsidRPr="00BB5519" w:rsidRDefault="00221A57" w:rsidP="00221A57">
      <w:pPr>
        <w:tabs>
          <w:tab w:val="left" w:pos="1440"/>
          <w:tab w:val="left" w:pos="2160"/>
        </w:tabs>
        <w:ind w:left="1080"/>
        <w:contextualSpacing/>
        <w:rPr>
          <w:lang w:val="de-DE"/>
        </w:rPr>
      </w:pPr>
    </w:p>
    <w:p w:rsidR="00221A57" w:rsidRPr="00BB5519" w:rsidRDefault="001978C7" w:rsidP="00B1475C">
      <w:pPr>
        <w:spacing w:after="60"/>
        <w:ind w:left="720"/>
        <w:rPr>
          <w:lang w:val="de-DE"/>
        </w:rPr>
      </w:pPr>
      <w:r w:rsidRPr="00BB5519">
        <w:rPr>
          <w:b/>
          <w:color w:val="000000"/>
          <w:lang w:val="de-DE"/>
        </w:rPr>
        <w:t>Zusätzliche Informationen zur Verwendung von Windows Server 2012 für High Performance Computing (HPC)</w:t>
      </w:r>
    </w:p>
    <w:p w:rsidR="00E62BC4" w:rsidRPr="00BB5519" w:rsidRDefault="001978C7" w:rsidP="00B1475C">
      <w:pPr>
        <w:ind w:left="720"/>
        <w:rPr>
          <w:lang w:val="de-DE"/>
        </w:rPr>
      </w:pPr>
      <w:r w:rsidRPr="00BB5519">
        <w:rPr>
          <w:color w:val="000000"/>
          <w:lang w:val="de-DE"/>
        </w:rPr>
        <w:t>Wenn Windows Server 2012 Standard oder Datacenter für High Performance Computing verwendet wird, benötigen Sie keine CALs für den Zugriff auf die Software. Eine „High Performance Computing (“HPC”)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p>
    <w:p w:rsidR="00023FE7" w:rsidRPr="00BB5519" w:rsidRDefault="00023FE7" w:rsidP="00221A57">
      <w:pPr>
        <w:ind w:left="216"/>
        <w:rPr>
          <w:lang w:val="de-DE"/>
        </w:rPr>
      </w:pPr>
    </w:p>
    <w:p w:rsidR="00586FCE" w:rsidRPr="00BB5519" w:rsidRDefault="00586FCE" w:rsidP="00221A57">
      <w:pPr>
        <w:ind w:left="216"/>
        <w:rPr>
          <w:lang w:val="de-DE"/>
        </w:rPr>
      </w:pPr>
    </w:p>
    <w:p w:rsidR="00023FE7" w:rsidRPr="00BB5519" w:rsidRDefault="00F66FB0" w:rsidP="00416294">
      <w:pPr>
        <w:pStyle w:val="Heading3"/>
        <w:rPr>
          <w:lang w:val="de-DE"/>
        </w:rPr>
      </w:pPr>
      <w:bookmarkStart w:id="1350" w:name="_58_Learning_Solutions"/>
      <w:bookmarkStart w:id="1351" w:name="_54_Learning_Solutions"/>
      <w:bookmarkStart w:id="1352" w:name="_64_62_Learning"/>
      <w:bookmarkStart w:id="1353" w:name="Srv_60LearningSolMCP1ExamVouch"/>
      <w:bookmarkStart w:id="1354" w:name="_Toc336338324"/>
      <w:bookmarkStart w:id="1355" w:name="_Toc354055018"/>
      <w:bookmarkStart w:id="1356" w:name="Srv_55LearningSolMCP1ExamVouch"/>
      <w:bookmarkStart w:id="1357" w:name="Srv_56LearningSolMCP1ExamVouch"/>
      <w:bookmarkEnd w:id="1350"/>
      <w:bookmarkEnd w:id="1351"/>
      <w:bookmarkEnd w:id="1352"/>
      <w:r w:rsidRPr="00BB5519">
        <w:rPr>
          <w:rFonts w:ascii="Tahoma" w:hAnsi="Tahoma"/>
          <w:caps/>
          <w:color w:val="F66400"/>
          <w:sz w:val="22"/>
          <w:vertAlign w:val="superscript"/>
          <w:lang w:val="de-DE"/>
        </w:rPr>
        <w:t>63</w:t>
      </w:r>
      <w:r w:rsidRPr="00BB5519">
        <w:rPr>
          <w:rFonts w:ascii="Tahoma" w:hAnsi="Tahoma"/>
          <w:color w:val="F66400"/>
          <w:sz w:val="22"/>
          <w:lang w:val="de-DE"/>
        </w:rPr>
        <w:t xml:space="preserve"> Learning Solutions MCP Prüfungsgutscheine</w:t>
      </w:r>
      <w:bookmarkEnd w:id="1353"/>
      <w:bookmarkEnd w:id="1354"/>
      <w:bookmarkEnd w:id="1355"/>
    </w:p>
    <w:bookmarkEnd w:id="1356"/>
    <w:p w:rsidR="00023FE7" w:rsidRPr="00BB5519" w:rsidRDefault="00023FE7" w:rsidP="00416294">
      <w:pPr>
        <w:pStyle w:val="EndnoteText"/>
        <w:rPr>
          <w:lang w:val="de-DE"/>
        </w:rPr>
      </w:pPr>
    </w:p>
    <w:bookmarkEnd w:id="1357"/>
    <w:p w:rsidR="002A760F" w:rsidRPr="00BB5519" w:rsidRDefault="002A760F" w:rsidP="00FE782F">
      <w:pPr>
        <w:pStyle w:val="EndnoteText"/>
        <w:ind w:left="720"/>
        <w:rPr>
          <w:lang w:val="de-DE"/>
        </w:rPr>
      </w:pPr>
      <w:r w:rsidRPr="00BB5519">
        <w:rPr>
          <w:rFonts w:ascii="Tahoma" w:hAnsi="Tahoma" w:cs="Tahoma"/>
          <w:sz w:val="18"/>
          <w:lang w:val="de-DE"/>
        </w:rPr>
        <w:t xml:space="preserve">Alle Gutscheine werden sofort bereitgestellt und können jederzeit innerhalb von 12 Monaten ab Kaufdatum verwendet werden. </w:t>
      </w:r>
      <w:r w:rsidRPr="00BB5519">
        <w:rPr>
          <w:rFonts w:ascii="Tahoma" w:hAnsi="Tahoma" w:cs="Tahoma"/>
          <w:bCs/>
          <w:color w:val="000000"/>
          <w:sz w:val="18"/>
          <w:szCs w:val="20"/>
          <w:lang w:val="de-DE"/>
        </w:rPr>
        <w:t xml:space="preserve">Preise und Zahlungsbestimmungen für Onlinedienste finden Sie in </w:t>
      </w:r>
      <w:hyperlink w:anchor="_SECTION_3_–" w:history="1">
        <w:r w:rsidR="00FE782F" w:rsidRPr="00D244F0">
          <w:rPr>
            <w:lang w:val="de-DE"/>
          </w:rPr>
          <w:t xml:space="preserve"> </w:t>
        </w:r>
        <w:r w:rsidR="00FE782F" w:rsidRPr="00FE782F">
          <w:rPr>
            <w:rStyle w:val="Hyperlink"/>
            <w:rFonts w:ascii="Tahoma" w:hAnsi="Tahoma" w:cs="Tahoma"/>
            <w:sz w:val="18"/>
            <w:lang w:val="de-DE"/>
          </w:rPr>
          <w:t>Abschnitt 5</w:t>
        </w:r>
        <w:r w:rsidRPr="00FE782F">
          <w:rPr>
            <w:rStyle w:val="Hyperlink"/>
            <w:rFonts w:ascii="Tahoma" w:hAnsi="Tahoma" w:cs="Tahoma"/>
            <w:color w:val="auto"/>
            <w:sz w:val="18"/>
            <w:u w:val="none"/>
            <w:lang w:val="de-DE"/>
          </w:rPr>
          <w:t>.</w:t>
        </w:r>
      </w:hyperlink>
    </w:p>
    <w:p w:rsidR="00560A10" w:rsidRPr="00BB5519" w:rsidRDefault="00560A10" w:rsidP="00416294">
      <w:pPr>
        <w:pStyle w:val="EndnoteText"/>
        <w:ind w:left="720"/>
        <w:rPr>
          <w:lang w:val="de-DE"/>
        </w:rPr>
      </w:pPr>
    </w:p>
    <w:p w:rsidR="00560A10" w:rsidRPr="00BB5519" w:rsidRDefault="00560A10" w:rsidP="00B1475C">
      <w:pPr>
        <w:spacing w:after="60"/>
        <w:ind w:left="720"/>
        <w:rPr>
          <w:lang w:val="de-DE"/>
        </w:rPr>
      </w:pPr>
      <w:r w:rsidRPr="00BB5519">
        <w:rPr>
          <w:b/>
          <w:color w:val="000000"/>
          <w:lang w:val="de-DE"/>
        </w:rPr>
        <w:t>Lizenz für Microsoft Office Specialist (MOS)-Zertifizierungsprüfungs-Website</w:t>
      </w:r>
    </w:p>
    <w:p w:rsidR="00560A10" w:rsidRPr="00BB5519" w:rsidRDefault="00560A10" w:rsidP="00B1475C">
      <w:pPr>
        <w:ind w:left="720"/>
        <w:rPr>
          <w:lang w:val="de-DE"/>
        </w:rPr>
      </w:pPr>
      <w:r w:rsidRPr="00BB5519">
        <w:rPr>
          <w:color w:val="000000"/>
          <w:lang w:val="de-DE"/>
        </w:rPr>
        <w:t>Sie sind verpflichtet, ein autorisiertes Certiport-Testzentrum zu sein, um die Websitelizenz zu nutzen.</w:t>
      </w:r>
      <w:r w:rsidR="009E4976" w:rsidRPr="00BB5519">
        <w:rPr>
          <w:color w:val="000000"/>
          <w:lang w:val="de-DE"/>
        </w:rPr>
        <w:t xml:space="preserve"> </w:t>
      </w:r>
      <w:r w:rsidRPr="00BB5519">
        <w:rPr>
          <w:color w:val="000000"/>
          <w:lang w:val="de-DE"/>
        </w:rPr>
        <w:t>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560A10" w:rsidRPr="00BB5519" w:rsidRDefault="00560A10" w:rsidP="00B1475C">
      <w:pPr>
        <w:pStyle w:val="EndnoteText"/>
        <w:ind w:left="0"/>
        <w:rPr>
          <w:lang w:val="de-DE"/>
        </w:rPr>
      </w:pPr>
    </w:p>
    <w:p w:rsidR="00560A10" w:rsidRPr="00BB5519" w:rsidRDefault="00560A10" w:rsidP="00B1475C">
      <w:pPr>
        <w:spacing w:after="60"/>
        <w:ind w:left="720"/>
        <w:rPr>
          <w:lang w:val="de-DE"/>
        </w:rPr>
      </w:pPr>
      <w:r w:rsidRPr="00BB5519">
        <w:rPr>
          <w:b/>
          <w:color w:val="000000"/>
          <w:lang w:val="de-DE"/>
        </w:rPr>
        <w:t>Lizenz für Microsoft Technology Associate (MTA)-Zertifizierungsprüfungs-Website</w:t>
      </w:r>
    </w:p>
    <w:p w:rsidR="00560A10" w:rsidRPr="00BB5519" w:rsidRDefault="00560A10" w:rsidP="00B1475C">
      <w:pPr>
        <w:ind w:left="720"/>
        <w:rPr>
          <w:lang w:val="de-DE"/>
        </w:rPr>
      </w:pPr>
      <w:r w:rsidRPr="00BB5519">
        <w:rPr>
          <w:color w:val="000000"/>
          <w:lang w:val="de-DE"/>
        </w:rPr>
        <w:t>Sie sind verpflichtet, ein autorisiertes Certiport-Testzentrum zu sein, um die Websitelizenz zu nutzen.</w:t>
      </w:r>
      <w:r w:rsidR="009E4976" w:rsidRPr="00BB5519">
        <w:rPr>
          <w:color w:val="000000"/>
          <w:lang w:val="de-DE"/>
        </w:rPr>
        <w:t xml:space="preserve"> </w:t>
      </w:r>
      <w:r w:rsidRPr="00BB5519">
        <w:rPr>
          <w:color w:val="000000"/>
          <w:lang w:val="de-DE"/>
        </w:rPr>
        <w:t>Wenn Sie kein autorisiertes Certiport-Testzentrum sind, müssen Sie diesen Prozess durchlaufen, um ein Certiport-Testzentrum zu werden, bevor Sie die Websitelizenz nutzen können. Die Websitelizenz verliert automatisch nach 12 Monaten nach dem Kaufdatum ihre Gültigkeit. Alle nicht in Anspruch genommenen Zertifizierungsprüfungen verfallen.</w:t>
      </w:r>
    </w:p>
    <w:p w:rsidR="00F42FD5" w:rsidRPr="00BB5519" w:rsidRDefault="00F42FD5" w:rsidP="00416294">
      <w:pPr>
        <w:pStyle w:val="EndnoteText"/>
        <w:ind w:left="720"/>
        <w:rPr>
          <w:lang w:val="de-DE"/>
        </w:rPr>
      </w:pPr>
    </w:p>
    <w:p w:rsidR="00586FCE" w:rsidRPr="00BB5519" w:rsidRDefault="00586FCE" w:rsidP="00416294">
      <w:pPr>
        <w:pStyle w:val="EndnoteText"/>
        <w:ind w:left="720"/>
        <w:rPr>
          <w:lang w:val="de-DE"/>
        </w:rPr>
      </w:pPr>
    </w:p>
    <w:p w:rsidR="00F42FD5" w:rsidRPr="00BB5519" w:rsidRDefault="00F66FB0" w:rsidP="00416294">
      <w:pPr>
        <w:pStyle w:val="Heading2"/>
        <w:ind w:left="0"/>
        <w:rPr>
          <w:lang w:val="de-DE"/>
        </w:rPr>
      </w:pPr>
      <w:bookmarkStart w:id="1358" w:name="_65_63_Lync"/>
      <w:bookmarkStart w:id="1359" w:name="_64_Lync_Online"/>
      <w:bookmarkStart w:id="1360" w:name="_Toc336338325"/>
      <w:bookmarkStart w:id="1361" w:name="_Toc354055019"/>
      <w:bookmarkStart w:id="1362" w:name="Srv_65LyncOnlinePlan1and2"/>
      <w:bookmarkEnd w:id="1358"/>
      <w:bookmarkEnd w:id="1359"/>
      <w:r w:rsidRPr="00BB5519">
        <w:rPr>
          <w:rFonts w:ascii="Tahoma" w:hAnsi="Tahoma" w:cs="Tahoma"/>
          <w:caps/>
          <w:color w:val="FF6600"/>
          <w:sz w:val="22"/>
          <w:vertAlign w:val="superscript"/>
          <w:lang w:val="de-DE"/>
        </w:rPr>
        <w:t>64</w:t>
      </w:r>
      <w:r w:rsidRPr="00BB5519">
        <w:rPr>
          <w:rFonts w:ascii="Tahoma" w:hAnsi="Tahoma" w:cs="Tahoma"/>
          <w:color w:val="FF6600"/>
          <w:lang w:val="de-DE"/>
        </w:rPr>
        <w:t xml:space="preserve"> </w:t>
      </w:r>
      <w:r w:rsidRPr="00BB5519">
        <w:rPr>
          <w:rFonts w:ascii="Tahoma" w:hAnsi="Tahoma" w:cs="Tahoma"/>
          <w:color w:val="FF6600"/>
          <w:sz w:val="22"/>
          <w:lang w:val="de-DE"/>
        </w:rPr>
        <w:t>Lync Online Plan 1, 2 und 3</w:t>
      </w:r>
      <w:bookmarkEnd w:id="1360"/>
      <w:bookmarkEnd w:id="1361"/>
    </w:p>
    <w:bookmarkEnd w:id="1362"/>
    <w:p w:rsidR="00F42FD5" w:rsidRPr="00BB5519" w:rsidRDefault="00F42FD5" w:rsidP="00F42FD5">
      <w:pPr>
        <w:rPr>
          <w:lang w:val="de-DE"/>
        </w:rPr>
      </w:pPr>
    </w:p>
    <w:p w:rsidR="00693524" w:rsidRPr="00BB5519" w:rsidRDefault="00194DAF" w:rsidP="00693524">
      <w:pPr>
        <w:ind w:left="720"/>
        <w:rPr>
          <w:lang w:val="de-DE"/>
        </w:rPr>
      </w:pPr>
      <w:r w:rsidRPr="00BB5519">
        <w:rPr>
          <w:color w:val="000000"/>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9E4976" w:rsidRPr="00BB5519">
        <w:rPr>
          <w:color w:val="000000"/>
          <w:lang w:val="de-DE"/>
        </w:rPr>
        <w:t xml:space="preserve"> </w:t>
      </w:r>
      <w:r w:rsidRPr="00BB5519">
        <w:rPr>
          <w:color w:val="000000"/>
          <w:lang w:val="de-DE"/>
        </w:rPr>
        <w:t xml:space="preserve">Kunden sind berechtigt, den kostenlosen Lync Basic 2013-Client für ihre Windows-basierten Endbenutzer zu nutzen. </w:t>
      </w:r>
    </w:p>
    <w:p w:rsidR="00194DAF" w:rsidRPr="00BB5519" w:rsidRDefault="00194DAF" w:rsidP="008A36D8">
      <w:pPr>
        <w:ind w:left="720"/>
        <w:rPr>
          <w:lang w:val="de-DE"/>
        </w:rPr>
      </w:pPr>
    </w:p>
    <w:p w:rsidR="006D33A5" w:rsidRPr="00BB5519" w:rsidRDefault="006D33A5" w:rsidP="008A36D8">
      <w:pPr>
        <w:ind w:left="720"/>
        <w:rPr>
          <w:lang w:val="de-DE"/>
        </w:rPr>
      </w:pPr>
    </w:p>
    <w:p w:rsidR="006D33A5" w:rsidRPr="00BB5519" w:rsidRDefault="006D33A5" w:rsidP="00134C35">
      <w:pPr>
        <w:keepNext/>
        <w:keepLines/>
        <w:spacing w:after="60"/>
        <w:ind w:left="720"/>
      </w:pPr>
      <w:r w:rsidRPr="00BB5519">
        <w:rPr>
          <w:rFonts w:eastAsia="Calibri" w:cs="Tahoma"/>
          <w:b/>
          <w:color w:val="000000"/>
          <w:szCs w:val="18"/>
        </w:rPr>
        <w:lastRenderedPageBreak/>
        <w:t>Government Community Cloud (nur USA)</w:t>
      </w:r>
    </w:p>
    <w:p w:rsidR="006D33A5" w:rsidRPr="00BB5519" w:rsidRDefault="006D33A5" w:rsidP="00134C35">
      <w:pPr>
        <w:keepNext/>
        <w:keepLines/>
        <w:ind w:left="720"/>
        <w:rPr>
          <w:lang w:val="de-DE"/>
        </w:rPr>
      </w:pPr>
      <w:r w:rsidRPr="00BB5519">
        <w:rPr>
          <w:rFonts w:eastAsia="Calibri" w:cs="Tahoma"/>
          <w:color w:val="000000"/>
          <w:szCs w:val="18"/>
        </w:rPr>
        <w:t>Einige Onlinedienste in der Office 365-Produktfamilie (darunter Lync Online Plan 1, 2 und 3) werden als Government Community Cloud-Dienste und Non-Government Community Cloud-Dienste angeboten.</w:t>
      </w:r>
      <w:r w:rsidR="009E4976" w:rsidRPr="00BB5519">
        <w:rPr>
          <w:rFonts w:eastAsia="Calibri" w:cs="Tahoma"/>
          <w:color w:val="000000"/>
          <w:szCs w:val="18"/>
        </w:rPr>
        <w:t xml:space="preserve"> </w:t>
      </w:r>
      <w:r w:rsidRPr="00BB5519">
        <w:rPr>
          <w:rFonts w:eastAsia="Calibri" w:cs="Tahoma"/>
          <w:color w:val="000000"/>
          <w:szCs w:val="18"/>
          <w:lang w:val="de-DE"/>
        </w:rPr>
        <w:t>Die Bereitstellung an Kunden kann in der einen oder anderen Form erfolgen, jedoch nicht als Kombination aus beidem.</w:t>
      </w:r>
      <w:r w:rsidR="009E4976" w:rsidRPr="00BB5519">
        <w:rPr>
          <w:rFonts w:eastAsia="Calibri" w:cs="Tahoma"/>
          <w:color w:val="000000"/>
          <w:szCs w:val="18"/>
          <w:lang w:val="de-DE"/>
        </w:rPr>
        <w:t xml:space="preserve"> </w:t>
      </w:r>
      <w:r w:rsidRPr="00BB551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9E4976" w:rsidRPr="00BB5519">
        <w:rPr>
          <w:rFonts w:eastAsia="Calibri" w:cs="Tahoma"/>
          <w:color w:val="000000"/>
          <w:szCs w:val="18"/>
          <w:lang w:val="de-DE"/>
        </w:rPr>
        <w:t xml:space="preserve"> </w:t>
      </w:r>
      <w:r w:rsidRPr="00BB5519">
        <w:rPr>
          <w:rFonts w:eastAsia="Calibri" w:cs="Tahoma"/>
          <w:color w:val="000000"/>
          <w:szCs w:val="18"/>
          <w:lang w:val="de-DE"/>
        </w:rPr>
        <w:t>Diese Beschränkung gilt für alle Onlinedienste, die zur Office 365-Produktfamilie gehören, darunter Exchange Online, SharePoint Online und Lync Online.</w:t>
      </w:r>
      <w:r w:rsidR="009E4976" w:rsidRPr="00BB5519">
        <w:rPr>
          <w:rFonts w:eastAsia="Calibri" w:cs="Tahoma"/>
          <w:color w:val="000000"/>
          <w:szCs w:val="18"/>
          <w:lang w:val="de-DE"/>
        </w:rPr>
        <w:t xml:space="preserve"> </w:t>
      </w:r>
    </w:p>
    <w:p w:rsidR="006D33A5" w:rsidRPr="00BB5519" w:rsidRDefault="006D33A5" w:rsidP="006D33A5">
      <w:pPr>
        <w:ind w:left="720"/>
        <w:rPr>
          <w:lang w:val="de-DE"/>
        </w:rPr>
      </w:pPr>
    </w:p>
    <w:p w:rsidR="006D33A5" w:rsidRPr="00BB5519" w:rsidRDefault="006D33A5" w:rsidP="006D33A5">
      <w:pPr>
        <w:ind w:left="720"/>
        <w:rPr>
          <w:lang w:val="de-DE"/>
        </w:rPr>
      </w:pPr>
      <w:r w:rsidRPr="00BB5519">
        <w:rPr>
          <w:rFonts w:eastAsia="Calibri" w:cs="Tahoma"/>
          <w:color w:val="000000"/>
          <w:szCs w:val="18"/>
          <w:lang w:val="de-DE"/>
        </w:rPr>
        <w:t>Wenn ein Onlinedienst in der Government Community Cloud bereitgestellt wird, bleibt er für die Dauer der Abonnementlaufzeit dort.</w:t>
      </w:r>
      <w:r w:rsidR="009E4976" w:rsidRPr="00BB5519">
        <w:rPr>
          <w:rFonts w:eastAsia="Calibri" w:cs="Tahoma"/>
          <w:color w:val="000000"/>
          <w:szCs w:val="18"/>
          <w:lang w:val="de-DE"/>
        </w:rPr>
        <w:t xml:space="preserve"> </w:t>
      </w:r>
      <w:r w:rsidRPr="00BB551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9E4976" w:rsidRPr="00BB5519">
        <w:rPr>
          <w:rFonts w:eastAsia="Calibri" w:cs="Tahoma"/>
          <w:color w:val="000000"/>
          <w:szCs w:val="18"/>
          <w:lang w:val="de-DE"/>
        </w:rPr>
        <w:t xml:space="preserve"> </w:t>
      </w:r>
      <w:r w:rsidRPr="00BB5519">
        <w:rPr>
          <w:rFonts w:eastAsia="Calibri" w:cs="Tahoma"/>
          <w:color w:val="000000"/>
          <w:szCs w:val="18"/>
          <w:lang w:val="de-DE"/>
        </w:rPr>
        <w:t>Die Nutzungsrechte für Government Community Cloud-Dienste entsprechen den Nutzungsrechten ihrer mehrinstanzenfähigen Standardäquivalente.</w:t>
      </w:r>
      <w:r w:rsidR="009E4976" w:rsidRPr="00BB5519">
        <w:rPr>
          <w:rFonts w:eastAsia="Calibri" w:cs="Tahoma"/>
          <w:color w:val="000000"/>
          <w:szCs w:val="18"/>
          <w:lang w:val="de-DE"/>
        </w:rPr>
        <w:t xml:space="preserve"> </w:t>
      </w:r>
    </w:p>
    <w:p w:rsidR="00FC31B7" w:rsidRPr="00BB5519" w:rsidRDefault="00FC31B7" w:rsidP="00FC31B7">
      <w:pPr>
        <w:ind w:left="720"/>
        <w:rPr>
          <w:lang w:val="de-DE"/>
        </w:rPr>
      </w:pPr>
    </w:p>
    <w:p w:rsidR="00586FCE" w:rsidRPr="00BB5519" w:rsidRDefault="00586FCE" w:rsidP="00FC31B7">
      <w:pPr>
        <w:ind w:left="720"/>
        <w:rPr>
          <w:lang w:val="de-DE"/>
        </w:rPr>
      </w:pPr>
    </w:p>
    <w:p w:rsidR="004E0852" w:rsidRPr="00BB5519" w:rsidRDefault="00F66FB0" w:rsidP="004E0852">
      <w:pPr>
        <w:pStyle w:val="Heading2"/>
        <w:ind w:left="0"/>
        <w:rPr>
          <w:lang w:val="de-DE"/>
        </w:rPr>
      </w:pPr>
      <w:bookmarkStart w:id="1363" w:name="_62_Lync_Server"/>
      <w:bookmarkStart w:id="1364" w:name="_Toc354055020"/>
      <w:bookmarkStart w:id="1365" w:name="_Toc336338326"/>
      <w:bookmarkStart w:id="1366" w:name="Srv_62LyncServer2010StandEnt"/>
      <w:bookmarkEnd w:id="1363"/>
      <w:r w:rsidRPr="00BB5519">
        <w:rPr>
          <w:rFonts w:ascii="Tahoma" w:hAnsi="Tahoma" w:cs="Tahoma"/>
          <w:caps/>
          <w:color w:val="FA6500"/>
          <w:sz w:val="22"/>
          <w:vertAlign w:val="superscript"/>
          <w:lang w:val="de-DE"/>
        </w:rPr>
        <w:t xml:space="preserve">65 </w:t>
      </w:r>
      <w:r w:rsidRPr="00BB5519">
        <w:rPr>
          <w:rFonts w:ascii="Tahoma" w:hAnsi="Tahoma" w:cs="Tahoma"/>
          <w:color w:val="FA6500"/>
          <w:sz w:val="22"/>
          <w:lang w:val="de-DE"/>
        </w:rPr>
        <w:t>Lync Server 2013</w:t>
      </w:r>
      <w:bookmarkEnd w:id="1364"/>
      <w:r w:rsidRPr="00BB5519">
        <w:rPr>
          <w:rFonts w:ascii="Tahoma" w:hAnsi="Tahoma" w:cs="Tahoma"/>
          <w:color w:val="FA6500"/>
          <w:sz w:val="22"/>
          <w:lang w:val="de-DE"/>
        </w:rPr>
        <w:t xml:space="preserve"> </w:t>
      </w:r>
    </w:p>
    <w:p w:rsidR="004E0852" w:rsidRPr="00BB5519" w:rsidRDefault="004E0852" w:rsidP="004E0852">
      <w:pPr>
        <w:ind w:left="720"/>
        <w:rPr>
          <w:lang w:val="de-DE"/>
        </w:rPr>
      </w:pPr>
    </w:p>
    <w:p w:rsidR="004E0852" w:rsidRPr="00BB5519" w:rsidRDefault="004E0852" w:rsidP="004E0852">
      <w:pPr>
        <w:ind w:left="720"/>
        <w:rPr>
          <w:lang w:val="de-DE"/>
        </w:rPr>
      </w:pPr>
      <w:r w:rsidRPr="00BB5519">
        <w:rPr>
          <w:rFonts w:cs="Tahoma"/>
          <w:color w:val="000000"/>
          <w:szCs w:val="18"/>
          <w:lang w:val="de-DE"/>
        </w:rPr>
        <w:t>Lync Server 2013 ist die neueste Version von Lync Server.</w:t>
      </w:r>
      <w:r w:rsidR="009E4976" w:rsidRPr="00BB5519">
        <w:rPr>
          <w:rFonts w:cs="Tahoma"/>
          <w:color w:val="000000"/>
          <w:szCs w:val="18"/>
          <w:lang w:val="de-DE"/>
        </w:rPr>
        <w:t xml:space="preserve"> </w:t>
      </w:r>
      <w:r w:rsidRPr="00BB5519">
        <w:rPr>
          <w:rFonts w:cs="Tahoma"/>
          <w:color w:val="000000"/>
          <w:szCs w:val="18"/>
          <w:lang w:val="de-DE"/>
        </w:rPr>
        <w:t xml:space="preserve">Kunden mit aktiver Software Assurance für Lync Server 2010 Standard oder Enterprise </w:t>
      </w:r>
      <w:bookmarkEnd w:id="1365"/>
      <w:r w:rsidRPr="00BB5519">
        <w:rPr>
          <w:rFonts w:cs="Tahoma"/>
          <w:color w:val="000000"/>
          <w:szCs w:val="18"/>
          <w:lang w:val="de-DE"/>
        </w:rPr>
        <w:t>am 1. Dezember 2012 sind berechtigt, auf Lync Server 2013 upzugraden und dies anstelle ihrer entsprechend lizenzierten Kopien von Lync Server 2010 zu verwenden.</w:t>
      </w:r>
    </w:p>
    <w:bookmarkEnd w:id="1366"/>
    <w:p w:rsidR="00CD0D74" w:rsidRPr="00BB5519" w:rsidRDefault="00CD0D74" w:rsidP="00CD0D74">
      <w:pPr>
        <w:ind w:left="720"/>
        <w:rPr>
          <w:lang w:val="de-DE"/>
        </w:rPr>
      </w:pPr>
    </w:p>
    <w:p w:rsidR="00CD0D74" w:rsidRPr="00BB5519" w:rsidRDefault="00CD0D74" w:rsidP="00CD0D74">
      <w:pPr>
        <w:ind w:left="720"/>
        <w:rPr>
          <w:lang w:val="de-DE"/>
        </w:rPr>
      </w:pPr>
      <w:r w:rsidRPr="00BB5519">
        <w:rPr>
          <w:rFonts w:cs="Tahoma"/>
          <w:color w:val="000000"/>
          <w:szCs w:val="18"/>
          <w:lang w:val="de-DE"/>
        </w:rPr>
        <w:t>CALs für Lync Server 2013 sind die Nachfolge-CALs für CALs für Lync Server 2010.</w:t>
      </w:r>
      <w:r w:rsidR="009E4976" w:rsidRPr="00BB5519">
        <w:rPr>
          <w:rFonts w:cs="Tahoma"/>
          <w:color w:val="000000"/>
          <w:szCs w:val="18"/>
          <w:lang w:val="de-DE"/>
        </w:rPr>
        <w:t xml:space="preserve"> </w:t>
      </w:r>
    </w:p>
    <w:p w:rsidR="00CD0D74" w:rsidRPr="00BB5519" w:rsidRDefault="00CD0D74" w:rsidP="00CD0D74">
      <w:pPr>
        <w:ind w:left="720"/>
        <w:rPr>
          <w:lang w:val="de-DE"/>
        </w:rPr>
      </w:pPr>
      <w:r w:rsidRPr="00BB5519">
        <w:rPr>
          <w:rFonts w:cs="Tahoma"/>
          <w:color w:val="000000"/>
          <w:szCs w:val="18"/>
          <w:lang w:val="de-D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BB5519" w:rsidTr="0057135E">
        <w:trPr>
          <w:trHeight w:val="332"/>
        </w:trPr>
        <w:tc>
          <w:tcPr>
            <w:tcW w:w="4500" w:type="dxa"/>
            <w:shd w:val="clear" w:color="auto" w:fill="FABF8F"/>
          </w:tcPr>
          <w:p w:rsidR="00CD0D74" w:rsidRPr="00BB5519" w:rsidRDefault="00CD0D74" w:rsidP="0057135E">
            <w:pPr>
              <w:rPr>
                <w:rFonts w:cs="Tahoma"/>
                <w:b/>
                <w:color w:val="000000"/>
                <w:szCs w:val="18"/>
              </w:rPr>
            </w:pPr>
            <w:r w:rsidRPr="00BB5519">
              <w:rPr>
                <w:rFonts w:cs="Tahoma"/>
                <w:b/>
                <w:color w:val="000000"/>
                <w:szCs w:val="18"/>
              </w:rPr>
              <w:t>Lync Server 2010 CAL</w:t>
            </w:r>
          </w:p>
        </w:tc>
        <w:tc>
          <w:tcPr>
            <w:tcW w:w="3600" w:type="dxa"/>
            <w:shd w:val="clear" w:color="auto" w:fill="FABF8F"/>
          </w:tcPr>
          <w:p w:rsidR="00CD0D74" w:rsidRPr="00BB5519" w:rsidRDefault="00CD0D74" w:rsidP="0057135E">
            <w:pPr>
              <w:rPr>
                <w:rFonts w:cs="Tahoma"/>
                <w:b/>
                <w:color w:val="000000"/>
                <w:szCs w:val="18"/>
              </w:rPr>
            </w:pPr>
            <w:r w:rsidRPr="00BB5519">
              <w:rPr>
                <w:rFonts w:cs="Tahoma"/>
                <w:b/>
                <w:color w:val="000000"/>
                <w:szCs w:val="18"/>
              </w:rPr>
              <w:t>Folgeversion</w:t>
            </w:r>
          </w:p>
        </w:tc>
      </w:tr>
      <w:tr w:rsidR="00CD0D74" w:rsidRPr="00BB5519" w:rsidTr="0057135E">
        <w:trPr>
          <w:trHeight w:val="70"/>
        </w:trPr>
        <w:tc>
          <w:tcPr>
            <w:tcW w:w="4500" w:type="dxa"/>
            <w:shd w:val="clear" w:color="auto" w:fill="auto"/>
          </w:tcPr>
          <w:p w:rsidR="00CD0D74" w:rsidRPr="00BB5519" w:rsidRDefault="00CD0D74" w:rsidP="0057135E">
            <w:pPr>
              <w:rPr>
                <w:rFonts w:cs="Tahoma"/>
                <w:color w:val="000000"/>
                <w:szCs w:val="18"/>
              </w:rPr>
            </w:pPr>
            <w:r w:rsidRPr="00BB5519">
              <w:rPr>
                <w:rFonts w:cs="Tahoma"/>
                <w:color w:val="000000"/>
                <w:szCs w:val="18"/>
              </w:rPr>
              <w:t xml:space="preserve">Lync Server 2010 Plus CAL </w:t>
            </w:r>
          </w:p>
        </w:tc>
        <w:tc>
          <w:tcPr>
            <w:tcW w:w="3600" w:type="dxa"/>
            <w:shd w:val="clear" w:color="auto" w:fill="auto"/>
          </w:tcPr>
          <w:p w:rsidR="00CD0D74" w:rsidRPr="00BB5519" w:rsidRDefault="00CD0D74" w:rsidP="0057135E">
            <w:pPr>
              <w:rPr>
                <w:rFonts w:cs="Tahoma"/>
                <w:color w:val="000000"/>
                <w:szCs w:val="18"/>
              </w:rPr>
            </w:pPr>
            <w:r w:rsidRPr="00BB5519">
              <w:rPr>
                <w:rFonts w:cs="Tahoma"/>
                <w:color w:val="000000"/>
                <w:szCs w:val="18"/>
              </w:rPr>
              <w:t>Lync Server 2013 Plus-CAL</w:t>
            </w:r>
          </w:p>
        </w:tc>
      </w:tr>
      <w:tr w:rsidR="00CD0D74" w:rsidRPr="00BB5519" w:rsidTr="0057135E">
        <w:trPr>
          <w:trHeight w:val="70"/>
        </w:trPr>
        <w:tc>
          <w:tcPr>
            <w:tcW w:w="4500" w:type="dxa"/>
            <w:shd w:val="clear" w:color="auto" w:fill="auto"/>
          </w:tcPr>
          <w:p w:rsidR="00CD0D74" w:rsidRPr="00BB5519" w:rsidRDefault="00CD0D74" w:rsidP="0057135E">
            <w:pPr>
              <w:rPr>
                <w:rFonts w:cs="Tahoma"/>
                <w:color w:val="000000"/>
                <w:szCs w:val="18"/>
              </w:rPr>
            </w:pPr>
            <w:r w:rsidRPr="00BB5519">
              <w:rPr>
                <w:rFonts w:cs="Tahoma"/>
                <w:color w:val="000000"/>
                <w:szCs w:val="18"/>
              </w:rPr>
              <w:t xml:space="preserve">Enterprise-CAL für Lync Server 2010 </w:t>
            </w:r>
          </w:p>
        </w:tc>
        <w:tc>
          <w:tcPr>
            <w:tcW w:w="3600" w:type="dxa"/>
            <w:shd w:val="clear" w:color="auto" w:fill="auto"/>
          </w:tcPr>
          <w:p w:rsidR="00CD0D74" w:rsidRPr="00BB5519" w:rsidRDefault="00CD0D74" w:rsidP="0057135E">
            <w:pPr>
              <w:rPr>
                <w:rFonts w:cs="Tahoma"/>
                <w:color w:val="000000"/>
                <w:szCs w:val="18"/>
              </w:rPr>
            </w:pPr>
            <w:r w:rsidRPr="00BB5519">
              <w:rPr>
                <w:rFonts w:cs="Tahoma"/>
                <w:color w:val="000000"/>
                <w:szCs w:val="18"/>
              </w:rPr>
              <w:t>Enterprise-CAL für Lync Server 2013</w:t>
            </w:r>
          </w:p>
        </w:tc>
      </w:tr>
      <w:tr w:rsidR="00CD0D74" w:rsidRPr="00BB5519" w:rsidTr="0057135E">
        <w:trPr>
          <w:trHeight w:val="70"/>
        </w:trPr>
        <w:tc>
          <w:tcPr>
            <w:tcW w:w="4500" w:type="dxa"/>
            <w:shd w:val="clear" w:color="auto" w:fill="auto"/>
          </w:tcPr>
          <w:p w:rsidR="00CD0D74" w:rsidRPr="00BB5519" w:rsidRDefault="00CD0D74" w:rsidP="0057135E">
            <w:pPr>
              <w:rPr>
                <w:rFonts w:cs="Tahoma"/>
                <w:color w:val="000000"/>
                <w:szCs w:val="18"/>
              </w:rPr>
            </w:pPr>
            <w:r w:rsidRPr="00BB5519">
              <w:rPr>
                <w:rFonts w:cs="Tahoma"/>
                <w:color w:val="000000"/>
                <w:szCs w:val="18"/>
              </w:rPr>
              <w:t xml:space="preserve">Standard-CAL für Lync Server 2010 </w:t>
            </w:r>
          </w:p>
        </w:tc>
        <w:tc>
          <w:tcPr>
            <w:tcW w:w="3600" w:type="dxa"/>
            <w:shd w:val="clear" w:color="auto" w:fill="auto"/>
          </w:tcPr>
          <w:p w:rsidR="00CD0D74" w:rsidRPr="00BB5519" w:rsidRDefault="00CD0D74" w:rsidP="0057135E">
            <w:pPr>
              <w:rPr>
                <w:rFonts w:cs="Tahoma"/>
                <w:color w:val="000000"/>
                <w:szCs w:val="18"/>
              </w:rPr>
            </w:pPr>
            <w:r w:rsidRPr="00BB5519">
              <w:rPr>
                <w:rFonts w:cs="Tahoma"/>
                <w:color w:val="000000"/>
                <w:szCs w:val="18"/>
              </w:rPr>
              <w:t>Standard-CAL für Lync Server 2013</w:t>
            </w:r>
          </w:p>
        </w:tc>
      </w:tr>
    </w:tbl>
    <w:p w:rsidR="004E0852" w:rsidRPr="00BB5519" w:rsidRDefault="004E0852" w:rsidP="003D0252"/>
    <w:p w:rsidR="004E0852" w:rsidRPr="00BB5519" w:rsidRDefault="004E0852" w:rsidP="0080323A">
      <w:pPr>
        <w:spacing w:after="60"/>
        <w:ind w:left="720"/>
      </w:pPr>
      <w:r w:rsidRPr="00BB5519">
        <w:rPr>
          <w:rFonts w:cs="Tahoma"/>
          <w:b/>
          <w:color w:val="000000"/>
          <w:szCs w:val="18"/>
        </w:rPr>
        <w:t>Lizenzgewährung für Kunden mit Externem Connector für Lync Server 2010 Enterprise, Externem Connector für Lync Server 2010 Plus und Externem Connector für Lync Server 2010 Standard</w:t>
      </w:r>
    </w:p>
    <w:p w:rsidR="004E0852" w:rsidRPr="00BB5519" w:rsidRDefault="004E0852" w:rsidP="00134C35">
      <w:pPr>
        <w:ind w:left="720"/>
      </w:pPr>
      <w:r w:rsidRPr="00BB5519">
        <w:rPr>
          <w:rFonts w:cs="Tahoma"/>
          <w:color w:val="000000"/>
          <w:szCs w:val="18"/>
        </w:rPr>
        <w:t>Die 2010-Version des Externen Connector für Lync Server 2010 Enterprise, Externen Connector für Lync Server 2010 Plus und Externen Connector für Lync Server 2010 Standard ist die letzte Version dieser Lizenzen.</w:t>
      </w:r>
      <w:r w:rsidR="009E4976" w:rsidRPr="00BB5519">
        <w:rPr>
          <w:rFonts w:cs="Tahoma"/>
          <w:color w:val="000000"/>
          <w:szCs w:val="18"/>
        </w:rPr>
        <w:t xml:space="preserve"> </w:t>
      </w:r>
      <w:r w:rsidRPr="00BB5519">
        <w:rPr>
          <w:rFonts w:cs="Tahoma"/>
          <w:color w:val="000000"/>
          <w:szCs w:val="18"/>
        </w:rPr>
        <w:t>In Anbetracht dessen haben Kunden mit Externen Connector-Lizenzen für Lync Server 2010 Enterprise, Lync Server 2010 Plus oder Lync Server 2010 Standard mit aktiver Software Assurance zum 1</w:t>
      </w:r>
      <w:r w:rsidR="00134C35">
        <w:rPr>
          <w:rFonts w:cs="Tahoma"/>
          <w:color w:val="000000"/>
          <w:szCs w:val="18"/>
        </w:rPr>
        <w:t> </w:t>
      </w:r>
      <w:r w:rsidRPr="00BB5519">
        <w:rPr>
          <w:rFonts w:cs="Tahoma"/>
          <w:color w:val="000000"/>
          <w:szCs w:val="18"/>
        </w:rPr>
        <w:t>Dezember 2012 Anspruch auf die folgende Lizenzgewährung.</w:t>
      </w:r>
    </w:p>
    <w:p w:rsidR="004E0852" w:rsidRPr="00BB5519"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0"/>
        <w:gridCol w:w="3510"/>
      </w:tblGrid>
      <w:tr w:rsidR="00BD1A6A" w:rsidRPr="00BB5519" w:rsidTr="00134C35">
        <w:trPr>
          <w:trHeight w:val="332"/>
        </w:trPr>
        <w:tc>
          <w:tcPr>
            <w:tcW w:w="4590" w:type="dxa"/>
            <w:shd w:val="clear" w:color="auto" w:fill="FABF8F"/>
          </w:tcPr>
          <w:p w:rsidR="00BD1A6A" w:rsidRPr="00BB5519" w:rsidRDefault="00BD1A6A" w:rsidP="002C3AB1">
            <w:pPr>
              <w:rPr>
                <w:rFonts w:cs="Tahoma"/>
                <w:b/>
                <w:color w:val="000000"/>
                <w:szCs w:val="18"/>
              </w:rPr>
            </w:pPr>
            <w:r w:rsidRPr="00BB5519">
              <w:rPr>
                <w:rFonts w:cs="Tahoma"/>
                <w:b/>
                <w:color w:val="000000"/>
                <w:szCs w:val="18"/>
              </w:rPr>
              <w:t>Kriterien für qualifizierende Lizenzen</w:t>
            </w:r>
          </w:p>
        </w:tc>
        <w:tc>
          <w:tcPr>
            <w:tcW w:w="3510" w:type="dxa"/>
            <w:shd w:val="clear" w:color="auto" w:fill="FABF8F"/>
          </w:tcPr>
          <w:p w:rsidR="00BD1A6A" w:rsidRPr="00BB5519" w:rsidRDefault="00BD1A6A" w:rsidP="00134C35">
            <w:pPr>
              <w:spacing w:after="40"/>
              <w:rPr>
                <w:rFonts w:cs="Tahoma"/>
                <w:b/>
                <w:color w:val="000000"/>
                <w:szCs w:val="18"/>
              </w:rPr>
            </w:pPr>
            <w:r w:rsidRPr="00BB5519">
              <w:rPr>
                <w:rFonts w:cs="Tahoma"/>
                <w:b/>
                <w:color w:val="000000"/>
                <w:szCs w:val="18"/>
              </w:rPr>
              <w:t>Zusätzliche Lizenzen und Vergünstigungen</w:t>
            </w:r>
          </w:p>
        </w:tc>
      </w:tr>
      <w:tr w:rsidR="00BD1A6A" w:rsidRPr="00BB5519" w:rsidTr="00134C35">
        <w:trPr>
          <w:trHeight w:val="70"/>
        </w:trPr>
        <w:tc>
          <w:tcPr>
            <w:tcW w:w="4590" w:type="dxa"/>
            <w:shd w:val="clear" w:color="auto" w:fill="auto"/>
          </w:tcPr>
          <w:p w:rsidR="00BD1A6A" w:rsidRPr="00BB5519" w:rsidRDefault="00BD1A6A" w:rsidP="00134C35">
            <w:pPr>
              <w:spacing w:after="20"/>
              <w:rPr>
                <w:rFonts w:cs="Tahoma"/>
                <w:color w:val="000000"/>
                <w:szCs w:val="18"/>
              </w:rPr>
            </w:pPr>
            <w:r w:rsidRPr="00BB5519">
              <w:rPr>
                <w:rFonts w:cs="Tahoma"/>
                <w:color w:val="000000"/>
                <w:szCs w:val="18"/>
                <w:lang w:val="de-DE"/>
              </w:rPr>
              <w:t xml:space="preserve">Externer Connector für Lync Server 2010 Enterprise mit aktiver Software Assurance zum 1. </w:t>
            </w:r>
            <w:r w:rsidRPr="00BB5519">
              <w:rPr>
                <w:rFonts w:cs="Tahoma"/>
                <w:color w:val="000000"/>
                <w:szCs w:val="18"/>
              </w:rPr>
              <w:t>Dezember 2012</w:t>
            </w:r>
          </w:p>
        </w:tc>
        <w:tc>
          <w:tcPr>
            <w:tcW w:w="3510" w:type="dxa"/>
            <w:shd w:val="clear" w:color="auto" w:fill="auto"/>
          </w:tcPr>
          <w:p w:rsidR="00BD1A6A" w:rsidRPr="00BB5519" w:rsidRDefault="00BD1A6A" w:rsidP="002C3AB1">
            <w:pPr>
              <w:rPr>
                <w:rFonts w:cs="Tahoma"/>
                <w:color w:val="000000"/>
                <w:szCs w:val="18"/>
              </w:rPr>
            </w:pPr>
            <w:r w:rsidRPr="00BB5519">
              <w:rPr>
                <w:rFonts w:cs="Tahoma"/>
                <w:color w:val="000000"/>
                <w:szCs w:val="18"/>
              </w:rPr>
              <w:t>Lizenz für Lync Server 2013</w:t>
            </w:r>
          </w:p>
        </w:tc>
      </w:tr>
      <w:tr w:rsidR="00BD1A6A" w:rsidRPr="00BB5519" w:rsidTr="00134C35">
        <w:trPr>
          <w:trHeight w:val="70"/>
        </w:trPr>
        <w:tc>
          <w:tcPr>
            <w:tcW w:w="4590" w:type="dxa"/>
            <w:shd w:val="clear" w:color="auto" w:fill="auto"/>
          </w:tcPr>
          <w:p w:rsidR="00BD1A6A" w:rsidRPr="00BB5519" w:rsidRDefault="00BD1A6A" w:rsidP="00134C35">
            <w:pPr>
              <w:spacing w:after="20"/>
              <w:rPr>
                <w:rFonts w:cs="Tahoma"/>
                <w:color w:val="000000"/>
                <w:szCs w:val="18"/>
              </w:rPr>
            </w:pPr>
            <w:r w:rsidRPr="00BB5519">
              <w:rPr>
                <w:rFonts w:cs="Tahoma"/>
                <w:color w:val="000000"/>
                <w:szCs w:val="18"/>
                <w:lang w:val="de-DE"/>
              </w:rPr>
              <w:t xml:space="preserve">Externer Connector für Lync Server 2010 Plus mit aktiver Software Assurance zum 1. </w:t>
            </w:r>
            <w:r w:rsidRPr="00BB5519">
              <w:rPr>
                <w:rFonts w:cs="Tahoma"/>
                <w:color w:val="000000"/>
                <w:szCs w:val="18"/>
              </w:rPr>
              <w:t>Dezember 2012</w:t>
            </w:r>
          </w:p>
        </w:tc>
        <w:tc>
          <w:tcPr>
            <w:tcW w:w="3510" w:type="dxa"/>
            <w:shd w:val="clear" w:color="auto" w:fill="auto"/>
          </w:tcPr>
          <w:p w:rsidR="00BD1A6A" w:rsidRPr="00BB5519" w:rsidRDefault="00BD1A6A" w:rsidP="002C3AB1">
            <w:pPr>
              <w:rPr>
                <w:rFonts w:cs="Tahoma"/>
                <w:color w:val="000000"/>
                <w:szCs w:val="18"/>
              </w:rPr>
            </w:pPr>
            <w:r w:rsidRPr="00BB5519">
              <w:rPr>
                <w:rFonts w:cs="Tahoma"/>
                <w:color w:val="000000"/>
                <w:szCs w:val="18"/>
              </w:rPr>
              <w:t>Lizenz für Lync Server 2013</w:t>
            </w:r>
          </w:p>
        </w:tc>
      </w:tr>
      <w:tr w:rsidR="00BD1A6A" w:rsidRPr="00BB5519" w:rsidTr="00134C35">
        <w:trPr>
          <w:trHeight w:val="70"/>
        </w:trPr>
        <w:tc>
          <w:tcPr>
            <w:tcW w:w="4590" w:type="dxa"/>
            <w:shd w:val="clear" w:color="auto" w:fill="auto"/>
          </w:tcPr>
          <w:p w:rsidR="00BD1A6A" w:rsidRPr="00BB5519" w:rsidRDefault="00BD1A6A" w:rsidP="00134C35">
            <w:pPr>
              <w:spacing w:after="20"/>
              <w:rPr>
                <w:rFonts w:cs="Tahoma"/>
                <w:color w:val="000000"/>
                <w:szCs w:val="18"/>
              </w:rPr>
            </w:pPr>
            <w:r w:rsidRPr="00BB5519">
              <w:rPr>
                <w:rFonts w:cs="Tahoma"/>
                <w:color w:val="000000"/>
                <w:szCs w:val="18"/>
                <w:lang w:val="de-DE"/>
              </w:rPr>
              <w:t xml:space="preserve">Externer Connector für Lync Server 2010 Standard mit aktiver Software Assurance zum 1. </w:t>
            </w:r>
            <w:r w:rsidRPr="00BB5519">
              <w:rPr>
                <w:rFonts w:cs="Tahoma"/>
                <w:color w:val="000000"/>
                <w:szCs w:val="18"/>
              </w:rPr>
              <w:t>Dezember 2012</w:t>
            </w:r>
          </w:p>
        </w:tc>
        <w:tc>
          <w:tcPr>
            <w:tcW w:w="3510" w:type="dxa"/>
            <w:shd w:val="clear" w:color="auto" w:fill="auto"/>
          </w:tcPr>
          <w:p w:rsidR="00BD1A6A" w:rsidRPr="00BB5519" w:rsidRDefault="00BD1A6A" w:rsidP="002C3AB1">
            <w:pPr>
              <w:rPr>
                <w:rFonts w:cs="Tahoma"/>
                <w:color w:val="000000"/>
                <w:szCs w:val="18"/>
              </w:rPr>
            </w:pPr>
            <w:r w:rsidRPr="00BB5519">
              <w:rPr>
                <w:rFonts w:cs="Tahoma"/>
                <w:color w:val="000000"/>
                <w:szCs w:val="18"/>
              </w:rPr>
              <w:t>Lizenz für Lync Server 2013</w:t>
            </w:r>
          </w:p>
        </w:tc>
      </w:tr>
    </w:tbl>
    <w:p w:rsidR="004E0852" w:rsidRPr="00BB5519" w:rsidRDefault="004E0852" w:rsidP="004E0852">
      <w:pPr>
        <w:ind w:left="720"/>
        <w:jc w:val="both"/>
      </w:pPr>
    </w:p>
    <w:p w:rsidR="004E0852" w:rsidRPr="00BB5519" w:rsidRDefault="004E0852" w:rsidP="004E0852">
      <w:pPr>
        <w:ind w:left="720"/>
        <w:rPr>
          <w:lang w:val="de-DE"/>
        </w:rPr>
      </w:pPr>
      <w:r w:rsidRPr="00BB5519">
        <w:rPr>
          <w:rFonts w:cs="Tahoma"/>
          <w:color w:val="000000"/>
          <w:szCs w:val="18"/>
          <w:lang w:val="de-DE"/>
        </w:rPr>
        <w:t>Die folgenden Bestimmungen gelten für die Lizenzgewährungen oben.</w:t>
      </w:r>
    </w:p>
    <w:p w:rsidR="004E0852" w:rsidRPr="00BB5519" w:rsidRDefault="004E0852" w:rsidP="004E0852">
      <w:pPr>
        <w:ind w:left="720"/>
        <w:rPr>
          <w:lang w:val="de-DE"/>
        </w:rPr>
      </w:pPr>
    </w:p>
    <w:p w:rsidR="004E0852" w:rsidRPr="00BB5519" w:rsidRDefault="004E0852" w:rsidP="003D0252">
      <w:pPr>
        <w:numPr>
          <w:ilvl w:val="0"/>
          <w:numId w:val="124"/>
        </w:numPr>
        <w:spacing w:after="60"/>
        <w:ind w:left="1440"/>
        <w:rPr>
          <w:lang w:val="de-DE"/>
        </w:rPr>
      </w:pPr>
      <w:r w:rsidRPr="00BB5519">
        <w:rPr>
          <w:rFonts w:cs="Tahoma"/>
          <w:bCs/>
          <w:color w:val="000000"/>
          <w:szCs w:val="18"/>
          <w:u w:val="single"/>
          <w:lang w:val="de-DE"/>
        </w:rPr>
        <w:t>Migrationspfad</w:t>
      </w:r>
      <w:r w:rsidRPr="00134C35">
        <w:rPr>
          <w:rFonts w:cs="Tahoma"/>
          <w:color w:val="000000"/>
          <w:szCs w:val="18"/>
          <w:lang w:val="de-DE"/>
        </w:rPr>
        <w:t>:</w:t>
      </w:r>
      <w:r w:rsidRPr="00BB5519">
        <w:rPr>
          <w:rFonts w:cs="Tahoma"/>
          <w:color w:val="000000"/>
          <w:szCs w:val="18"/>
          <w:lang w:val="de-DE"/>
        </w:rPr>
        <w:t xml:space="preserve"> Kunden mit aktiver Software Assurance für eine bestimmte Qualifizierende Lizenz zum 1. Dezember 2012 sind bei Freigabe von Lync Server 2013 berechtigt, unter der Zusätzlichen Lizenz auf die Software Lync Server 2013 upzugraden und sie anstelle der Software Lync Server 2010 unter der jeweiligen qualifizierenden Externen Connector-Lizenz zu verwenden.</w:t>
      </w:r>
      <w:r w:rsidR="009E4976" w:rsidRPr="00BB5519">
        <w:rPr>
          <w:rFonts w:cs="Tahoma"/>
          <w:color w:val="000000"/>
          <w:szCs w:val="18"/>
          <w:lang w:val="de-DE"/>
        </w:rPr>
        <w:t xml:space="preserve"> </w:t>
      </w:r>
    </w:p>
    <w:p w:rsidR="004E0852" w:rsidRPr="00BB5519" w:rsidRDefault="004E0852" w:rsidP="00134C35">
      <w:pPr>
        <w:numPr>
          <w:ilvl w:val="0"/>
          <w:numId w:val="124"/>
        </w:numPr>
        <w:spacing w:after="60"/>
        <w:ind w:left="1440" w:right="-90"/>
        <w:rPr>
          <w:lang w:val="de-DE"/>
        </w:rPr>
      </w:pPr>
      <w:r w:rsidRPr="00BB5519">
        <w:rPr>
          <w:rFonts w:cs="Tahoma"/>
          <w:color w:val="000000"/>
          <w:szCs w:val="18"/>
          <w:u w:val="single"/>
          <w:lang w:val="de-DE"/>
        </w:rPr>
        <w:lastRenderedPageBreak/>
        <w:t>Nutzungsrechte</w:t>
      </w:r>
      <w:r w:rsidRPr="00BB5519">
        <w:rPr>
          <w:rFonts w:cs="Tahoma"/>
          <w:color w:val="000000"/>
          <w:szCs w:val="18"/>
          <w:lang w:val="de-DE"/>
        </w:rPr>
        <w:t>: Das Recht zur Nutzung der Software unter der Zusätzlichen Lizenz unter diesem Angebot gilt bis zum Ablauf des Rechts zur Nutzung der Software unter der Qualifizierenden Lizenz.</w:t>
      </w:r>
      <w:r w:rsidR="00134C35">
        <w:rPr>
          <w:rFonts w:cs="Tahoma"/>
          <w:color w:val="000000"/>
          <w:szCs w:val="18"/>
          <w:lang w:val="de-DE"/>
        </w:rPr>
        <w:t> </w:t>
      </w:r>
      <w:r w:rsidRPr="00BB5519">
        <w:rPr>
          <w:rFonts w:cs="Tahoma"/>
          <w:color w:val="000000"/>
          <w:szCs w:val="18"/>
          <w:lang w:val="de-DE"/>
        </w:rPr>
        <w:t>Die Nutzung dieser Software unterliegt den Nutzungsrechten für die Software sowie den Bestimmungen des Volumenlizenzvertrages des Kunden.</w:t>
      </w:r>
      <w:r w:rsidR="009E4976" w:rsidRPr="00BB5519">
        <w:rPr>
          <w:rFonts w:cs="Tahoma"/>
          <w:color w:val="000000"/>
          <w:szCs w:val="18"/>
          <w:lang w:val="de-DE"/>
        </w:rPr>
        <w:t xml:space="preserve"> </w:t>
      </w:r>
      <w:r w:rsidRPr="00BB5519">
        <w:rPr>
          <w:rFonts w:cs="Tahoma"/>
          <w:color w:val="000000"/>
          <w:szCs w:val="18"/>
          <w:lang w:val="de-DE"/>
        </w:rPr>
        <w:t>Dieser Hinweis auf die Produktbedingungen und der Nachweis des Kunden über die entsprechende Qualifizierende Lizenz und Software Assurance belegen zusammen das Recht zur Nutzung der Software unter der Zusätzlichen Lizenz</w:t>
      </w:r>
      <w:r w:rsidR="00134C35">
        <w:rPr>
          <w:rFonts w:cs="Tahoma"/>
          <w:color w:val="000000"/>
          <w:szCs w:val="18"/>
          <w:lang w:val="de-DE"/>
        </w:rPr>
        <w:t> </w:t>
      </w:r>
      <w:r w:rsidRPr="00BB5519">
        <w:rPr>
          <w:rFonts w:cs="Tahoma"/>
          <w:color w:val="000000"/>
          <w:szCs w:val="18"/>
          <w:lang w:val="de-DE"/>
        </w:rPr>
        <w:t xml:space="preserve">unter diesem Angebot. </w:t>
      </w:r>
    </w:p>
    <w:p w:rsidR="004E0852" w:rsidRPr="00BB5519" w:rsidRDefault="004E0852" w:rsidP="00134C35">
      <w:pPr>
        <w:numPr>
          <w:ilvl w:val="0"/>
          <w:numId w:val="8"/>
        </w:numPr>
        <w:spacing w:after="60"/>
        <w:ind w:left="1440"/>
        <w:rPr>
          <w:lang w:val="de-DE"/>
        </w:rPr>
      </w:pPr>
      <w:r w:rsidRPr="00BB5519">
        <w:rPr>
          <w:rFonts w:cs="Tahoma"/>
          <w:color w:val="000000"/>
          <w:szCs w:val="18"/>
          <w:u w:val="single"/>
          <w:lang w:val="de-DE"/>
        </w:rPr>
        <w:t>Lizenz und Software Assurance</w:t>
      </w:r>
      <w:r w:rsidRPr="00BB5519">
        <w:rPr>
          <w:rFonts w:cs="Tahoma"/>
          <w:color w:val="000000"/>
          <w:szCs w:val="18"/>
          <w:lang w:val="de-DE"/>
        </w:rPr>
        <w:t>: Die Zusätzliche Lizenz enthält Software Assurance.</w:t>
      </w:r>
      <w:r w:rsidR="009E4976" w:rsidRPr="00BB5519">
        <w:rPr>
          <w:rFonts w:cs="Tahoma"/>
          <w:color w:val="000000"/>
          <w:szCs w:val="18"/>
          <w:lang w:val="de-DE"/>
        </w:rPr>
        <w:t xml:space="preserve"> </w:t>
      </w:r>
      <w:r w:rsidRPr="00BB5519">
        <w:rPr>
          <w:rFonts w:cs="Tahoma"/>
          <w:color w:val="000000"/>
          <w:szCs w:val="18"/>
          <w:lang w:val="de-DE"/>
        </w:rPr>
        <w:t>Software Assurance für die Zusätzliche Lizenz gilt bis zum Ablauf der Software Assurance für die Qualifizierende Lizenz.</w:t>
      </w:r>
      <w:r w:rsidR="009E4976" w:rsidRPr="00BB5519">
        <w:rPr>
          <w:rFonts w:cs="Tahoma"/>
          <w:color w:val="000000"/>
          <w:szCs w:val="18"/>
          <w:lang w:val="de-DE"/>
        </w:rPr>
        <w:t xml:space="preserve"> </w:t>
      </w:r>
      <w:r w:rsidRPr="00BB5519">
        <w:rPr>
          <w:rFonts w:cs="Tahoma"/>
          <w:color w:val="000000"/>
          <w:szCs w:val="18"/>
          <w:lang w:val="de-DE"/>
        </w:rPr>
        <w:t>Nach Ablauf von Software Assurance für die Qualifizierende Lizenz kann der</w:t>
      </w:r>
      <w:r w:rsidR="00134C35">
        <w:rPr>
          <w:rFonts w:cs="Tahoma"/>
          <w:color w:val="000000"/>
          <w:szCs w:val="18"/>
          <w:lang w:val="de-DE"/>
        </w:rPr>
        <w:t> </w:t>
      </w:r>
      <w:r w:rsidRPr="00BB5519">
        <w:rPr>
          <w:rFonts w:cs="Tahoma"/>
          <w:color w:val="000000"/>
          <w:szCs w:val="18"/>
          <w:lang w:val="de-DE"/>
        </w:rPr>
        <w:t>Kunde Software Assurance für die Zusätzliche Lizenz verlängern, ohne separat eine neue Lizenz</w:t>
      </w:r>
      <w:r w:rsidR="00134C35">
        <w:rPr>
          <w:rFonts w:cs="Tahoma"/>
          <w:color w:val="000000"/>
          <w:szCs w:val="18"/>
          <w:lang w:val="de-DE"/>
        </w:rPr>
        <w:t> </w:t>
      </w:r>
      <w:r w:rsidRPr="00BB5519">
        <w:rPr>
          <w:rFonts w:cs="Tahoma"/>
          <w:color w:val="000000"/>
          <w:szCs w:val="18"/>
          <w:lang w:val="de-DE"/>
        </w:rPr>
        <w:t>erwerben zu müssen.</w:t>
      </w:r>
    </w:p>
    <w:p w:rsidR="004E0852" w:rsidRPr="00BB5519" w:rsidRDefault="004E0852" w:rsidP="003D0252">
      <w:pPr>
        <w:numPr>
          <w:ilvl w:val="0"/>
          <w:numId w:val="125"/>
        </w:numPr>
        <w:spacing w:after="60"/>
        <w:ind w:left="1440"/>
        <w:rPr>
          <w:lang w:val="de-DE"/>
        </w:rPr>
      </w:pPr>
      <w:r w:rsidRPr="00BB5519">
        <w:rPr>
          <w:rFonts w:eastAsia="Calibri" w:cs="Tahoma"/>
          <w:color w:val="000000"/>
          <w:szCs w:val="18"/>
          <w:u w:val="single"/>
          <w:lang w:val="de-DE"/>
        </w:rPr>
        <w:t>True Ups</w:t>
      </w:r>
      <w:r w:rsidRPr="00BB5519">
        <w:rPr>
          <w:rFonts w:eastAsia="Calibri" w:cs="Tahoma"/>
          <w:color w:val="000000"/>
          <w:szCs w:val="18"/>
          <w:lang w:val="de-DE"/>
        </w:rPr>
        <w:t>:</w:t>
      </w:r>
      <w:r w:rsidR="009E4976" w:rsidRPr="00BB5519">
        <w:rPr>
          <w:rFonts w:eastAsia="Calibri" w:cs="Tahoma"/>
          <w:color w:val="000000"/>
          <w:szCs w:val="18"/>
          <w:lang w:val="de-DE"/>
        </w:rPr>
        <w:t xml:space="preserve"> </w:t>
      </w:r>
      <w:r w:rsidRPr="00BB5519">
        <w:rPr>
          <w:rFonts w:eastAsia="Calibri" w:cs="Tahoma"/>
          <w:color w:val="000000"/>
          <w:szCs w:val="18"/>
          <w:lang w:val="de-DE"/>
        </w:rPr>
        <w:t>Bei Kunden mit Konzernvertrag, die zu diesen oben beschriebenen zusätzlichen Lizenzen und Rechten berechtigt sind, gelten Externe Connector-Lizenzen für Lync Server 2010 Enterprise, Lync Server 2010 Plus und Lync Server 2010 Standard, die unter dem jährlichen True Up-</w:t>
      </w:r>
      <w:r w:rsidRPr="00BB5519">
        <w:rPr>
          <w:rFonts w:cs="Tahoma"/>
          <w:color w:val="000000"/>
          <w:szCs w:val="18"/>
          <w:lang w:val="de-DE"/>
        </w:rPr>
        <w:t xml:space="preserve">Prozess erworben wurden, ebenfalls als Qualifizierende Lizenzen. </w:t>
      </w:r>
    </w:p>
    <w:p w:rsidR="004E0852" w:rsidRPr="00BB5519" w:rsidRDefault="003D0252" w:rsidP="003D0252">
      <w:pPr>
        <w:numPr>
          <w:ilvl w:val="0"/>
          <w:numId w:val="125"/>
        </w:numPr>
        <w:spacing w:after="60"/>
        <w:ind w:left="1440"/>
        <w:rPr>
          <w:lang w:val="de-DE"/>
        </w:rPr>
      </w:pPr>
      <w:r w:rsidRPr="00BB5519">
        <w:rPr>
          <w:rFonts w:cs="Tahoma"/>
          <w:color w:val="000000"/>
          <w:szCs w:val="18"/>
          <w:u w:val="single"/>
          <w:lang w:val="de-DE"/>
        </w:rPr>
        <w:t>Abonnement-Verträge</w:t>
      </w:r>
      <w:r w:rsidRPr="00BB5519">
        <w:rPr>
          <w:rFonts w:cs="Tahoma"/>
          <w:color w:val="000000"/>
          <w:szCs w:val="18"/>
          <w:lang w:val="de-DE"/>
        </w:rPr>
        <w:t>:</w:t>
      </w:r>
      <w:r w:rsidR="009E4976" w:rsidRPr="00BB5519">
        <w:rPr>
          <w:rFonts w:cs="Tahoma"/>
          <w:color w:val="000000"/>
          <w:szCs w:val="18"/>
          <w:lang w:val="de-DE"/>
        </w:rPr>
        <w:t xml:space="preserve"> </w:t>
      </w:r>
      <w:r w:rsidRPr="00BB5519">
        <w:rPr>
          <w:rFonts w:cs="Tahoma"/>
          <w:color w:val="000000"/>
          <w:szCs w:val="18"/>
          <w:lang w:val="de-DE"/>
        </w:rPr>
        <w:t xml:space="preserve">Für Konzern-Abonnement-Verträge, </w:t>
      </w:r>
      <w:r w:rsidRPr="00BB5519">
        <w:rPr>
          <w:rFonts w:cs="Tahoma"/>
          <w:szCs w:val="18"/>
          <w:lang w:val="de-DE"/>
        </w:rPr>
        <w:t>Open Value Subscription-Verträge, Campus- und School-Verträge, Beitritt für Bildungslösungen und Open Value Subscription – Bildungslösungen-Verträge werden vorübergehend unter denselben Bedingungen</w:t>
      </w:r>
      <w:r w:rsidRPr="00BB5519">
        <w:rPr>
          <w:rFonts w:cs="Tahoma"/>
          <w:color w:val="000000"/>
          <w:szCs w:val="18"/>
          <w:lang w:val="de-DE"/>
        </w:rPr>
        <w:t xml:space="preserve"> bis zum Ende der aktuellen Beitrittslaufzeit (bzw. Vertragslaufzeit im Falle von Open Value) die gleichen Rechte gewährt.</w:t>
      </w:r>
      <w:r w:rsidR="009E4976" w:rsidRPr="00BB5519">
        <w:rPr>
          <w:rFonts w:cs="Tahoma"/>
          <w:color w:val="000000"/>
          <w:szCs w:val="18"/>
          <w:lang w:val="de-DE"/>
        </w:rPr>
        <w:t xml:space="preserve"> </w:t>
      </w:r>
      <w:r w:rsidRPr="00BB5519">
        <w:rPr>
          <w:rFonts w:cs="Tahoma"/>
          <w:color w:val="000000"/>
          <w:szCs w:val="18"/>
          <w:lang w:val="de-DE"/>
        </w:rPr>
        <w:t>Der Kunde muss das Abonnement ununterbrochen aufrechterhalten.</w:t>
      </w:r>
      <w:r w:rsidR="009E4976" w:rsidRPr="00BB5519">
        <w:rPr>
          <w:rFonts w:cs="Tahoma"/>
          <w:color w:val="000000"/>
          <w:szCs w:val="18"/>
          <w:lang w:val="de-DE"/>
        </w:rPr>
        <w:t xml:space="preserve"> </w:t>
      </w:r>
      <w:r w:rsidRPr="00BB5519">
        <w:rPr>
          <w:rFonts w:cs="Tahoma"/>
          <w:color w:val="000000"/>
          <w:szCs w:val="18"/>
          <w:lang w:val="de-DE"/>
        </w:rPr>
        <w:t>Diese Rechte werden erst nach Ausübung der Buy-Out-Option zeitlich unbeschränkt und unterliegen weiterhin allen Bestimmungen des Lizenzvertrages des Kunden.</w:t>
      </w:r>
    </w:p>
    <w:p w:rsidR="004E0852" w:rsidRPr="00BB5519" w:rsidRDefault="004E0852" w:rsidP="003D0252">
      <w:pPr>
        <w:numPr>
          <w:ilvl w:val="0"/>
          <w:numId w:val="126"/>
        </w:numPr>
        <w:spacing w:after="60"/>
        <w:ind w:left="1440"/>
        <w:rPr>
          <w:lang w:val="de-DE"/>
        </w:rPr>
      </w:pPr>
      <w:r w:rsidRPr="00BB5519">
        <w:rPr>
          <w:rFonts w:cs="Tahoma"/>
          <w:szCs w:val="18"/>
          <w:u w:val="single"/>
          <w:lang w:val="de-DE"/>
        </w:rPr>
        <w:t>Übergänge für Campus- und School-Verträge</w:t>
      </w:r>
      <w:r w:rsidRPr="00BB5519">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4E0852" w:rsidRPr="00BB5519" w:rsidRDefault="004E0852" w:rsidP="003D0252">
      <w:pPr>
        <w:pStyle w:val="ListParagraph"/>
        <w:numPr>
          <w:ilvl w:val="0"/>
          <w:numId w:val="105"/>
        </w:numPr>
        <w:spacing w:after="60"/>
        <w:ind w:left="1980"/>
        <w:contextualSpacing w:val="0"/>
        <w:rPr>
          <w:lang w:val="de-DE"/>
        </w:rPr>
      </w:pPr>
      <w:r w:rsidRPr="00BB5519">
        <w:rPr>
          <w:rFonts w:ascii="Tahoma" w:hAnsi="Tahoma" w:cs="Tahoma"/>
          <w:sz w:val="18"/>
          <w:szCs w:val="18"/>
          <w:lang w:val="de-DE"/>
        </w:rPr>
        <w:t xml:space="preserve">Bis zum Ende des Beitritts für Bildungslösungen bzw. des Open Value Subscription – Bildungslösungen-Vertrages werden vorübergehend unter denselben Bedingungen die gleichen Rechte gewährt. </w:t>
      </w:r>
    </w:p>
    <w:p w:rsidR="00BA1490" w:rsidRPr="00BB5519" w:rsidRDefault="004E0852" w:rsidP="003D0252">
      <w:pPr>
        <w:pStyle w:val="ListParagraph"/>
        <w:numPr>
          <w:ilvl w:val="0"/>
          <w:numId w:val="105"/>
        </w:numPr>
        <w:spacing w:after="60"/>
        <w:ind w:left="1980"/>
        <w:contextualSpacing w:val="0"/>
        <w:rPr>
          <w:lang w:val="de-DE"/>
        </w:rPr>
      </w:pPr>
      <w:r w:rsidRPr="00BB5519">
        <w:rPr>
          <w:rFonts w:ascii="Tahoma" w:hAnsi="Tahoma" w:cs="Tahoma"/>
          <w:sz w:val="18"/>
          <w:szCs w:val="18"/>
          <w:lang w:val="de-DE"/>
        </w:rPr>
        <w:t>Diese Rechte werden erst nach Ausübung der Buy-Out-Option zeitlich unbeschränkt und unterliegen weiterhin allen Bestimmungen des Lizenzvertrages des Kunden.</w:t>
      </w:r>
      <w:bookmarkStart w:id="1367" w:name="_66_Lync_Server"/>
      <w:bookmarkStart w:id="1368" w:name="_Toc336338327"/>
      <w:bookmarkStart w:id="1369" w:name="Srv_57OfficeCommSvrOnlineStd"/>
      <w:bookmarkEnd w:id="1367"/>
    </w:p>
    <w:p w:rsidR="00586FCE" w:rsidRPr="00BB5519" w:rsidRDefault="00586FCE" w:rsidP="003D0252">
      <w:pPr>
        <w:rPr>
          <w:lang w:val="de-DE"/>
        </w:rPr>
      </w:pPr>
      <w:bookmarkStart w:id="1370" w:name="Srv_56MicrosoftDynamicsCRM2011"/>
      <w:bookmarkStart w:id="1371" w:name="Srv_67MicrosoftDynamicsCRM2011"/>
    </w:p>
    <w:p w:rsidR="002512D3" w:rsidRPr="00BB5519" w:rsidRDefault="002512D3">
      <w:pPr>
        <w:rPr>
          <w:lang w:val="de-DE"/>
        </w:rPr>
      </w:pPr>
    </w:p>
    <w:p w:rsidR="00253288" w:rsidRPr="00BB5519" w:rsidRDefault="00F66FB0" w:rsidP="00D47417">
      <w:pPr>
        <w:pStyle w:val="Heading3"/>
        <w:rPr>
          <w:lang w:val="de-DE"/>
        </w:rPr>
      </w:pPr>
      <w:bookmarkStart w:id="1372" w:name="_66_Microsoft_Dynamics_1"/>
      <w:bookmarkStart w:id="1373" w:name="_Toc354055021"/>
      <w:bookmarkEnd w:id="1372"/>
      <w:r w:rsidRPr="00BB5519">
        <w:rPr>
          <w:rFonts w:ascii="Tahoma" w:hAnsi="Tahoma"/>
          <w:color w:val="F66400"/>
          <w:sz w:val="22"/>
          <w:vertAlign w:val="superscript"/>
          <w:lang w:val="de-DE"/>
        </w:rPr>
        <w:t>66</w:t>
      </w:r>
      <w:r w:rsidRPr="00BB5519">
        <w:rPr>
          <w:rFonts w:ascii="Tahoma" w:hAnsi="Tahoma"/>
          <w:color w:val="F66400"/>
          <w:sz w:val="22"/>
          <w:lang w:val="de-DE"/>
        </w:rPr>
        <w:t xml:space="preserve"> Microsoft Dynamics AX 2012</w:t>
      </w:r>
      <w:bookmarkEnd w:id="1368"/>
      <w:r w:rsidRPr="00BB5519">
        <w:rPr>
          <w:rFonts w:ascii="Tahoma" w:hAnsi="Tahoma"/>
          <w:color w:val="F66400"/>
          <w:sz w:val="22"/>
          <w:lang w:val="de-DE"/>
        </w:rPr>
        <w:t xml:space="preserve"> R2</w:t>
      </w:r>
      <w:bookmarkEnd w:id="1373"/>
    </w:p>
    <w:p w:rsidR="003D0252" w:rsidRPr="00BB5519" w:rsidRDefault="003D0252" w:rsidP="003D0252">
      <w:pPr>
        <w:rPr>
          <w:lang w:val="de-DE"/>
        </w:rPr>
      </w:pPr>
    </w:p>
    <w:p w:rsidR="00047874" w:rsidRPr="00BB5519" w:rsidRDefault="00860CF0" w:rsidP="007B699C">
      <w:pPr>
        <w:spacing w:after="60"/>
        <w:ind w:left="734" w:hanging="14"/>
        <w:rPr>
          <w:lang w:val="de-DE"/>
        </w:rPr>
      </w:pPr>
      <w:r w:rsidRPr="00BB5519">
        <w:rPr>
          <w:rFonts w:cs="Tahoma"/>
          <w:b/>
          <w:bCs/>
          <w:szCs w:val="20"/>
          <w:lang w:val="de-DE"/>
        </w:rPr>
        <w:t>Lokalisierungen und Übersetzungen</w:t>
      </w:r>
    </w:p>
    <w:p w:rsidR="00253288" w:rsidRPr="00BB5519" w:rsidRDefault="00047874" w:rsidP="009374EE">
      <w:pPr>
        <w:ind w:left="734" w:hanging="14"/>
        <w:rPr>
          <w:lang w:val="de-DE"/>
        </w:rPr>
      </w:pPr>
      <w:r w:rsidRPr="00BB5519">
        <w:rPr>
          <w:rFonts w:cs="Tahoma"/>
          <w:color w:val="000000"/>
          <w:szCs w:val="20"/>
          <w:lang w:val="de-DE"/>
        </w:rPr>
        <w:t>Microsoft Dynamics AX wird von Microsoft lokalisiert, übersetzt und unterstützt sowie in ausgewählten</w:t>
      </w:r>
      <w:r w:rsidR="009374EE">
        <w:rPr>
          <w:rFonts w:cs="Tahoma"/>
          <w:color w:val="000000"/>
          <w:szCs w:val="20"/>
          <w:lang w:val="de-DE"/>
        </w:rPr>
        <w:t> </w:t>
      </w:r>
      <w:r w:rsidRPr="00BB5519">
        <w:rPr>
          <w:rFonts w:cs="Tahoma"/>
          <w:color w:val="000000"/>
          <w:szCs w:val="20"/>
          <w:lang w:val="de-DE"/>
        </w:rPr>
        <w:t xml:space="preserve">Ländern und Sprachen allgemein zur Verfügung gestellt. Unter </w:t>
      </w:r>
      <w:r w:rsidR="009374EE">
        <w:rPr>
          <w:rFonts w:cs="Tahoma"/>
          <w:color w:val="000000"/>
          <w:szCs w:val="20"/>
          <w:lang w:val="de-DE"/>
        </w:rPr>
        <w:br/>
      </w:r>
      <w:hyperlink r:id="rId52" w:history="1">
        <w:r w:rsidRPr="00F9305F">
          <w:rPr>
            <w:rStyle w:val="Hyperlink"/>
            <w:rFonts w:eastAsia="Calibri" w:cs="Tahoma"/>
            <w:color w:val="auto"/>
            <w:szCs w:val="18"/>
            <w:u w:val="none"/>
            <w:lang w:val="de-DE"/>
          </w:rPr>
          <w:t>http://www.microsoft.com/en-us/dynamics/erp-explore-ax-capabilities.aspx</w:t>
        </w:r>
      </w:hyperlink>
      <w:r w:rsidRPr="00BB5519">
        <w:rPr>
          <w:rFonts w:cs="Tahoma"/>
          <w:color w:val="000000"/>
          <w:szCs w:val="20"/>
          <w:lang w:val="de-DE"/>
        </w:rPr>
        <w:t xml:space="preserve"> können Sie sich über</w:t>
      </w:r>
      <w:r w:rsidR="009374EE">
        <w:rPr>
          <w:rFonts w:cs="Tahoma"/>
          <w:color w:val="000000"/>
          <w:szCs w:val="20"/>
          <w:lang w:val="de-DE"/>
        </w:rPr>
        <w:t> </w:t>
      </w:r>
      <w:r w:rsidRPr="00BB5519">
        <w:rPr>
          <w:rFonts w:cs="Tahoma"/>
          <w:color w:val="000000"/>
          <w:szCs w:val="20"/>
          <w:lang w:val="de-DE"/>
        </w:rPr>
        <w:t>die</w:t>
      </w:r>
      <w:r w:rsidR="009374EE">
        <w:rPr>
          <w:rFonts w:cs="Tahoma"/>
          <w:color w:val="000000"/>
          <w:szCs w:val="20"/>
          <w:lang w:val="de-DE"/>
        </w:rPr>
        <w:t> </w:t>
      </w:r>
      <w:r w:rsidRPr="00BB5519">
        <w:rPr>
          <w:rFonts w:cs="Tahoma"/>
          <w:color w:val="000000"/>
          <w:szCs w:val="20"/>
          <w:lang w:val="de-DE"/>
        </w:rPr>
        <w:t>Verfügbarkeit von Microsoft-Übersetzungen und -Lokalisierungen informieren.</w:t>
      </w:r>
    </w:p>
    <w:p w:rsidR="00860CF0" w:rsidRPr="00BB5519" w:rsidRDefault="00860CF0" w:rsidP="00737831">
      <w:pPr>
        <w:ind w:left="720"/>
        <w:rPr>
          <w:lang w:val="de-DE"/>
        </w:rPr>
      </w:pPr>
    </w:p>
    <w:p w:rsidR="00860CF0" w:rsidRPr="00BB5519" w:rsidRDefault="00860CF0" w:rsidP="00737831">
      <w:pPr>
        <w:pStyle w:val="PURBody-Indented"/>
        <w:spacing w:after="0"/>
        <w:ind w:left="720"/>
        <w:rPr>
          <w:lang w:val="de-DE"/>
        </w:rPr>
      </w:pPr>
      <w:r w:rsidRPr="00BB5519">
        <w:rPr>
          <w:rFonts w:ascii="Tahoma" w:hAnsi="Tahoma" w:cs="Tahoma"/>
          <w:color w:val="000000"/>
          <w:sz w:val="18"/>
          <w:lang w:val="de-DE"/>
        </w:rPr>
        <w:t>Microsoft nimmt zur Kenntnis, dass es in bestimmten Umständen dazu kommen kann, dass Sie gewisse Module oder Funktionalitäten, die für eine bestimmte Region lokalisiert und/oder übersetzt wurden, in einer anderen Region als derjenigen, für die sie erstellt wurden, nutzen möchten.</w:t>
      </w:r>
      <w:r w:rsidR="009E4976" w:rsidRPr="00BB5519">
        <w:rPr>
          <w:rFonts w:ascii="Tahoma" w:hAnsi="Tahoma" w:cs="Tahoma"/>
          <w:color w:val="000000"/>
          <w:sz w:val="18"/>
          <w:lang w:val="de-DE"/>
        </w:rPr>
        <w:t xml:space="preserve"> </w:t>
      </w:r>
      <w:r w:rsidRPr="00BB5519">
        <w:rPr>
          <w:rFonts w:ascii="Tahoma" w:hAnsi="Tahoma" w:cs="Tahoma"/>
          <w:color w:val="000000"/>
          <w:sz w:val="18"/>
          <w:lang w:val="de-DE"/>
        </w:rPr>
        <w:t>Da sich die Gesetze und Regelungen von Region zu Region unterscheiden, können sich Gesetze oder Regelungen auf die Nutzung der gewünschten Funktionalität in Regionen, für die diese nicht erstellt wurde, auswirken.</w:t>
      </w:r>
      <w:r w:rsidR="009E4976" w:rsidRPr="00BB5519">
        <w:rPr>
          <w:rFonts w:ascii="Tahoma" w:hAnsi="Tahoma" w:cs="Tahoma"/>
          <w:color w:val="000000"/>
          <w:sz w:val="18"/>
          <w:lang w:val="de-DE"/>
        </w:rPr>
        <w:t xml:space="preserve"> </w:t>
      </w:r>
      <w:r w:rsidRPr="00BB5519">
        <w:rPr>
          <w:rFonts w:ascii="Tahoma" w:hAnsi="Tahoma" w:cs="Tahoma"/>
          <w:color w:val="000000"/>
          <w:sz w:val="18"/>
          <w:lang w:val="de-DE"/>
        </w:rPr>
        <w:t>Microsoft gibt keine Erklärung, Gewährleistung, Garantie (ausdrücklich, konkludent oder anderweitig) oder Zusicherung bezüglich der Leistung oder Eignung von beliebigen lokalisierten und/oder übersetzten Versionen der Software (einschließlich aller über diese Software verfügbaren Onlinedienste), die außerhalb des Gebiets, für die sie erstellt wurden, und in dem Microsoft solche Software kommerziell verfügbar macht, genutzt werden.</w:t>
      </w:r>
      <w:r w:rsidR="009E4976" w:rsidRPr="00BB5519">
        <w:rPr>
          <w:rFonts w:ascii="Tahoma" w:hAnsi="Tahoma" w:cs="Tahoma"/>
          <w:color w:val="000000"/>
          <w:sz w:val="18"/>
          <w:lang w:val="de-DE"/>
        </w:rPr>
        <w:t xml:space="preserve"> </w:t>
      </w:r>
      <w:r w:rsidRPr="00BB5519">
        <w:rPr>
          <w:rFonts w:ascii="Tahoma" w:hAnsi="Tahoma" w:cs="Tahoma"/>
          <w:color w:val="000000"/>
          <w:sz w:val="18"/>
          <w:lang w:val="de-DE"/>
        </w:rPr>
        <w:t>Wenden Sie sich an Ihren Steuerberater in der geografischen Region, in der Sie diese Software nutzen möchten, um zu bestimmen, ob die Funktionalität für die Nutzung in dieser Region geeignet ist.</w:t>
      </w:r>
    </w:p>
    <w:p w:rsidR="00047874" w:rsidRPr="00BB5519" w:rsidRDefault="00047874" w:rsidP="00E62BC4">
      <w:pPr>
        <w:ind w:left="720" w:hanging="180"/>
        <w:rPr>
          <w:lang w:val="de-DE"/>
        </w:rPr>
      </w:pPr>
    </w:p>
    <w:p w:rsidR="00253288" w:rsidRPr="00BB5519" w:rsidRDefault="00047874" w:rsidP="00021BF7">
      <w:pPr>
        <w:keepNext/>
        <w:keepLines/>
        <w:spacing w:after="60"/>
        <w:ind w:left="734" w:hanging="187"/>
        <w:rPr>
          <w:lang w:val="de-DE"/>
        </w:rPr>
      </w:pPr>
      <w:r w:rsidRPr="00BB5519">
        <w:rPr>
          <w:rFonts w:cs="Tahoma"/>
          <w:b/>
          <w:bCs/>
          <w:szCs w:val="20"/>
          <w:lang w:val="de-DE"/>
        </w:rPr>
        <w:lastRenderedPageBreak/>
        <w:t>CAL-Nutzungsrechte</w:t>
      </w:r>
    </w:p>
    <w:p w:rsidR="00047874" w:rsidRPr="00BB5519" w:rsidRDefault="00047874" w:rsidP="00021BF7">
      <w:pPr>
        <w:keepNext/>
        <w:keepLines/>
        <w:ind w:left="540"/>
        <w:rPr>
          <w:lang w:val="de-DE"/>
        </w:rPr>
      </w:pPr>
      <w:r w:rsidRPr="00BB5519">
        <w:rPr>
          <w:rFonts w:eastAsia="Calibri" w:cs="Tahoma"/>
          <w:szCs w:val="18"/>
          <w:lang w:val="de-DE"/>
        </w:rPr>
        <w:t>Die unter den verschiedenen CALs für Microsoft Dynamics AX 2012 R2 zulässigen Verwendungszwecke sind nachstehend dargelegt:</w:t>
      </w:r>
    </w:p>
    <w:p w:rsidR="00047874" w:rsidRPr="00BB5519" w:rsidRDefault="00047874" w:rsidP="00021BF7">
      <w:pPr>
        <w:keepNext/>
        <w:keepLines/>
        <w:ind w:firstLine="540"/>
        <w:rPr>
          <w:lang w:val="de-DE"/>
        </w:rPr>
      </w:pPr>
    </w:p>
    <w:p w:rsidR="00047874" w:rsidRPr="00BB5519" w:rsidRDefault="00047874" w:rsidP="00021BF7">
      <w:pPr>
        <w:keepNext/>
        <w:keepLines/>
        <w:numPr>
          <w:ilvl w:val="1"/>
          <w:numId w:val="84"/>
        </w:numPr>
        <w:tabs>
          <w:tab w:val="clear" w:pos="1440"/>
          <w:tab w:val="num" w:pos="900"/>
        </w:tabs>
        <w:autoSpaceDE w:val="0"/>
        <w:autoSpaceDN w:val="0"/>
        <w:adjustRightInd w:val="0"/>
        <w:ind w:left="900" w:right="720"/>
      </w:pPr>
      <w:r w:rsidRPr="00BB5519">
        <w:rPr>
          <w:rFonts w:eastAsia="Calibri" w:cs="Tahoma"/>
          <w:b/>
          <w:szCs w:val="18"/>
        </w:rPr>
        <w:t>Self-Service-CAL (Basis-CAL)</w:t>
      </w:r>
    </w:p>
    <w:p w:rsidR="00047874" w:rsidRPr="00BB5519" w:rsidRDefault="00047874" w:rsidP="002C1048">
      <w:pPr>
        <w:numPr>
          <w:ilvl w:val="1"/>
          <w:numId w:val="106"/>
        </w:numPr>
        <w:tabs>
          <w:tab w:val="left" w:pos="1260"/>
        </w:tabs>
        <w:autoSpaceDE w:val="0"/>
        <w:autoSpaceDN w:val="0"/>
        <w:adjustRightInd w:val="0"/>
        <w:ind w:left="1260" w:right="720" w:hanging="360"/>
      </w:pPr>
      <w:r w:rsidRPr="00BB5519">
        <w:rPr>
          <w:rFonts w:eastAsia="Calibri" w:cs="Tahoma"/>
          <w:szCs w:val="18"/>
        </w:rPr>
        <w:t>Erstellen von Spesenabrechnungen</w:t>
      </w:r>
    </w:p>
    <w:p w:rsidR="00047874" w:rsidRPr="00BB5519" w:rsidRDefault="00047874" w:rsidP="002C1048">
      <w:pPr>
        <w:numPr>
          <w:ilvl w:val="1"/>
          <w:numId w:val="106"/>
        </w:numPr>
        <w:tabs>
          <w:tab w:val="left" w:pos="1260"/>
        </w:tabs>
        <w:autoSpaceDE w:val="0"/>
        <w:autoSpaceDN w:val="0"/>
        <w:adjustRightInd w:val="0"/>
        <w:ind w:left="1260" w:right="720" w:hanging="360"/>
      </w:pPr>
      <w:r w:rsidRPr="00BB5519">
        <w:rPr>
          <w:rFonts w:eastAsia="Calibri" w:cs="Tahoma"/>
          <w:szCs w:val="18"/>
        </w:rPr>
        <w:t>Verwalten persönlicher Daten wie Leistungsbeitritte</w:t>
      </w:r>
    </w:p>
    <w:p w:rsidR="00047874" w:rsidRPr="00BB5519" w:rsidRDefault="00047874" w:rsidP="00134C35">
      <w:pPr>
        <w:numPr>
          <w:ilvl w:val="1"/>
          <w:numId w:val="106"/>
        </w:numPr>
        <w:tabs>
          <w:tab w:val="left" w:pos="1260"/>
        </w:tabs>
        <w:autoSpaceDE w:val="0"/>
        <w:autoSpaceDN w:val="0"/>
        <w:adjustRightInd w:val="0"/>
        <w:ind w:left="1260" w:right="180" w:hanging="360"/>
        <w:rPr>
          <w:lang w:val="de-DE"/>
        </w:rPr>
      </w:pPr>
      <w:r w:rsidRPr="00BB5519">
        <w:rPr>
          <w:rFonts w:eastAsia="Calibri" w:cs="Tahoma"/>
          <w:szCs w:val="18"/>
          <w:lang w:val="de-DE"/>
        </w:rPr>
        <w:t>Erstellen von Zeiterfassungs- und Anwesenheitseinträgen wie Registrierung der Arbeitsstunden, Erfassung von Arbeitsbeginn und -Ende</w:t>
      </w:r>
    </w:p>
    <w:p w:rsidR="00047874" w:rsidRPr="00BB5519" w:rsidRDefault="00047874" w:rsidP="002C1048">
      <w:pPr>
        <w:numPr>
          <w:ilvl w:val="1"/>
          <w:numId w:val="106"/>
        </w:numPr>
        <w:tabs>
          <w:tab w:val="left" w:pos="1260"/>
        </w:tabs>
        <w:autoSpaceDE w:val="0"/>
        <w:autoSpaceDN w:val="0"/>
        <w:adjustRightInd w:val="0"/>
        <w:ind w:left="1260" w:right="720" w:hanging="360"/>
      </w:pPr>
      <w:r w:rsidRPr="00BB5519">
        <w:rPr>
          <w:rFonts w:eastAsia="Calibri" w:cs="Tahoma"/>
          <w:szCs w:val="18"/>
        </w:rPr>
        <w:t>Eingeben von Mitarbeiter-Serviceanforderungen</w:t>
      </w:r>
    </w:p>
    <w:p w:rsidR="00047874" w:rsidRPr="00BB5519" w:rsidRDefault="00047874" w:rsidP="002C1048">
      <w:pPr>
        <w:numPr>
          <w:ilvl w:val="1"/>
          <w:numId w:val="106"/>
        </w:numPr>
        <w:tabs>
          <w:tab w:val="left" w:pos="1260"/>
        </w:tabs>
        <w:autoSpaceDE w:val="0"/>
        <w:autoSpaceDN w:val="0"/>
        <w:adjustRightInd w:val="0"/>
        <w:ind w:left="1260" w:right="720" w:hanging="360"/>
        <w:rPr>
          <w:lang w:val="de-DE"/>
        </w:rPr>
      </w:pPr>
      <w:r w:rsidRPr="00BB5519">
        <w:rPr>
          <w:rFonts w:eastAsia="Calibri" w:cs="Tahoma"/>
          <w:szCs w:val="18"/>
          <w:lang w:val="de-DE"/>
        </w:rPr>
        <w:t>Erstellen von indirekten Beschaffungsanforderungen für Produkte oder Dienstleistungen für den Mitarbeiter, wie Reisen, Büroausstattung, Büromaterial, und/oder Erstellen von Anforderungen zum Hinzufügen oder Anmelden von Anbietern.</w:t>
      </w:r>
      <w:r w:rsidRPr="00BB5519">
        <w:rPr>
          <w:rFonts w:eastAsia="Calibri" w:cs="Tahoma"/>
          <w:szCs w:val="18"/>
          <w:lang w:val="de-DE"/>
        </w:rPr>
        <w:br/>
      </w:r>
    </w:p>
    <w:p w:rsidR="00047874" w:rsidRPr="00BB5519" w:rsidRDefault="00047874" w:rsidP="002C1048">
      <w:pPr>
        <w:numPr>
          <w:ilvl w:val="0"/>
          <w:numId w:val="106"/>
        </w:numPr>
        <w:autoSpaceDE w:val="0"/>
        <w:autoSpaceDN w:val="0"/>
        <w:adjustRightInd w:val="0"/>
        <w:ind w:left="900" w:right="720"/>
        <w:rPr>
          <w:lang w:val="de-DE"/>
        </w:rPr>
      </w:pPr>
      <w:r w:rsidRPr="00BB5519">
        <w:rPr>
          <w:rFonts w:eastAsia="Calibri" w:cs="Tahoma"/>
          <w:b/>
          <w:szCs w:val="18"/>
          <w:lang w:val="de-DE"/>
        </w:rPr>
        <w:t>Aufgaben-CAL (Self-Service-CAL + Zusätzliche Aufgaben-CAL)</w:t>
      </w:r>
    </w:p>
    <w:p w:rsidR="00B10F79" w:rsidRPr="00BB5519" w:rsidRDefault="00B10F79" w:rsidP="002C1048">
      <w:pPr>
        <w:numPr>
          <w:ilvl w:val="1"/>
          <w:numId w:val="106"/>
        </w:numPr>
        <w:ind w:left="1260" w:right="720" w:hanging="360"/>
        <w:rPr>
          <w:lang w:val="de-DE"/>
        </w:rPr>
      </w:pPr>
      <w:r w:rsidRPr="00BB5519">
        <w:rPr>
          <w:rFonts w:eastAsia="Calibri" w:cs="Tahoma"/>
          <w:szCs w:val="18"/>
          <w:lang w:val="de-DE"/>
        </w:rPr>
        <w:t>Umfasst Nutzungsrechte von Self-Service-CAL</w:t>
      </w:r>
    </w:p>
    <w:p w:rsidR="00047874" w:rsidRPr="00BB5519" w:rsidRDefault="00B10F79" w:rsidP="002C1048">
      <w:pPr>
        <w:numPr>
          <w:ilvl w:val="1"/>
          <w:numId w:val="106"/>
        </w:numPr>
        <w:ind w:left="1260" w:right="720" w:hanging="360"/>
      </w:pPr>
      <w:r w:rsidRPr="00BB5519">
        <w:rPr>
          <w:rFonts w:eastAsia="Calibri" w:cs="Tahoma"/>
          <w:szCs w:val="18"/>
        </w:rPr>
        <w:t>Eingeben der berechenbaren Zeit</w:t>
      </w:r>
    </w:p>
    <w:p w:rsidR="00047874" w:rsidRPr="00BB5519" w:rsidRDefault="00B10F79" w:rsidP="002C1048">
      <w:pPr>
        <w:numPr>
          <w:ilvl w:val="1"/>
          <w:numId w:val="106"/>
        </w:numPr>
        <w:ind w:left="1260" w:right="720" w:hanging="360"/>
      </w:pPr>
      <w:r w:rsidRPr="00BB5519">
        <w:rPr>
          <w:rFonts w:eastAsia="Calibri" w:cs="Tahoma"/>
          <w:szCs w:val="18"/>
        </w:rPr>
        <w:t>Eingeben der berechenbaren Ausgaben</w:t>
      </w:r>
    </w:p>
    <w:p w:rsidR="00047874" w:rsidRPr="00BB5519" w:rsidRDefault="00B10F79" w:rsidP="002C1048">
      <w:pPr>
        <w:numPr>
          <w:ilvl w:val="1"/>
          <w:numId w:val="106"/>
        </w:numPr>
        <w:ind w:left="1260" w:right="720" w:hanging="360"/>
        <w:rPr>
          <w:lang w:val="de-DE"/>
        </w:rPr>
      </w:pPr>
      <w:r w:rsidRPr="00BB5519">
        <w:rPr>
          <w:rFonts w:eastAsia="Calibri" w:cs="Tahoma"/>
          <w:szCs w:val="18"/>
          <w:lang w:val="de-DE"/>
        </w:rPr>
        <w:t>Verwaltung der Leistungsbeurteilungen und der jährlichen Beurteilungen, Zielsetzungen und Kompetenzen</w:t>
      </w:r>
    </w:p>
    <w:p w:rsidR="00047874" w:rsidRPr="00BB5519" w:rsidRDefault="00B10F79" w:rsidP="002C1048">
      <w:pPr>
        <w:numPr>
          <w:ilvl w:val="1"/>
          <w:numId w:val="106"/>
        </w:numPr>
        <w:ind w:left="1260" w:right="720" w:hanging="360"/>
        <w:rPr>
          <w:lang w:val="de-DE"/>
        </w:rPr>
      </w:pPr>
      <w:r w:rsidRPr="00BB5519">
        <w:rPr>
          <w:rFonts w:eastAsia="Calibri" w:cs="Tahoma"/>
          <w:szCs w:val="18"/>
          <w:lang w:val="de-DE"/>
        </w:rPr>
        <w:t>Betreiben eines Point-of-Sale-Geräts im Einzelhandel</w:t>
      </w:r>
    </w:p>
    <w:p w:rsidR="00047874" w:rsidRPr="00BB5519" w:rsidRDefault="00B10F79" w:rsidP="002C1048">
      <w:pPr>
        <w:numPr>
          <w:ilvl w:val="1"/>
          <w:numId w:val="106"/>
        </w:numPr>
        <w:ind w:left="1260" w:right="720" w:hanging="360"/>
        <w:rPr>
          <w:lang w:val="de-DE"/>
        </w:rPr>
      </w:pPr>
      <w:r w:rsidRPr="00BB5519">
        <w:rPr>
          <w:rFonts w:eastAsia="Calibri" w:cs="Tahoma"/>
          <w:szCs w:val="18"/>
          <w:lang w:val="de-DE"/>
        </w:rPr>
        <w:t>Genehmigen von Anbieterrechnungen für die indirekte Beschaffung</w:t>
      </w:r>
    </w:p>
    <w:p w:rsidR="00047874" w:rsidRPr="00BB5519" w:rsidRDefault="00047874" w:rsidP="002C1048">
      <w:pPr>
        <w:numPr>
          <w:ilvl w:val="1"/>
          <w:numId w:val="106"/>
        </w:numPr>
        <w:ind w:left="1260" w:right="720" w:hanging="360"/>
        <w:rPr>
          <w:lang w:val="de-DE"/>
        </w:rPr>
      </w:pPr>
      <w:r w:rsidRPr="00BB5519">
        <w:rPr>
          <w:rFonts w:eastAsia="Calibri" w:cs="Tahoma"/>
          <w:szCs w:val="18"/>
          <w:lang w:val="de-DE"/>
        </w:rPr>
        <w:t>Aufgaben-CAL-Nutzer können keine Workflow-Genehmigungen vornehmen.</w:t>
      </w:r>
      <w:r w:rsidRPr="00BB5519">
        <w:rPr>
          <w:szCs w:val="18"/>
          <w:lang w:val="de-DE"/>
        </w:rPr>
        <w:t xml:space="preserve"> </w:t>
      </w:r>
    </w:p>
    <w:p w:rsidR="00047874" w:rsidRPr="00BB5519" w:rsidRDefault="00047874" w:rsidP="00944DAD">
      <w:pPr>
        <w:autoSpaceDE w:val="0"/>
        <w:autoSpaceDN w:val="0"/>
        <w:adjustRightInd w:val="0"/>
        <w:ind w:left="1260" w:right="720"/>
        <w:rPr>
          <w:lang w:val="de-DE"/>
        </w:rPr>
      </w:pPr>
    </w:p>
    <w:p w:rsidR="00047874" w:rsidRPr="00BB5519" w:rsidRDefault="00047874" w:rsidP="002C1048">
      <w:pPr>
        <w:numPr>
          <w:ilvl w:val="0"/>
          <w:numId w:val="106"/>
        </w:numPr>
        <w:ind w:left="900" w:right="720"/>
        <w:rPr>
          <w:lang w:val="de-DE"/>
        </w:rPr>
      </w:pPr>
      <w:r w:rsidRPr="00BB5519">
        <w:rPr>
          <w:rFonts w:eastAsia="Calibri" w:cs="Tahoma"/>
          <w:b/>
          <w:szCs w:val="18"/>
          <w:lang w:val="de-DE"/>
        </w:rPr>
        <w:t>Funktions-CAL (Aufgaben-CAL + Zusätzliche Funktions-CAL)</w:t>
      </w:r>
    </w:p>
    <w:p w:rsidR="00B10F79" w:rsidRPr="00BB5519" w:rsidRDefault="00B10F79" w:rsidP="00B81BE7">
      <w:pPr>
        <w:numPr>
          <w:ilvl w:val="1"/>
          <w:numId w:val="106"/>
        </w:numPr>
        <w:ind w:left="1314" w:right="720" w:hanging="414"/>
      </w:pPr>
      <w:r w:rsidRPr="00BB5519">
        <w:rPr>
          <w:rFonts w:eastAsia="Calibri" w:cs="Tahoma"/>
          <w:szCs w:val="18"/>
        </w:rPr>
        <w:t>Umfasst Nutzungsrechte von Aufgaben-CAL</w:t>
      </w:r>
    </w:p>
    <w:p w:rsidR="00047874" w:rsidRPr="00BB5519" w:rsidRDefault="00B10F79" w:rsidP="00B81BE7">
      <w:pPr>
        <w:numPr>
          <w:ilvl w:val="1"/>
          <w:numId w:val="106"/>
        </w:numPr>
        <w:ind w:left="1314" w:right="720" w:hanging="414"/>
        <w:rPr>
          <w:lang w:val="de-DE"/>
        </w:rPr>
      </w:pPr>
      <w:r w:rsidRPr="00BB5519">
        <w:rPr>
          <w:rFonts w:eastAsia="Calibri" w:cs="Tahoma"/>
          <w:szCs w:val="18"/>
          <w:lang w:val="de-DE"/>
        </w:rPr>
        <w:t>Management einer Produktionseinheit in einem Produktions- oder Fertigungszyklus</w:t>
      </w:r>
    </w:p>
    <w:p w:rsidR="00047874" w:rsidRPr="00BB5519" w:rsidRDefault="00B10F79" w:rsidP="00B81BE7">
      <w:pPr>
        <w:numPr>
          <w:ilvl w:val="1"/>
          <w:numId w:val="106"/>
        </w:numPr>
        <w:ind w:left="1314" w:right="720" w:hanging="414"/>
      </w:pPr>
      <w:r w:rsidRPr="00BB5519">
        <w:rPr>
          <w:rFonts w:eastAsia="Calibri" w:cs="Tahoma"/>
          <w:szCs w:val="18"/>
        </w:rPr>
        <w:t>Management von Projekten und Ressourcen</w:t>
      </w:r>
    </w:p>
    <w:p w:rsidR="00047874" w:rsidRPr="00BB5519" w:rsidRDefault="00B10F79" w:rsidP="00B81BE7">
      <w:pPr>
        <w:numPr>
          <w:ilvl w:val="1"/>
          <w:numId w:val="106"/>
        </w:numPr>
        <w:ind w:left="1314" w:right="720" w:hanging="414"/>
      </w:pPr>
      <w:r w:rsidRPr="00BB5519">
        <w:rPr>
          <w:rFonts w:eastAsia="Calibri" w:cs="Tahoma"/>
          <w:szCs w:val="18"/>
        </w:rPr>
        <w:t>Management von Personalzyklen</w:t>
      </w:r>
    </w:p>
    <w:p w:rsidR="00047874" w:rsidRPr="00BB5519" w:rsidRDefault="00B10F79" w:rsidP="00B81BE7">
      <w:pPr>
        <w:numPr>
          <w:ilvl w:val="1"/>
          <w:numId w:val="106"/>
        </w:numPr>
        <w:ind w:left="1314" w:right="720" w:hanging="414"/>
        <w:rPr>
          <w:lang w:val="de-DE"/>
        </w:rPr>
      </w:pPr>
      <w:r w:rsidRPr="00BB5519">
        <w:rPr>
          <w:rFonts w:eastAsia="Calibri" w:cs="Tahoma"/>
          <w:szCs w:val="18"/>
          <w:lang w:val="de-DE"/>
        </w:rPr>
        <w:t>Management von Budgetübertragungen und organisatorischen Anforderungen</w:t>
      </w:r>
    </w:p>
    <w:p w:rsidR="00047874" w:rsidRPr="00BB5519" w:rsidRDefault="00B10F79" w:rsidP="00B81BE7">
      <w:pPr>
        <w:numPr>
          <w:ilvl w:val="1"/>
          <w:numId w:val="106"/>
        </w:numPr>
        <w:ind w:left="1314" w:right="720" w:hanging="414"/>
        <w:rPr>
          <w:lang w:val="de-DE"/>
        </w:rPr>
      </w:pPr>
      <w:r w:rsidRPr="00BB5519">
        <w:rPr>
          <w:rFonts w:eastAsia="Calibri" w:cs="Tahoma"/>
          <w:szCs w:val="18"/>
          <w:lang w:val="de-DE"/>
        </w:rPr>
        <w:t>Erstellen von Stammdatensätzen für Bewerber und Mitarbeiter</w:t>
      </w:r>
    </w:p>
    <w:p w:rsidR="00047874" w:rsidRPr="00BB5519" w:rsidRDefault="00B10F79" w:rsidP="00B81BE7">
      <w:pPr>
        <w:numPr>
          <w:ilvl w:val="1"/>
          <w:numId w:val="106"/>
        </w:numPr>
        <w:ind w:left="1314" w:right="720" w:hanging="414"/>
        <w:rPr>
          <w:lang w:val="de-DE"/>
        </w:rPr>
      </w:pPr>
      <w:r w:rsidRPr="00BB5519">
        <w:rPr>
          <w:rFonts w:eastAsia="Calibri" w:cs="Tahoma"/>
          <w:szCs w:val="18"/>
          <w:lang w:val="de-DE"/>
        </w:rPr>
        <w:t xml:space="preserve">Erstellen einer Stellen- oder Personalanforderung; </w:t>
      </w:r>
    </w:p>
    <w:p w:rsidR="00047874" w:rsidRPr="00BB5519" w:rsidRDefault="00B10F79" w:rsidP="00B81BE7">
      <w:pPr>
        <w:numPr>
          <w:ilvl w:val="1"/>
          <w:numId w:val="106"/>
        </w:numPr>
        <w:ind w:left="1314" w:right="720" w:hanging="414"/>
        <w:rPr>
          <w:lang w:val="de-DE"/>
        </w:rPr>
      </w:pPr>
      <w:r w:rsidRPr="00BB5519">
        <w:rPr>
          <w:rFonts w:eastAsia="Calibri" w:cs="Tahoma"/>
          <w:szCs w:val="18"/>
          <w:lang w:val="de-DE"/>
        </w:rPr>
        <w:t xml:space="preserve">Eskalieren oder Anfordern der Genehmigung von Rechnungen in Bezug auf ihre Kunden; </w:t>
      </w:r>
    </w:p>
    <w:p w:rsidR="00047874" w:rsidRPr="00BB5519" w:rsidRDefault="00B10F79" w:rsidP="00B81BE7">
      <w:pPr>
        <w:numPr>
          <w:ilvl w:val="1"/>
          <w:numId w:val="106"/>
        </w:numPr>
        <w:ind w:left="1314" w:right="720" w:hanging="414"/>
        <w:rPr>
          <w:lang w:val="de-DE"/>
        </w:rPr>
      </w:pPr>
      <w:r w:rsidRPr="00BB5519">
        <w:rPr>
          <w:rFonts w:eastAsia="Calibri" w:cs="Tahoma"/>
          <w:szCs w:val="18"/>
          <w:lang w:val="de-DE"/>
        </w:rPr>
        <w:t>Genehmigen von Anbieterrechnungen oder Belegen für erbrachte Services</w:t>
      </w:r>
    </w:p>
    <w:p w:rsidR="00047874" w:rsidRPr="00BB5519" w:rsidRDefault="00B10F79" w:rsidP="00B81BE7">
      <w:pPr>
        <w:numPr>
          <w:ilvl w:val="1"/>
          <w:numId w:val="106"/>
        </w:numPr>
        <w:tabs>
          <w:tab w:val="left" w:pos="1080"/>
          <w:tab w:val="left" w:pos="1314"/>
        </w:tabs>
        <w:ind w:left="1323" w:right="720" w:hanging="423"/>
        <w:rPr>
          <w:lang w:val="de-DE"/>
        </w:rPr>
      </w:pPr>
      <w:r w:rsidRPr="00BB5519">
        <w:rPr>
          <w:rFonts w:eastAsia="Calibri" w:cs="Tahoma"/>
          <w:szCs w:val="18"/>
          <w:lang w:val="de-DE"/>
        </w:rPr>
        <w:t>Erstellen und Verwalten von Stammdatensätzen für Kunden, Anbieter, Produktbestände oder Kataloge und/oder</w:t>
      </w:r>
    </w:p>
    <w:p w:rsidR="00047874" w:rsidRPr="00B81BE7" w:rsidRDefault="00B10F79" w:rsidP="00B81BE7">
      <w:pPr>
        <w:numPr>
          <w:ilvl w:val="1"/>
          <w:numId w:val="106"/>
        </w:numPr>
        <w:tabs>
          <w:tab w:val="left" w:pos="1080"/>
          <w:tab w:val="left" w:pos="1314"/>
        </w:tabs>
        <w:ind w:left="1323" w:right="720" w:hanging="423"/>
        <w:rPr>
          <w:rFonts w:eastAsia="Calibri" w:cs="Tahoma"/>
          <w:szCs w:val="18"/>
          <w:lang w:val="de-DE"/>
        </w:rPr>
      </w:pPr>
      <w:r w:rsidRPr="00BB5519">
        <w:rPr>
          <w:rFonts w:eastAsia="Calibri" w:cs="Tahoma"/>
          <w:szCs w:val="18"/>
          <w:lang w:val="de-DE"/>
        </w:rPr>
        <w:t>Genehmigen von Anforderungen von Self-Service-CAL- oder Aufgaben-CAL-Nutzern.</w:t>
      </w:r>
    </w:p>
    <w:p w:rsidR="00047874" w:rsidRPr="00BB5519" w:rsidRDefault="00047874" w:rsidP="00B20F02">
      <w:pPr>
        <w:autoSpaceDE w:val="0"/>
        <w:autoSpaceDN w:val="0"/>
        <w:adjustRightInd w:val="0"/>
        <w:ind w:left="1260" w:right="720" w:hanging="360"/>
        <w:rPr>
          <w:lang w:val="de-DE"/>
        </w:rPr>
      </w:pPr>
    </w:p>
    <w:p w:rsidR="00047874" w:rsidRPr="00BB5519" w:rsidRDefault="00047874" w:rsidP="002C1048">
      <w:pPr>
        <w:numPr>
          <w:ilvl w:val="0"/>
          <w:numId w:val="106"/>
        </w:numPr>
        <w:ind w:left="900" w:right="720"/>
        <w:rPr>
          <w:lang w:val="de-DE"/>
        </w:rPr>
      </w:pPr>
      <w:r w:rsidRPr="00BB5519">
        <w:rPr>
          <w:rFonts w:eastAsia="Calibri" w:cs="Tahoma"/>
          <w:b/>
          <w:szCs w:val="18"/>
          <w:lang w:val="de-DE"/>
        </w:rPr>
        <w:t>Enterprise CAL (Funktions-CAL + Zusätzliche Enterprise CAL)</w:t>
      </w:r>
    </w:p>
    <w:p w:rsidR="00047874" w:rsidRPr="00BB5519" w:rsidRDefault="00047874" w:rsidP="002C1048">
      <w:pPr>
        <w:numPr>
          <w:ilvl w:val="1"/>
          <w:numId w:val="106"/>
        </w:numPr>
        <w:ind w:left="1260" w:right="720" w:hanging="360"/>
      </w:pPr>
      <w:r w:rsidRPr="00BB5519">
        <w:rPr>
          <w:rFonts w:eastAsia="Calibri" w:cs="Tahoma"/>
          <w:szCs w:val="18"/>
        </w:rPr>
        <w:t>Volle Nutzungsrechte</w:t>
      </w:r>
    </w:p>
    <w:p w:rsidR="00047874" w:rsidRPr="00BB5519" w:rsidRDefault="00047874" w:rsidP="00944DAD">
      <w:pPr>
        <w:autoSpaceDE w:val="0"/>
        <w:autoSpaceDN w:val="0"/>
        <w:adjustRightInd w:val="0"/>
        <w:ind w:left="900" w:right="720"/>
      </w:pPr>
    </w:p>
    <w:p w:rsidR="00047874" w:rsidRPr="00BB5519" w:rsidRDefault="00047874" w:rsidP="00134C35">
      <w:pPr>
        <w:tabs>
          <w:tab w:val="left" w:pos="8820"/>
        </w:tabs>
        <w:autoSpaceDE w:val="0"/>
        <w:autoSpaceDN w:val="0"/>
        <w:adjustRightInd w:val="0"/>
        <w:ind w:left="720" w:right="180"/>
        <w:rPr>
          <w:lang w:val="de-DE"/>
        </w:rPr>
      </w:pPr>
      <w:r w:rsidRPr="00BB5519">
        <w:rPr>
          <w:rFonts w:eastAsia="Calibri" w:cs="Tahoma"/>
          <w:szCs w:val="18"/>
          <w:lang w:val="de-DE"/>
        </w:rPr>
        <w:t xml:space="preserve">Weitere Details und Erläuterungen zu den erforderlichen CALs finden Sie im Microsoft Dynamics AX 2012 R2 Licensing Guide July 2012 unter </w:t>
      </w:r>
      <w:hyperlink r:id="rId53" w:history="1">
        <w:r w:rsidRPr="00BB5519">
          <w:rPr>
            <w:rStyle w:val="Hyperlink"/>
            <w:rFonts w:eastAsia="Calibri" w:cs="Tahoma"/>
            <w:szCs w:val="18"/>
            <w:lang w:val="de-DE"/>
          </w:rPr>
          <w:t>www.microsoft.com</w:t>
        </w:r>
      </w:hyperlink>
      <w:r w:rsidRPr="00BB5519">
        <w:rPr>
          <w:rFonts w:eastAsia="Calibri" w:cs="Tahoma"/>
          <w:szCs w:val="18"/>
          <w:lang w:val="de-DE"/>
        </w:rPr>
        <w:t>.</w:t>
      </w:r>
    </w:p>
    <w:p w:rsidR="00A6185F" w:rsidRPr="00BB5519" w:rsidRDefault="00A6185F" w:rsidP="00A6185F">
      <w:pPr>
        <w:ind w:left="720" w:hanging="180"/>
        <w:rPr>
          <w:lang w:val="de-DE"/>
        </w:rPr>
      </w:pPr>
    </w:p>
    <w:p w:rsidR="00A6185F" w:rsidRPr="00BB5519" w:rsidRDefault="00A6185F" w:rsidP="00C066F9">
      <w:pPr>
        <w:spacing w:after="60"/>
        <w:ind w:left="734" w:hanging="194"/>
        <w:rPr>
          <w:lang w:val="de-DE"/>
        </w:rPr>
      </w:pPr>
      <w:r w:rsidRPr="00BB5519">
        <w:rPr>
          <w:rFonts w:cs="Tahoma"/>
          <w:b/>
          <w:bCs/>
          <w:lang w:val="de-DE"/>
        </w:rPr>
        <w:t>Ergänzende Lizenzbestimmungen</w:t>
      </w:r>
    </w:p>
    <w:p w:rsidR="00A6185F" w:rsidRPr="00BB5519" w:rsidRDefault="00A6185F" w:rsidP="00134C35">
      <w:pPr>
        <w:pStyle w:val="PURBody-Indented"/>
        <w:spacing w:after="0"/>
        <w:ind w:left="547"/>
        <w:rPr>
          <w:lang w:val="de-DE"/>
        </w:rPr>
      </w:pPr>
      <w:r w:rsidRPr="00BB5519">
        <w:rPr>
          <w:rFonts w:ascii="Tahoma" w:eastAsia="Calibri" w:hAnsi="Tahoma" w:cs="Tahoma"/>
          <w:sz w:val="18"/>
          <w:szCs w:val="18"/>
          <w:lang w:val="de-DE"/>
        </w:rPr>
        <w:t>Ihre Nutzung der Ecommerce-Komponenten, Point-of-Sale-Komponenten und ähnlicher Updates und Ergänzungen für Microsoft Dynamics AX 2012 R2 unterliegt den Ergänzenden Lizenzbestimmungen, die</w:t>
      </w:r>
      <w:r w:rsidR="00134C35">
        <w:rPr>
          <w:rFonts w:ascii="Tahoma" w:eastAsia="Calibri" w:hAnsi="Tahoma" w:cs="Tahoma"/>
          <w:sz w:val="18"/>
          <w:szCs w:val="18"/>
          <w:lang w:val="de-DE"/>
        </w:rPr>
        <w:t> </w:t>
      </w:r>
      <w:r w:rsidRPr="00BB5519">
        <w:rPr>
          <w:rFonts w:ascii="Tahoma" w:eastAsia="Calibri" w:hAnsi="Tahoma" w:cs="Tahoma"/>
          <w:sz w:val="18"/>
          <w:szCs w:val="18"/>
          <w:lang w:val="de-DE"/>
        </w:rPr>
        <w:t>Sie</w:t>
      </w:r>
      <w:r w:rsidR="00134C35">
        <w:rPr>
          <w:rFonts w:ascii="Tahoma" w:eastAsia="Calibri" w:hAnsi="Tahoma" w:cs="Tahoma"/>
          <w:sz w:val="18"/>
          <w:szCs w:val="18"/>
          <w:lang w:val="de-DE"/>
        </w:rPr>
        <w:t> </w:t>
      </w:r>
      <w:r w:rsidRPr="00BB5519">
        <w:rPr>
          <w:rFonts w:ascii="Tahoma" w:eastAsia="Calibri" w:hAnsi="Tahoma" w:cs="Tahoma"/>
          <w:sz w:val="18"/>
          <w:szCs w:val="18"/>
          <w:lang w:val="de-DE"/>
        </w:rPr>
        <w:t xml:space="preserve">hier finden: </w:t>
      </w:r>
      <w:hyperlink r:id="rId54" w:history="1">
        <w:r w:rsidRPr="00544755">
          <w:rPr>
            <w:rStyle w:val="Hyperlink"/>
            <w:rFonts w:ascii="Tahoma" w:hAnsi="Tahoma" w:cs="Tahoma"/>
            <w:color w:val="auto"/>
            <w:sz w:val="18"/>
            <w:szCs w:val="18"/>
            <w:u w:val="none"/>
            <w:lang w:val="de-DE"/>
          </w:rPr>
          <w:t>http://www.microsoft.com/en-us/dynamics/erp-buy-ax-software.aspx</w:t>
        </w:r>
      </w:hyperlink>
      <w:r w:rsidRPr="00BB5519">
        <w:rPr>
          <w:rFonts w:ascii="Tahoma" w:eastAsia="Calibri" w:hAnsi="Tahoma" w:cs="Tahoma"/>
          <w:sz w:val="18"/>
          <w:szCs w:val="18"/>
          <w:lang w:val="de-DE"/>
        </w:rPr>
        <w:t>.</w:t>
      </w:r>
    </w:p>
    <w:p w:rsidR="00047874" w:rsidRPr="00BB5519" w:rsidRDefault="00047874" w:rsidP="00944DAD">
      <w:pPr>
        <w:rPr>
          <w:lang w:val="de-DE"/>
        </w:rPr>
      </w:pPr>
    </w:p>
    <w:p w:rsidR="007B699C" w:rsidRPr="00BB5519" w:rsidRDefault="007B699C" w:rsidP="00944DAD">
      <w:pPr>
        <w:rPr>
          <w:lang w:val="de-DE"/>
        </w:rPr>
      </w:pPr>
    </w:p>
    <w:p w:rsidR="00D47417" w:rsidRPr="00BB5519" w:rsidRDefault="00F66FB0" w:rsidP="00D47417">
      <w:pPr>
        <w:pStyle w:val="Heading3"/>
        <w:rPr>
          <w:lang w:val="de-DE"/>
        </w:rPr>
      </w:pPr>
      <w:bookmarkStart w:id="1374" w:name="_68_Microsoft_Dynamics"/>
      <w:bookmarkStart w:id="1375" w:name="_67_Microsoft_Dynamics"/>
      <w:bookmarkStart w:id="1376" w:name="_Toc336338328"/>
      <w:bookmarkStart w:id="1377" w:name="_Toc354055022"/>
      <w:bookmarkEnd w:id="1374"/>
      <w:bookmarkEnd w:id="1375"/>
      <w:r w:rsidRPr="00BB5519">
        <w:rPr>
          <w:rFonts w:ascii="Tahoma" w:hAnsi="Tahoma"/>
          <w:color w:val="F66400"/>
          <w:sz w:val="22"/>
          <w:vertAlign w:val="superscript"/>
          <w:lang w:val="de-DE"/>
        </w:rPr>
        <w:t>67</w:t>
      </w:r>
      <w:r w:rsidRPr="00BB5519">
        <w:rPr>
          <w:rFonts w:ascii="Tahoma" w:hAnsi="Tahoma"/>
          <w:color w:val="F66400"/>
          <w:sz w:val="22"/>
          <w:lang w:val="de-DE"/>
        </w:rPr>
        <w:t xml:space="preserve"> Microsoft Dynamics CRM 2011</w:t>
      </w:r>
      <w:bookmarkEnd w:id="1376"/>
      <w:bookmarkEnd w:id="1377"/>
    </w:p>
    <w:bookmarkEnd w:id="1370"/>
    <w:bookmarkEnd w:id="1371"/>
    <w:p w:rsidR="00D47417" w:rsidRPr="00BB5519" w:rsidRDefault="00D47417" w:rsidP="00D47417">
      <w:pPr>
        <w:rPr>
          <w:lang w:val="de-DE"/>
        </w:rPr>
      </w:pPr>
    </w:p>
    <w:p w:rsidR="00944BDF" w:rsidRPr="00BB5519" w:rsidRDefault="00944BDF" w:rsidP="007B699C">
      <w:pPr>
        <w:spacing w:after="60"/>
        <w:ind w:left="720"/>
        <w:rPr>
          <w:lang w:val="de-DE"/>
        </w:rPr>
      </w:pPr>
      <w:r w:rsidRPr="00BB5519">
        <w:rPr>
          <w:rFonts w:cs="Tahoma"/>
          <w:b/>
          <w:bCs/>
          <w:color w:val="000000"/>
          <w:szCs w:val="20"/>
          <w:lang w:val="de-DE"/>
        </w:rPr>
        <w:t>Software Assurance-Migrationspfad für Microsoft Dynamics CRM 4.0</w:t>
      </w:r>
    </w:p>
    <w:p w:rsidR="00944BDF" w:rsidRPr="00BB5519" w:rsidRDefault="00944BDF" w:rsidP="00FE782F">
      <w:pPr>
        <w:ind w:left="720"/>
        <w:rPr>
          <w:lang w:val="de-DE"/>
        </w:rPr>
      </w:pPr>
      <w:r w:rsidRPr="00BB5519">
        <w:rPr>
          <w:rFonts w:cs="Tahoma"/>
          <w:color w:val="000000"/>
          <w:szCs w:val="20"/>
          <w:lang w:val="de-DE"/>
        </w:rPr>
        <w:t>Kunden, die ihre Microsoft Dynamics CRM 4.0-Lizenzen erworben haben und zum 1. April 2011 oder später</w:t>
      </w:r>
      <w:r w:rsidR="00FE782F">
        <w:rPr>
          <w:rFonts w:cs="Tahoma"/>
          <w:color w:val="000000"/>
          <w:szCs w:val="20"/>
          <w:lang w:val="de-DE"/>
        </w:rPr>
        <w:t> </w:t>
      </w:r>
      <w:r w:rsidRPr="00BB5519">
        <w:rPr>
          <w:rFonts w:cs="Tahoma"/>
          <w:color w:val="000000"/>
          <w:szCs w:val="20"/>
          <w:lang w:val="de-DE"/>
        </w:rPr>
        <w:t>über aktive Software Assurance für diese Lizenzen verfügen, sind berechtigt, diese Lizenzen wie nachstehend aufgeführt zu aktualisieren:</w:t>
      </w:r>
    </w:p>
    <w:p w:rsidR="00944BDF" w:rsidRDefault="00944BDF" w:rsidP="00944BDF">
      <w:pPr>
        <w:rPr>
          <w:lang w:val="de-DE"/>
        </w:rPr>
      </w:pPr>
    </w:p>
    <w:p w:rsidR="00021BF7" w:rsidRDefault="00021BF7" w:rsidP="00944BDF">
      <w:pPr>
        <w:rPr>
          <w:lang w:val="de-DE"/>
        </w:rPr>
      </w:pPr>
    </w:p>
    <w:p w:rsidR="00134C35" w:rsidRPr="00BB5519" w:rsidRDefault="00134C35" w:rsidP="00944BDF">
      <w:pPr>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90"/>
        <w:gridCol w:w="4282"/>
      </w:tblGrid>
      <w:tr w:rsidR="00944BDF" w:rsidRPr="00BB5519" w:rsidTr="00134C35">
        <w:tc>
          <w:tcPr>
            <w:tcW w:w="4248" w:type="dxa"/>
            <w:tcBorders>
              <w:top w:val="single" w:sz="4" w:space="0" w:color="000000"/>
              <w:bottom w:val="single" w:sz="6" w:space="0" w:color="000000"/>
            </w:tcBorders>
            <w:shd w:val="clear" w:color="auto" w:fill="FABF8F"/>
          </w:tcPr>
          <w:p w:rsidR="00944BDF" w:rsidRPr="00BB5519" w:rsidRDefault="00944BDF" w:rsidP="00E6206A">
            <w:pPr>
              <w:jc w:val="center"/>
              <w:rPr>
                <w:rFonts w:cs="Tahoma"/>
                <w:b/>
                <w:color w:val="000000"/>
                <w:szCs w:val="20"/>
                <w:lang w:val="de-DE"/>
              </w:rPr>
            </w:pPr>
            <w:r w:rsidRPr="00BB5519">
              <w:rPr>
                <w:rFonts w:cs="Tahoma"/>
                <w:b/>
                <w:color w:val="000000"/>
                <w:szCs w:val="20"/>
                <w:lang w:val="de-DE"/>
              </w:rPr>
              <w:t>Qualifizierende Microsoft Dynamics CRM 4.0-Lizenzen</w:t>
            </w:r>
          </w:p>
        </w:tc>
        <w:tc>
          <w:tcPr>
            <w:tcW w:w="4342" w:type="dxa"/>
            <w:tcBorders>
              <w:top w:val="single" w:sz="4" w:space="0" w:color="000000"/>
              <w:bottom w:val="single" w:sz="6" w:space="0" w:color="000000"/>
            </w:tcBorders>
            <w:shd w:val="clear" w:color="auto" w:fill="FABF8F"/>
          </w:tcPr>
          <w:p w:rsidR="00944BDF" w:rsidRPr="00BB5519" w:rsidRDefault="00944BDF" w:rsidP="00E6206A">
            <w:pPr>
              <w:jc w:val="center"/>
              <w:rPr>
                <w:rFonts w:cs="Tahoma"/>
                <w:b/>
                <w:color w:val="000000"/>
                <w:szCs w:val="20"/>
              </w:rPr>
            </w:pPr>
            <w:r w:rsidRPr="00BB5519">
              <w:rPr>
                <w:rFonts w:cs="Tahoma"/>
                <w:b/>
                <w:color w:val="000000"/>
                <w:szCs w:val="20"/>
              </w:rPr>
              <w:t>Entsprechende CRM 2011-Lizenzen</w:t>
            </w:r>
          </w:p>
        </w:tc>
      </w:tr>
      <w:tr w:rsidR="00944BDF" w:rsidRPr="00D244F0" w:rsidTr="00134C35">
        <w:tc>
          <w:tcPr>
            <w:tcW w:w="4248" w:type="dxa"/>
            <w:tcBorders>
              <w:top w:val="single" w:sz="6" w:space="0" w:color="000000"/>
            </w:tcBorders>
            <w:shd w:val="clear" w:color="auto" w:fill="FFFFFF"/>
          </w:tcPr>
          <w:p w:rsidR="00944BDF" w:rsidRPr="00BB5519" w:rsidRDefault="00944BDF" w:rsidP="00E6206A">
            <w:pPr>
              <w:rPr>
                <w:rFonts w:cs="Tahoma"/>
                <w:color w:val="000000"/>
                <w:szCs w:val="20"/>
                <w:lang w:val="de-DE"/>
              </w:rPr>
            </w:pPr>
            <w:r w:rsidRPr="00BB5519">
              <w:rPr>
                <w:rFonts w:cs="Tahoma"/>
                <w:color w:val="000000"/>
                <w:szCs w:val="20"/>
                <w:lang w:val="de-DE"/>
              </w:rPr>
              <w:t>Zusätzliche CAL zur Vollständigen Verwendung von Microsoft Dynamics CRM 4.0</w:t>
            </w:r>
          </w:p>
        </w:tc>
        <w:tc>
          <w:tcPr>
            <w:tcW w:w="4342" w:type="dxa"/>
            <w:tcBorders>
              <w:top w:val="single" w:sz="6" w:space="0" w:color="000000"/>
            </w:tcBorders>
            <w:shd w:val="clear" w:color="auto" w:fill="FFFFFF"/>
          </w:tcPr>
          <w:p w:rsidR="00944BDF" w:rsidRPr="00BB5519" w:rsidRDefault="00944BDF" w:rsidP="00E6206A">
            <w:pPr>
              <w:rPr>
                <w:rFonts w:cs="Tahoma"/>
                <w:color w:val="000000"/>
                <w:szCs w:val="20"/>
                <w:lang w:val="de-DE"/>
              </w:rPr>
            </w:pPr>
            <w:r w:rsidRPr="00BB5519">
              <w:rPr>
                <w:rFonts w:cs="Tahoma"/>
                <w:color w:val="000000"/>
                <w:szCs w:val="20"/>
                <w:lang w:val="de-DE"/>
              </w:rPr>
              <w:t>1 Zusätzliche CAL zur Vollständigen Verwendung von Microsoft Dynamics CRM 2011</w:t>
            </w:r>
          </w:p>
        </w:tc>
      </w:tr>
      <w:tr w:rsidR="00944BDF" w:rsidRPr="00D244F0" w:rsidTr="00134C35">
        <w:tc>
          <w:tcPr>
            <w:tcW w:w="4248" w:type="dxa"/>
            <w:tcBorders>
              <w:top w:val="single" w:sz="6" w:space="0" w:color="000000"/>
            </w:tcBorders>
            <w:shd w:val="clear" w:color="auto" w:fill="FFFFFF"/>
          </w:tcPr>
          <w:p w:rsidR="00944BDF" w:rsidRPr="00BB5519" w:rsidRDefault="00944BDF" w:rsidP="00E6206A">
            <w:pPr>
              <w:rPr>
                <w:rFonts w:cs="Tahoma"/>
                <w:color w:val="000000"/>
                <w:szCs w:val="20"/>
                <w:lang w:val="de-DE"/>
              </w:rPr>
            </w:pPr>
            <w:r w:rsidRPr="00BB5519">
              <w:rPr>
                <w:rFonts w:cs="Tahoma"/>
                <w:color w:val="000000"/>
                <w:szCs w:val="20"/>
                <w:lang w:val="de-DE"/>
              </w:rPr>
              <w:t>Beschränkte CAL für Microsoft Dynamics CRM 4.0</w:t>
            </w:r>
          </w:p>
        </w:tc>
        <w:tc>
          <w:tcPr>
            <w:tcW w:w="4342" w:type="dxa"/>
            <w:tcBorders>
              <w:top w:val="single" w:sz="6" w:space="0" w:color="000000"/>
            </w:tcBorders>
            <w:shd w:val="clear" w:color="auto" w:fill="FFFFFF"/>
          </w:tcPr>
          <w:p w:rsidR="00944BDF" w:rsidRPr="00BB5519" w:rsidRDefault="00944BDF" w:rsidP="00E6206A">
            <w:pPr>
              <w:rPr>
                <w:rFonts w:cs="Tahoma"/>
                <w:color w:val="000000"/>
                <w:szCs w:val="20"/>
                <w:lang w:val="de-DE"/>
              </w:rPr>
            </w:pPr>
            <w:r w:rsidRPr="00BB5519">
              <w:rPr>
                <w:rFonts w:cs="Tahoma"/>
                <w:color w:val="000000"/>
                <w:szCs w:val="20"/>
                <w:lang w:val="de-DE"/>
              </w:rPr>
              <w:t>1 CAL für Microsoft Dynamics CRM 2011 Employee Self Service und 1 Zusätzliche CAL zur Eingeschränkten Verwendung von Microsoft Dynamics CRM 2011</w:t>
            </w:r>
          </w:p>
        </w:tc>
      </w:tr>
      <w:tr w:rsidR="00944BDF" w:rsidRPr="00BB5519" w:rsidTr="00134C35">
        <w:tc>
          <w:tcPr>
            <w:tcW w:w="4248" w:type="dxa"/>
            <w:tcBorders>
              <w:top w:val="single" w:sz="6" w:space="0" w:color="000000"/>
            </w:tcBorders>
            <w:shd w:val="clear" w:color="auto" w:fill="FFFFFF"/>
          </w:tcPr>
          <w:p w:rsidR="00944BDF" w:rsidRPr="00BB5519" w:rsidRDefault="00944BDF" w:rsidP="00E6206A">
            <w:pPr>
              <w:rPr>
                <w:lang w:val="de-DE"/>
              </w:rPr>
            </w:pPr>
            <w:r w:rsidRPr="00BB5519">
              <w:rPr>
                <w:rFonts w:cs="Tahoma"/>
                <w:color w:val="000000"/>
                <w:szCs w:val="20"/>
                <w:lang w:val="de-DE"/>
              </w:rPr>
              <w:t>Beschränkter Externer Connector für Microsoft Dynamics CRM 4.0</w:t>
            </w:r>
          </w:p>
          <w:p w:rsidR="00944BDF" w:rsidRPr="00BB5519" w:rsidRDefault="00944BDF" w:rsidP="00E6206A">
            <w:pPr>
              <w:rPr>
                <w:rFonts w:cs="Tahoma"/>
                <w:color w:val="000000"/>
                <w:szCs w:val="20"/>
                <w:lang w:val="de-DE"/>
              </w:rPr>
            </w:pPr>
            <w:r w:rsidRPr="00BB5519">
              <w:rPr>
                <w:rFonts w:cs="Tahoma"/>
                <w:color w:val="000000"/>
                <w:szCs w:val="20"/>
                <w:lang w:val="de-DE"/>
              </w:rPr>
              <w:t xml:space="preserve">(entweder allein </w:t>
            </w:r>
            <w:r w:rsidRPr="00BB5519">
              <w:rPr>
                <w:color w:val="000000"/>
                <w:lang w:val="de-DE"/>
              </w:rPr>
              <w:t>ODER als Bestandteil der Kombination Beschränkter Externer Connector für Microsoft Dynamics CRM 4.0</w:t>
            </w:r>
            <w:r w:rsidR="009E4976" w:rsidRPr="00BB5519">
              <w:rPr>
                <w:color w:val="000000"/>
                <w:lang w:val="de-DE"/>
              </w:rPr>
              <w:t xml:space="preserve"> </w:t>
            </w:r>
            <w:r w:rsidRPr="00BB5519">
              <w:rPr>
                <w:color w:val="000000"/>
                <w:lang w:val="de-DE"/>
              </w:rPr>
              <w:t>und</w:t>
            </w:r>
            <w:r w:rsidRPr="00BB5519">
              <w:rPr>
                <w:rFonts w:cs="Tahoma"/>
                <w:color w:val="000000"/>
                <w:szCs w:val="18"/>
                <w:lang w:val="de-DE"/>
              </w:rPr>
              <w:t xml:space="preserve"> </w:t>
            </w:r>
            <w:r w:rsidRPr="00BB5519">
              <w:rPr>
                <w:color w:val="000000"/>
                <w:lang w:val="de-DE"/>
              </w:rPr>
              <w:t>Zusätzlicher Externer Connector zur Vollständigen Verwendung von Microsoft Dynamics CRM 4.0)</w:t>
            </w:r>
          </w:p>
        </w:tc>
        <w:tc>
          <w:tcPr>
            <w:tcW w:w="4342" w:type="dxa"/>
            <w:tcBorders>
              <w:top w:val="single" w:sz="6" w:space="0" w:color="000000"/>
            </w:tcBorders>
            <w:shd w:val="clear" w:color="auto" w:fill="FFFFFF"/>
          </w:tcPr>
          <w:p w:rsidR="00944BDF" w:rsidRPr="00BB5519" w:rsidRDefault="00944BDF" w:rsidP="00E6206A">
            <w:pPr>
              <w:rPr>
                <w:rFonts w:cs="Tahoma"/>
                <w:color w:val="000000"/>
                <w:szCs w:val="20"/>
              </w:rPr>
            </w:pPr>
            <w:r w:rsidRPr="00BB5519">
              <w:rPr>
                <w:rFonts w:cs="Tahoma"/>
                <w:color w:val="000000"/>
                <w:szCs w:val="20"/>
              </w:rPr>
              <w:t xml:space="preserve">1 Externer Connector für </w:t>
            </w:r>
            <w:r w:rsidR="00134C35">
              <w:rPr>
                <w:rFonts w:cs="Tahoma"/>
                <w:color w:val="000000"/>
                <w:szCs w:val="20"/>
              </w:rPr>
              <w:br/>
            </w:r>
            <w:r w:rsidRPr="00BB5519">
              <w:rPr>
                <w:rFonts w:cs="Tahoma"/>
                <w:color w:val="000000"/>
                <w:szCs w:val="20"/>
              </w:rPr>
              <w:t>Microsoft Dynamics CRM 2011</w:t>
            </w:r>
            <w:r w:rsidRPr="00BB5519">
              <w:rPr>
                <w:rFonts w:cs="Tahoma"/>
                <w:color w:val="000000"/>
                <w:szCs w:val="20"/>
                <w:vertAlign w:val="superscript"/>
              </w:rPr>
              <w:t>1</w:t>
            </w:r>
          </w:p>
        </w:tc>
      </w:tr>
      <w:tr w:rsidR="00944BDF" w:rsidRPr="00BB5519" w:rsidTr="00134C35">
        <w:tc>
          <w:tcPr>
            <w:tcW w:w="4248" w:type="dxa"/>
            <w:tcBorders>
              <w:top w:val="single" w:sz="6" w:space="0" w:color="000000"/>
            </w:tcBorders>
            <w:shd w:val="clear" w:color="auto" w:fill="FFFFFF"/>
          </w:tcPr>
          <w:p w:rsidR="00944BDF" w:rsidRPr="00BB5519" w:rsidRDefault="00944BDF" w:rsidP="00E6206A">
            <w:pPr>
              <w:rPr>
                <w:rFonts w:cs="Tahoma"/>
                <w:color w:val="000000"/>
                <w:szCs w:val="20"/>
              </w:rPr>
            </w:pPr>
            <w:r w:rsidRPr="00BB5519">
              <w:rPr>
                <w:rFonts w:cs="Tahoma"/>
                <w:color w:val="000000"/>
                <w:szCs w:val="20"/>
              </w:rPr>
              <w:t>Microsoft Dynamics CRM 4.0 Workgroup Server</w:t>
            </w:r>
          </w:p>
        </w:tc>
        <w:tc>
          <w:tcPr>
            <w:tcW w:w="4342" w:type="dxa"/>
            <w:tcBorders>
              <w:top w:val="single" w:sz="6" w:space="0" w:color="000000"/>
            </w:tcBorders>
            <w:shd w:val="clear" w:color="auto" w:fill="FFFFFF"/>
          </w:tcPr>
          <w:p w:rsidR="00944BDF" w:rsidRPr="00BB5519" w:rsidRDefault="00944BDF" w:rsidP="00E6206A">
            <w:pPr>
              <w:rPr>
                <w:rFonts w:cs="Tahoma"/>
                <w:color w:val="000000"/>
                <w:szCs w:val="20"/>
              </w:rPr>
            </w:pPr>
            <w:r w:rsidRPr="00BB5519">
              <w:rPr>
                <w:rFonts w:cs="Tahoma"/>
                <w:color w:val="000000"/>
                <w:szCs w:val="20"/>
              </w:rPr>
              <w:t>1 Microsoft Dynamics CRM Workgroup Server 2011</w:t>
            </w:r>
          </w:p>
        </w:tc>
      </w:tr>
      <w:tr w:rsidR="00944BDF" w:rsidRPr="00BB5519" w:rsidTr="00134C35">
        <w:tc>
          <w:tcPr>
            <w:tcW w:w="4248" w:type="dxa"/>
            <w:shd w:val="clear" w:color="auto" w:fill="FFFFFF"/>
          </w:tcPr>
          <w:p w:rsidR="00944BDF" w:rsidRPr="00BB5519" w:rsidRDefault="00944BDF" w:rsidP="00E6206A">
            <w:pPr>
              <w:rPr>
                <w:rFonts w:cs="Tahoma"/>
                <w:color w:val="000000"/>
                <w:szCs w:val="20"/>
              </w:rPr>
            </w:pPr>
            <w:r w:rsidRPr="00BB5519">
              <w:rPr>
                <w:rFonts w:cs="Tahoma"/>
                <w:color w:val="000000"/>
                <w:szCs w:val="20"/>
              </w:rPr>
              <w:t>Microsoft Dynamics CRM 4.0 Professional Server</w:t>
            </w:r>
          </w:p>
        </w:tc>
        <w:tc>
          <w:tcPr>
            <w:tcW w:w="4342" w:type="dxa"/>
            <w:shd w:val="clear" w:color="auto" w:fill="FFFFFF"/>
          </w:tcPr>
          <w:p w:rsidR="00944BDF" w:rsidRPr="00BB5519" w:rsidRDefault="00944BDF" w:rsidP="00E6206A">
            <w:pPr>
              <w:rPr>
                <w:rFonts w:cs="Tahoma"/>
                <w:color w:val="000000"/>
                <w:szCs w:val="20"/>
              </w:rPr>
            </w:pPr>
            <w:r w:rsidRPr="00BB5519">
              <w:rPr>
                <w:rFonts w:cs="Tahoma"/>
                <w:color w:val="000000"/>
                <w:szCs w:val="20"/>
              </w:rPr>
              <w:t>1 Microsoft Dynamics CRM Server 2011</w:t>
            </w:r>
          </w:p>
        </w:tc>
      </w:tr>
      <w:tr w:rsidR="00944BDF" w:rsidRPr="00BB5519" w:rsidTr="00134C35">
        <w:tc>
          <w:tcPr>
            <w:tcW w:w="4248" w:type="dxa"/>
            <w:shd w:val="clear" w:color="auto" w:fill="FFFFFF"/>
          </w:tcPr>
          <w:p w:rsidR="00944BDF" w:rsidRPr="00BB5519" w:rsidRDefault="00944BDF" w:rsidP="00E6206A">
            <w:pPr>
              <w:rPr>
                <w:rFonts w:cs="Tahoma"/>
                <w:color w:val="000000"/>
                <w:szCs w:val="20"/>
                <w:lang w:val="fr-FR"/>
              </w:rPr>
            </w:pPr>
            <w:r w:rsidRPr="00BB5519">
              <w:rPr>
                <w:rFonts w:cs="Tahoma"/>
                <w:color w:val="000000"/>
                <w:szCs w:val="20"/>
                <w:lang w:val="fr-FR"/>
              </w:rPr>
              <w:t>Microsoft Dynamics CRM 4.0 Enterprise Server</w:t>
            </w:r>
          </w:p>
        </w:tc>
        <w:tc>
          <w:tcPr>
            <w:tcW w:w="4342" w:type="dxa"/>
            <w:shd w:val="clear" w:color="auto" w:fill="FFFFFF"/>
          </w:tcPr>
          <w:p w:rsidR="00944BDF" w:rsidRPr="00BB5519" w:rsidRDefault="00944BDF" w:rsidP="00E6206A">
            <w:pPr>
              <w:rPr>
                <w:rFonts w:cs="Tahoma"/>
                <w:color w:val="000000"/>
                <w:szCs w:val="20"/>
              </w:rPr>
            </w:pPr>
            <w:r w:rsidRPr="00BB5519">
              <w:rPr>
                <w:rFonts w:cs="Tahoma"/>
                <w:color w:val="000000"/>
                <w:szCs w:val="20"/>
              </w:rPr>
              <w:t>1 Microsoft Dynamics CRM Server 2011</w:t>
            </w:r>
          </w:p>
        </w:tc>
      </w:tr>
    </w:tbl>
    <w:p w:rsidR="00944BDF" w:rsidRPr="00BB5519" w:rsidRDefault="00944BDF" w:rsidP="00944BDF">
      <w:pPr>
        <w:ind w:left="540"/>
      </w:pPr>
    </w:p>
    <w:p w:rsidR="00944BDF" w:rsidRPr="00BB5519" w:rsidRDefault="00944BDF" w:rsidP="00E62BC4">
      <w:pPr>
        <w:ind w:left="810"/>
        <w:rPr>
          <w:lang w:val="de-DE"/>
        </w:rPr>
      </w:pPr>
      <w:r w:rsidRPr="00BB5519">
        <w:rPr>
          <w:rFonts w:cs="Tahoma"/>
          <w:i/>
          <w:color w:val="000000"/>
          <w:sz w:val="16"/>
          <w:szCs w:val="18"/>
          <w:bdr w:val="none" w:sz="0" w:space="0" w:color="auto" w:frame="1"/>
          <w:vertAlign w:val="superscript"/>
          <w:lang w:val="de-DE"/>
        </w:rPr>
        <w:t>1</w:t>
      </w:r>
      <w:r w:rsidRPr="00BB5519">
        <w:rPr>
          <w:i/>
          <w:color w:val="000000"/>
          <w:sz w:val="16"/>
          <w:bdr w:val="none" w:sz="0" w:space="0" w:color="auto" w:frame="1"/>
          <w:lang w:val="de-DE"/>
        </w:rPr>
        <w:t xml:space="preserve">Externer Connector für CRM 2011 ist die einzige verfügbare externe Connector-Lizenz in dieser Version. </w:t>
      </w:r>
      <w:r w:rsidRPr="00BB5519">
        <w:rPr>
          <w:i/>
          <w:color w:val="000000"/>
          <w:sz w:val="16"/>
          <w:lang w:val="de-DE"/>
        </w:rPr>
        <w:t>Kunden verfügen für jede qualifizierende Beschränkte Externe Connector-Lizenz für CRM 4.0, die sie besitzen, über Upgraderechte auf eine Externe Connector-Lizenz für CRM 4.0, unabhängig davon, ob diese Beschränkte Externe Connector-Lizenz für CRM 4.0 allein genutzt wurde, um den Zugriff auf dieser Basislizenz entsprechende Funktionen zu ermöglichen, oder ob sie zusammen mit einem Zusätzlichen Externen Connector zur Vollständigen Verwendung von CRM 4.0 verwendet wurde, um den Zugriff auf sämtliche CRM 4.0-Funktionen zu ermöglichen. Kunden verfügen über die Anzahl Externer Connector-Lizenzen für CRM Server 2011, die der Anzahl der qualifizierenden Beschränkten Externen Connector-Lizenzen für CRM 4.0 entspricht, die sie besitzen</w:t>
      </w:r>
      <w:r w:rsidRPr="00BB5519">
        <w:rPr>
          <w:rFonts w:cs="Tahoma"/>
          <w:i/>
          <w:color w:val="000000"/>
          <w:sz w:val="16"/>
          <w:szCs w:val="18"/>
          <w:bdr w:val="none" w:sz="0" w:space="0" w:color="auto" w:frame="1"/>
          <w:lang w:val="de-DE"/>
        </w:rPr>
        <w:t>.</w:t>
      </w:r>
    </w:p>
    <w:p w:rsidR="00944BDF" w:rsidRPr="00BB5519" w:rsidRDefault="00944BDF" w:rsidP="00E62BC4">
      <w:pPr>
        <w:ind w:left="720"/>
        <w:rPr>
          <w:lang w:val="de-DE"/>
        </w:rPr>
      </w:pPr>
    </w:p>
    <w:p w:rsidR="00944BDF" w:rsidRPr="00BB5519" w:rsidRDefault="00944BDF" w:rsidP="00134C35">
      <w:pPr>
        <w:ind w:left="720"/>
        <w:rPr>
          <w:lang w:val="de-DE"/>
        </w:rPr>
      </w:pPr>
      <w:r w:rsidRPr="00BB5519">
        <w:rPr>
          <w:rFonts w:cs="Tahoma"/>
          <w:color w:val="000000"/>
          <w:szCs w:val="20"/>
          <w:lang w:val="de-DE"/>
        </w:rPr>
        <w:t>Das Recht des Kunden zur Nutzung von Microsoft Dynamics CRM 2011 wird durch diesen Hinweis auf die</w:t>
      </w:r>
      <w:r w:rsidR="00134C35">
        <w:rPr>
          <w:rFonts w:cs="Tahoma"/>
          <w:color w:val="000000"/>
          <w:szCs w:val="20"/>
          <w:lang w:val="de-DE"/>
        </w:rPr>
        <w:t> </w:t>
      </w:r>
      <w:r w:rsidRPr="00BB5519">
        <w:rPr>
          <w:rFonts w:cs="Tahoma"/>
          <w:color w:val="000000"/>
          <w:szCs w:val="20"/>
          <w:lang w:val="de-DE"/>
        </w:rPr>
        <w:t>Produktbedingungen sowie den Nachweis der entsprechenden Lizenzen und Software Assurance für</w:t>
      </w:r>
      <w:r w:rsidR="00134C35">
        <w:rPr>
          <w:rFonts w:cs="Tahoma"/>
          <w:color w:val="000000"/>
          <w:szCs w:val="20"/>
          <w:lang w:val="de-DE"/>
        </w:rPr>
        <w:t> </w:t>
      </w:r>
      <w:r w:rsidRPr="00BB5519">
        <w:rPr>
          <w:rFonts w:cs="Tahoma"/>
          <w:color w:val="000000"/>
          <w:szCs w:val="20"/>
          <w:lang w:val="de-DE"/>
        </w:rPr>
        <w:t>Microsoft Dynamics CRM 4.0 belegt.</w:t>
      </w:r>
      <w:r w:rsidR="009E4976" w:rsidRPr="00BB5519">
        <w:rPr>
          <w:rFonts w:cs="Tahoma"/>
          <w:color w:val="000000"/>
          <w:szCs w:val="20"/>
          <w:lang w:val="de-DE"/>
        </w:rPr>
        <w:t xml:space="preserve"> </w:t>
      </w:r>
      <w:r w:rsidRPr="00BB5519">
        <w:rPr>
          <w:rFonts w:cs="Tahoma"/>
          <w:color w:val="000000"/>
          <w:szCs w:val="20"/>
          <w:lang w:val="de-DE"/>
        </w:rPr>
        <w:t>Das Recht eines Kunden zur Nutzung der Microsoft Dynamics CRM 2011-Software im Rahmen dieses Migratrionsangebots unterliegt den Bestimmungen des Volumenlizenzvertrages des Kunden.</w:t>
      </w:r>
      <w:r w:rsidR="009E4976" w:rsidRPr="00BB5519">
        <w:rPr>
          <w:rFonts w:cs="Tahoma"/>
          <w:color w:val="000000"/>
          <w:szCs w:val="20"/>
          <w:lang w:val="de-DE"/>
        </w:rPr>
        <w:t xml:space="preserve"> </w:t>
      </w:r>
      <w:r w:rsidRPr="00BB5519">
        <w:rPr>
          <w:rFonts w:cs="Tahoma"/>
          <w:color w:val="000000"/>
          <w:szCs w:val="20"/>
          <w:lang w:val="de-DE"/>
        </w:rPr>
        <w:t>Dieses</w:t>
      </w:r>
      <w:r w:rsidRPr="00BB5519">
        <w:rPr>
          <w:rStyle w:val="CommentReference"/>
          <w:sz w:val="18"/>
          <w:szCs w:val="20"/>
          <w:lang w:val="de-DE"/>
        </w:rPr>
        <w:t xml:space="preserve"> </w:t>
      </w:r>
      <w:r w:rsidRPr="00BB5519">
        <w:rPr>
          <w:rFonts w:cs="Tahoma"/>
          <w:color w:val="000000"/>
          <w:szCs w:val="20"/>
          <w:lang w:val="de-DE"/>
        </w:rPr>
        <w:t>Recht gilt bis zum Ablauf oder zur Beendigung des Rechts zur Nutzung von Microsoft Dynamics CRM 4.0 gemäß den zugehörigen qualifizierenden Microsoft Dynamics CRM 4.0-Lizenzen.</w:t>
      </w:r>
      <w:r w:rsidR="009E4976" w:rsidRPr="00BB5519">
        <w:rPr>
          <w:rFonts w:cs="Tahoma"/>
          <w:color w:val="000000"/>
          <w:szCs w:val="20"/>
          <w:lang w:val="de-DE"/>
        </w:rPr>
        <w:t xml:space="preserve"> </w:t>
      </w:r>
      <w:r w:rsidRPr="00BB5519">
        <w:rPr>
          <w:rFonts w:cs="Tahoma"/>
          <w:color w:val="000000"/>
          <w:szCs w:val="20"/>
          <w:lang w:val="de-DE"/>
        </w:rPr>
        <w:t>Nach Ablauf von Software Assurance für die Microsoft Dynamics CRM 4.0-Lizenzen kann der Kunde diese für die gewährten Microsoft Dynamics CRM 2011-Lizenzen verlängern.</w:t>
      </w:r>
      <w:r w:rsidR="009E4976" w:rsidRPr="00BB5519">
        <w:rPr>
          <w:rFonts w:cs="Tahoma"/>
          <w:color w:val="000000"/>
          <w:szCs w:val="20"/>
          <w:lang w:val="de-DE"/>
        </w:rPr>
        <w:t xml:space="preserve"> </w:t>
      </w:r>
    </w:p>
    <w:p w:rsidR="00944BDF" w:rsidRPr="00BB5519" w:rsidRDefault="00944BDF" w:rsidP="00E62BC4">
      <w:pPr>
        <w:ind w:left="720"/>
        <w:rPr>
          <w:lang w:val="de-DE"/>
        </w:rPr>
      </w:pPr>
    </w:p>
    <w:p w:rsidR="00944BDF" w:rsidRPr="00BB5519" w:rsidRDefault="00944BDF" w:rsidP="00134C35">
      <w:pPr>
        <w:ind w:left="720"/>
        <w:rPr>
          <w:lang w:val="de-DE"/>
        </w:rPr>
      </w:pPr>
      <w:r w:rsidRPr="00BB5519">
        <w:rPr>
          <w:rFonts w:cs="Tahoma"/>
          <w:color w:val="000000"/>
          <w:lang w:val="de-DE"/>
        </w:rPr>
        <w:t>Dieses Angebot gilt auch für Kunden, die Lizenzen für Microsoft Dynamics CRM 4.0 durch eine Migration von einem anderen Produkt erhalten haben, solange sie aktive Software Assurance für diese Lizenzen ab dem 1.</w:t>
      </w:r>
      <w:r w:rsidR="00134C35">
        <w:rPr>
          <w:rFonts w:cs="Tahoma"/>
          <w:color w:val="000000"/>
          <w:lang w:val="de-DE"/>
        </w:rPr>
        <w:t> </w:t>
      </w:r>
      <w:r w:rsidRPr="00BB5519">
        <w:rPr>
          <w:rFonts w:cs="Tahoma"/>
          <w:color w:val="000000"/>
          <w:lang w:val="de-DE"/>
        </w:rPr>
        <w:t>April 2011 besitzen.</w:t>
      </w:r>
    </w:p>
    <w:p w:rsidR="00944BDF" w:rsidRPr="00BB5519" w:rsidRDefault="00944BDF" w:rsidP="00E62BC4">
      <w:pPr>
        <w:ind w:left="720"/>
        <w:rPr>
          <w:lang w:val="de-DE"/>
        </w:rPr>
      </w:pPr>
    </w:p>
    <w:p w:rsidR="00944BDF" w:rsidRPr="00BB5519" w:rsidRDefault="00944BDF" w:rsidP="00E62BC4">
      <w:pPr>
        <w:pStyle w:val="EndnoteText"/>
        <w:ind w:left="720"/>
        <w:rPr>
          <w:lang w:val="de-DE"/>
        </w:rPr>
      </w:pPr>
      <w:r w:rsidRPr="00BB5519">
        <w:rPr>
          <w:rFonts w:ascii="Tahoma" w:hAnsi="Tahoma" w:cs="Tahoma"/>
          <w:bCs/>
          <w:sz w:val="18"/>
          <w:szCs w:val="18"/>
          <w:lang w:val="de-DE"/>
        </w:rPr>
        <w:t>Bei Kunden mit Konzernvertrag, die zu diesen oben beschriebenen zusätzlichen Lizenzen und Rechten berechtigt sind, gelten Microsoft Dynamics CRM 4.0-Lizenzen, die während der aktuellen Laufzeit des Beitritts unter dem jährlichen True Up-Prozess erworben wurden, ebenfalls als qualifizierende Lizenzen.</w:t>
      </w:r>
    </w:p>
    <w:p w:rsidR="00944BDF" w:rsidRPr="00BB5519" w:rsidRDefault="00944BDF" w:rsidP="00E62BC4">
      <w:pPr>
        <w:pStyle w:val="EndnoteText"/>
        <w:ind w:left="720"/>
        <w:rPr>
          <w:lang w:val="de-DE"/>
        </w:rPr>
      </w:pPr>
    </w:p>
    <w:p w:rsidR="00944BDF" w:rsidRPr="00BB5519" w:rsidRDefault="00944BDF" w:rsidP="00134C35">
      <w:pPr>
        <w:pStyle w:val="EndnoteText"/>
        <w:ind w:left="720"/>
        <w:rPr>
          <w:highlight w:val="yellow"/>
          <w:lang w:val="de-DE"/>
        </w:rPr>
      </w:pPr>
      <w:r w:rsidRPr="00BB5519">
        <w:rPr>
          <w:rFonts w:ascii="Tahoma" w:hAnsi="Tahoma" w:cs="Tahoma"/>
          <w:bCs/>
          <w:color w:val="000000"/>
          <w:sz w:val="18"/>
          <w:szCs w:val="18"/>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9E4976" w:rsidRPr="00BB5519">
        <w:rPr>
          <w:rFonts w:ascii="Tahoma" w:hAnsi="Tahoma" w:cs="Tahoma"/>
          <w:bCs/>
          <w:color w:val="000000"/>
          <w:sz w:val="18"/>
          <w:szCs w:val="18"/>
          <w:lang w:val="de-DE"/>
        </w:rPr>
        <w:t xml:space="preserve"> </w:t>
      </w:r>
      <w:r w:rsidRPr="00BB5519">
        <w:rPr>
          <w:rFonts w:ascii="Tahoma" w:hAnsi="Tahoma" w:cs="Tahoma"/>
          <w:bCs/>
          <w:color w:val="000000"/>
          <w:sz w:val="18"/>
          <w:szCs w:val="18"/>
          <w:lang w:val="de-DE"/>
        </w:rPr>
        <w:t>Diese Rechte werden erst nach Ausübung der Buy-Out-Option zeitlich unbeschränkt und unterliegen weiterhin allen Bestimmungen des Lizenzvertrages des</w:t>
      </w:r>
      <w:r w:rsidR="00134C35">
        <w:rPr>
          <w:rFonts w:ascii="Tahoma" w:hAnsi="Tahoma" w:cs="Tahoma"/>
          <w:bCs/>
          <w:color w:val="000000"/>
          <w:sz w:val="18"/>
          <w:szCs w:val="18"/>
          <w:lang w:val="de-DE"/>
        </w:rPr>
        <w:t> </w:t>
      </w:r>
      <w:r w:rsidRPr="00BB5519">
        <w:rPr>
          <w:rFonts w:ascii="Tahoma" w:hAnsi="Tahoma" w:cs="Tahoma"/>
          <w:bCs/>
          <w:color w:val="000000"/>
          <w:sz w:val="18"/>
          <w:szCs w:val="18"/>
          <w:lang w:val="de-DE"/>
        </w:rPr>
        <w:t>Kunden.</w:t>
      </w:r>
    </w:p>
    <w:p w:rsidR="00944BDF" w:rsidRPr="00BB5519" w:rsidRDefault="00944BDF" w:rsidP="00E62BC4">
      <w:pPr>
        <w:ind w:left="720"/>
        <w:rPr>
          <w:lang w:val="de-DE"/>
        </w:rPr>
      </w:pPr>
    </w:p>
    <w:p w:rsidR="00944BDF" w:rsidRPr="00BB5519" w:rsidRDefault="00944BDF" w:rsidP="007B699C">
      <w:pPr>
        <w:spacing w:after="60"/>
        <w:ind w:left="720"/>
        <w:rPr>
          <w:lang w:val="de-DE"/>
        </w:rPr>
      </w:pPr>
      <w:r w:rsidRPr="00BB5519">
        <w:rPr>
          <w:rFonts w:cs="Tahoma"/>
          <w:b/>
          <w:bCs/>
          <w:szCs w:val="20"/>
          <w:lang w:val="de-DE"/>
        </w:rPr>
        <w:t xml:space="preserve">Downgraderechte für Microsoft Dynamics CRM 2011 </w:t>
      </w:r>
    </w:p>
    <w:p w:rsidR="00944BDF" w:rsidRPr="00BB5519" w:rsidRDefault="00944BDF" w:rsidP="00E62BC4">
      <w:pPr>
        <w:ind w:left="720"/>
        <w:rPr>
          <w:lang w:val="de-DE"/>
        </w:rPr>
      </w:pPr>
      <w:r w:rsidRPr="00BB5519">
        <w:rPr>
          <w:rFonts w:cs="Tahoma"/>
          <w:szCs w:val="20"/>
          <w:lang w:val="de-DE"/>
        </w:rPr>
        <w:t>Kunden mit Microsoft Dynamics CRM 2011-Lizenzen sind berechtigt, Microsoft Dynamics CRM 4.0 anstelle von Microsoft Dynamics CRM 2011 zu verwenden. Ihre Mirosoft Dynamics CRM 2011-Lizenzen können wie folgt als CRM 4.0-Lizenzen bereitgestellt werden:</w:t>
      </w:r>
    </w:p>
    <w:p w:rsidR="007B699C" w:rsidRPr="00BB5519" w:rsidRDefault="007B699C" w:rsidP="00E62BC4">
      <w:pPr>
        <w:ind w:left="720"/>
        <w:rPr>
          <w:lang w:val="de-DE"/>
        </w:rPr>
      </w:pPr>
    </w:p>
    <w:p w:rsidR="00944BDF" w:rsidRDefault="00944BDF" w:rsidP="00944BDF">
      <w:pPr>
        <w:ind w:left="540"/>
        <w:rPr>
          <w:lang w:val="de-DE"/>
        </w:rPr>
      </w:pPr>
    </w:p>
    <w:p w:rsidR="00021BF7" w:rsidRPr="00BB5519" w:rsidRDefault="00021BF7" w:rsidP="00944BDF">
      <w:pPr>
        <w:ind w:left="540"/>
        <w:rPr>
          <w:lang w:val="de-DE"/>
        </w:rPr>
      </w:pPr>
    </w:p>
    <w:p w:rsidR="00944BDF" w:rsidRPr="00BB5519" w:rsidRDefault="00944BDF" w:rsidP="00944BDF">
      <w:pPr>
        <w:ind w:left="900"/>
        <w:rPr>
          <w:lang w:val="de-DE"/>
        </w:rPr>
      </w:pPr>
    </w:p>
    <w:tbl>
      <w:tblPr>
        <w:tblW w:w="8590" w:type="dxa"/>
        <w:tblInd w:w="878" w:type="dxa"/>
        <w:tblCellMar>
          <w:left w:w="0" w:type="dxa"/>
          <w:right w:w="0" w:type="dxa"/>
        </w:tblCellMar>
        <w:tblLook w:val="04A0" w:firstRow="1" w:lastRow="0" w:firstColumn="1" w:lastColumn="0" w:noHBand="0" w:noVBand="1"/>
      </w:tblPr>
      <w:tblGrid>
        <w:gridCol w:w="4140"/>
        <w:gridCol w:w="4450"/>
      </w:tblGrid>
      <w:tr w:rsidR="00944BDF" w:rsidRPr="00BB5519" w:rsidTr="00134C35">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BB5519" w:rsidRDefault="00944BDF" w:rsidP="00E6206A">
            <w:pPr>
              <w:ind w:left="360"/>
              <w:rPr>
                <w:rFonts w:cs="Tahoma"/>
                <w:b/>
                <w:bCs/>
                <w:szCs w:val="20"/>
                <w:lang w:val="de-DE"/>
              </w:rPr>
            </w:pPr>
            <w:r w:rsidRPr="00BB5519">
              <w:rPr>
                <w:rFonts w:cs="Tahoma"/>
                <w:b/>
                <w:bCs/>
                <w:szCs w:val="20"/>
                <w:lang w:val="de-DE"/>
              </w:rPr>
              <w:t>Qualifizierende Microsoft Dynamics CRM 2011-Lizenz</w:t>
            </w:r>
          </w:p>
        </w:tc>
        <w:tc>
          <w:tcPr>
            <w:tcW w:w="4450" w:type="dxa"/>
            <w:tcBorders>
              <w:top w:val="single" w:sz="8" w:space="0" w:color="000000"/>
              <w:left w:val="nil"/>
              <w:bottom w:val="single" w:sz="8" w:space="0" w:color="000000"/>
              <w:right w:val="single" w:sz="8" w:space="0" w:color="auto"/>
            </w:tcBorders>
            <w:shd w:val="clear" w:color="auto" w:fill="FABF8F"/>
          </w:tcPr>
          <w:p w:rsidR="00944BDF" w:rsidRPr="00BB5519" w:rsidRDefault="00944BDF" w:rsidP="00E6206A">
            <w:pPr>
              <w:ind w:left="360"/>
              <w:rPr>
                <w:rFonts w:cs="Tahoma"/>
                <w:b/>
                <w:bCs/>
                <w:szCs w:val="20"/>
              </w:rPr>
            </w:pPr>
            <w:r w:rsidRPr="00BB5519">
              <w:rPr>
                <w:rFonts w:cs="Tahoma"/>
                <w:b/>
                <w:bCs/>
                <w:szCs w:val="20"/>
              </w:rPr>
              <w:t>Entsprechende CRM 4.0-Lizenzen</w:t>
            </w:r>
          </w:p>
        </w:tc>
      </w:tr>
      <w:tr w:rsidR="00944BDF" w:rsidRPr="00D244F0" w:rsidTr="00134C35">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B5519" w:rsidRDefault="00944BDF" w:rsidP="00E6206A">
            <w:pPr>
              <w:rPr>
                <w:rFonts w:cs="Tahoma"/>
                <w:color w:val="000000"/>
                <w:szCs w:val="20"/>
                <w:lang w:val="de-DE"/>
              </w:rPr>
            </w:pPr>
            <w:r w:rsidRPr="00BB5519">
              <w:rPr>
                <w:rFonts w:cs="Tahoma"/>
                <w:szCs w:val="20"/>
                <w:lang w:val="de-DE"/>
              </w:rPr>
              <w:t>Zusätzliche CAL zur Vollständigen Verwendung von Microsoft Dynamics CRM 2011</w:t>
            </w:r>
          </w:p>
        </w:tc>
        <w:tc>
          <w:tcPr>
            <w:tcW w:w="4450" w:type="dxa"/>
            <w:tcBorders>
              <w:top w:val="nil"/>
              <w:left w:val="nil"/>
              <w:bottom w:val="single" w:sz="8" w:space="0" w:color="000000"/>
              <w:right w:val="single" w:sz="8" w:space="0" w:color="000000"/>
            </w:tcBorders>
            <w:vAlign w:val="center"/>
          </w:tcPr>
          <w:p w:rsidR="00944BDF" w:rsidRPr="00BB5519" w:rsidRDefault="00944BDF" w:rsidP="00E6206A">
            <w:pPr>
              <w:pStyle w:val="ColorfulList-Accent11"/>
              <w:spacing w:line="276" w:lineRule="auto"/>
              <w:ind w:left="288" w:right="162" w:hanging="180"/>
              <w:rPr>
                <w:rFonts w:ascii="Tahoma" w:hAnsi="Tahoma" w:cs="Tahoma"/>
                <w:sz w:val="18"/>
                <w:szCs w:val="20"/>
                <w:lang w:val="de-DE"/>
              </w:rPr>
            </w:pPr>
            <w:r w:rsidRPr="00BB5519">
              <w:rPr>
                <w:rFonts w:ascii="Tahoma" w:hAnsi="Tahoma" w:cs="Tahoma"/>
                <w:sz w:val="18"/>
                <w:szCs w:val="20"/>
                <w:lang w:val="de-DE"/>
              </w:rPr>
              <w:t>1 Zusätzliche CAL zur Vollständigen Verwendung von Microsoft Dynamics CRM 4.0</w:t>
            </w:r>
          </w:p>
        </w:tc>
      </w:tr>
      <w:tr w:rsidR="00944BDF" w:rsidRPr="00D244F0" w:rsidTr="00134C35">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B5519" w:rsidRDefault="00944BDF" w:rsidP="00E6206A">
            <w:pPr>
              <w:rPr>
                <w:rFonts w:cs="Tahoma"/>
                <w:color w:val="000000"/>
                <w:szCs w:val="20"/>
                <w:lang w:val="de-DE"/>
              </w:rPr>
            </w:pPr>
            <w:r w:rsidRPr="00BB5519">
              <w:rPr>
                <w:rFonts w:cs="Tahoma"/>
                <w:szCs w:val="20"/>
                <w:lang w:val="de-DE"/>
              </w:rPr>
              <w:t>Zusätzliche CAL zur Eingeschränkten Verwendung von Microsoft Dynamics CRM 2011</w:t>
            </w:r>
          </w:p>
        </w:tc>
        <w:tc>
          <w:tcPr>
            <w:tcW w:w="4450" w:type="dxa"/>
            <w:tcBorders>
              <w:top w:val="nil"/>
              <w:left w:val="nil"/>
              <w:bottom w:val="single" w:sz="8" w:space="0" w:color="000000"/>
              <w:right w:val="single" w:sz="8" w:space="0" w:color="000000"/>
            </w:tcBorders>
            <w:vAlign w:val="center"/>
          </w:tcPr>
          <w:p w:rsidR="00944BDF" w:rsidRPr="00BB5519" w:rsidRDefault="00944BDF" w:rsidP="00E6206A">
            <w:pPr>
              <w:pStyle w:val="ColorfulList-Accent11"/>
              <w:spacing w:line="276" w:lineRule="auto"/>
              <w:ind w:left="288" w:right="162" w:hanging="180"/>
              <w:rPr>
                <w:rFonts w:ascii="Tahoma" w:hAnsi="Tahoma" w:cs="Tahoma"/>
                <w:sz w:val="18"/>
                <w:szCs w:val="20"/>
                <w:lang w:val="de-DE"/>
              </w:rPr>
            </w:pPr>
            <w:r w:rsidRPr="00BB5519">
              <w:rPr>
                <w:rFonts w:ascii="Tahoma" w:hAnsi="Tahoma" w:cs="Tahoma"/>
                <w:sz w:val="18"/>
                <w:szCs w:val="20"/>
                <w:lang w:val="de-DE"/>
              </w:rPr>
              <w:t>1 Beschränkte CAL für Microsoft Dynamics CRM 4.0</w:t>
            </w:r>
          </w:p>
        </w:tc>
      </w:tr>
      <w:tr w:rsidR="00944BDF" w:rsidRPr="00D244F0" w:rsidTr="00134C35">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BB5519" w:rsidRDefault="00944BDF" w:rsidP="00E6206A">
            <w:pPr>
              <w:rPr>
                <w:rFonts w:cs="Tahoma"/>
                <w:szCs w:val="20"/>
              </w:rPr>
            </w:pPr>
            <w:r w:rsidRPr="00BB5519">
              <w:rPr>
                <w:rFonts w:cs="Tahoma"/>
                <w:szCs w:val="20"/>
              </w:rPr>
              <w:t xml:space="preserve">Externer Connector für </w:t>
            </w:r>
            <w:r w:rsidR="00134C35">
              <w:rPr>
                <w:rFonts w:cs="Tahoma"/>
                <w:szCs w:val="20"/>
              </w:rPr>
              <w:br/>
            </w:r>
            <w:r w:rsidRPr="00BB5519">
              <w:rPr>
                <w:rFonts w:cs="Tahoma"/>
                <w:szCs w:val="20"/>
              </w:rPr>
              <w:t>Microsoft Dynamics CRM 2011</w:t>
            </w:r>
          </w:p>
        </w:tc>
        <w:tc>
          <w:tcPr>
            <w:tcW w:w="4450" w:type="dxa"/>
            <w:tcBorders>
              <w:top w:val="nil"/>
              <w:left w:val="nil"/>
              <w:bottom w:val="single" w:sz="8" w:space="0" w:color="000000"/>
              <w:right w:val="single" w:sz="8" w:space="0" w:color="000000"/>
            </w:tcBorders>
            <w:vAlign w:val="center"/>
          </w:tcPr>
          <w:p w:rsidR="00944BDF" w:rsidRPr="00BB5519" w:rsidRDefault="00944BDF" w:rsidP="00E6206A">
            <w:pPr>
              <w:pStyle w:val="ColorfulList-Accent11"/>
              <w:spacing w:line="276" w:lineRule="auto"/>
              <w:ind w:left="288" w:right="162" w:hanging="180"/>
              <w:rPr>
                <w:lang w:val="de-DE"/>
              </w:rPr>
            </w:pPr>
            <w:r w:rsidRPr="00BB5519">
              <w:rPr>
                <w:rFonts w:ascii="Tahoma" w:hAnsi="Tahoma" w:cs="Tahoma"/>
                <w:sz w:val="18"/>
                <w:szCs w:val="20"/>
                <w:lang w:val="de-DE"/>
              </w:rPr>
              <w:t>1 Beschränkter Externer Connector für Microsoft Dynamics CRM 4.0</w:t>
            </w:r>
          </w:p>
          <w:p w:rsidR="00944BDF" w:rsidRPr="00BB5519" w:rsidRDefault="00944BDF" w:rsidP="00E6206A">
            <w:pPr>
              <w:pStyle w:val="ColorfulList-Accent11"/>
              <w:spacing w:line="276" w:lineRule="auto"/>
              <w:ind w:left="288" w:right="162" w:hanging="180"/>
              <w:jc w:val="center"/>
              <w:rPr>
                <w:lang w:val="de-DE"/>
              </w:rPr>
            </w:pPr>
            <w:r w:rsidRPr="00BB5519">
              <w:rPr>
                <w:rFonts w:ascii="Tahoma" w:hAnsi="Tahoma" w:cs="Tahoma"/>
                <w:sz w:val="18"/>
                <w:szCs w:val="20"/>
                <w:lang w:val="de-DE"/>
              </w:rPr>
              <w:t>UND</w:t>
            </w:r>
          </w:p>
          <w:p w:rsidR="00944BDF" w:rsidRPr="00BB5519" w:rsidRDefault="00944BDF" w:rsidP="00E6206A">
            <w:pPr>
              <w:pStyle w:val="ColorfulList-Accent11"/>
              <w:spacing w:line="276" w:lineRule="auto"/>
              <w:ind w:left="288" w:right="162" w:hanging="180"/>
              <w:rPr>
                <w:rFonts w:ascii="Tahoma" w:hAnsi="Tahoma" w:cs="Tahoma"/>
                <w:sz w:val="18"/>
                <w:szCs w:val="20"/>
                <w:lang w:val="de-DE"/>
              </w:rPr>
            </w:pPr>
            <w:r w:rsidRPr="00BB5519">
              <w:rPr>
                <w:rFonts w:ascii="Tahoma" w:hAnsi="Tahoma" w:cs="Tahoma"/>
                <w:sz w:val="18"/>
                <w:szCs w:val="20"/>
                <w:lang w:val="de-DE"/>
              </w:rPr>
              <w:t>1 Zusätzlicher Externen Connector zur Vollständigen Verwendung von Microsoft Dynamics CRM 4.0</w:t>
            </w:r>
          </w:p>
        </w:tc>
      </w:tr>
      <w:tr w:rsidR="00944BDF" w:rsidRPr="00BB5519" w:rsidTr="00134C35">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B5519" w:rsidRDefault="00944BDF" w:rsidP="00E6206A">
            <w:pPr>
              <w:rPr>
                <w:rFonts w:cs="Tahoma"/>
                <w:color w:val="000000"/>
                <w:szCs w:val="20"/>
              </w:rPr>
            </w:pPr>
            <w:r w:rsidRPr="00BB5519">
              <w:rPr>
                <w:rFonts w:cs="Tahoma"/>
                <w:color w:val="000000"/>
                <w:szCs w:val="20"/>
              </w:rPr>
              <w:t>Microsoft Dynamics CRM Server 2011</w:t>
            </w:r>
          </w:p>
        </w:tc>
        <w:tc>
          <w:tcPr>
            <w:tcW w:w="4450" w:type="dxa"/>
            <w:tcBorders>
              <w:top w:val="nil"/>
              <w:left w:val="nil"/>
              <w:bottom w:val="single" w:sz="8" w:space="0" w:color="000000"/>
              <w:right w:val="single" w:sz="8" w:space="0" w:color="000000"/>
            </w:tcBorders>
          </w:tcPr>
          <w:p w:rsidR="00944BDF" w:rsidRPr="00BB5519" w:rsidRDefault="00944BDF" w:rsidP="00E6206A">
            <w:pPr>
              <w:pStyle w:val="ColorfulList-Accent11"/>
              <w:spacing w:line="276" w:lineRule="auto"/>
              <w:ind w:left="288" w:right="162" w:hanging="180"/>
            </w:pPr>
            <w:r w:rsidRPr="00BB5519">
              <w:rPr>
                <w:rFonts w:ascii="Tahoma" w:hAnsi="Tahoma" w:cs="Tahoma"/>
                <w:sz w:val="18"/>
                <w:szCs w:val="20"/>
              </w:rPr>
              <w:t xml:space="preserve">1 Microsoft Dynamics CRM 4.0 Professional Server </w:t>
            </w:r>
          </w:p>
          <w:p w:rsidR="00944BDF" w:rsidRPr="00BB5519" w:rsidRDefault="00944BDF" w:rsidP="00E6206A">
            <w:pPr>
              <w:pStyle w:val="ColorfulList-Accent11"/>
              <w:spacing w:line="276" w:lineRule="auto"/>
              <w:ind w:left="288" w:right="162" w:hanging="180"/>
              <w:jc w:val="center"/>
            </w:pPr>
            <w:r w:rsidRPr="00BB5519">
              <w:rPr>
                <w:rFonts w:ascii="Tahoma" w:hAnsi="Tahoma" w:cs="Tahoma"/>
                <w:sz w:val="18"/>
                <w:szCs w:val="20"/>
              </w:rPr>
              <w:t>ODER</w:t>
            </w:r>
          </w:p>
          <w:p w:rsidR="00944BDF" w:rsidRPr="00BB5519" w:rsidRDefault="00944BDF" w:rsidP="00287758">
            <w:pPr>
              <w:pStyle w:val="ColorfulList-Accent11"/>
              <w:spacing w:line="276" w:lineRule="auto"/>
              <w:ind w:left="288" w:right="162" w:hanging="180"/>
              <w:rPr>
                <w:rFonts w:ascii="Tahoma" w:hAnsi="Tahoma" w:cs="Tahoma"/>
                <w:sz w:val="18"/>
                <w:szCs w:val="20"/>
              </w:rPr>
            </w:pPr>
            <w:r w:rsidRPr="00BB5519">
              <w:rPr>
                <w:rFonts w:ascii="Tahoma" w:hAnsi="Tahoma" w:cs="Tahoma"/>
                <w:sz w:val="18"/>
                <w:szCs w:val="20"/>
              </w:rPr>
              <w:t xml:space="preserve">1 Microsoft Dynamics CRM 4.0 Enterprise Server </w:t>
            </w:r>
          </w:p>
        </w:tc>
      </w:tr>
      <w:tr w:rsidR="00944BDF" w:rsidRPr="00BB5519" w:rsidTr="00134C35">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BB5519" w:rsidRDefault="00944BDF" w:rsidP="00E6206A">
            <w:pPr>
              <w:rPr>
                <w:rFonts w:cs="Tahoma"/>
                <w:color w:val="000000"/>
                <w:szCs w:val="20"/>
              </w:rPr>
            </w:pPr>
            <w:r w:rsidRPr="00BB5519">
              <w:rPr>
                <w:rFonts w:cs="Tahoma"/>
                <w:color w:val="000000"/>
                <w:szCs w:val="20"/>
              </w:rPr>
              <w:t>Microsoft Dynamics CRM Workgroup Server 2011</w:t>
            </w:r>
          </w:p>
        </w:tc>
        <w:tc>
          <w:tcPr>
            <w:tcW w:w="4450" w:type="dxa"/>
            <w:tcBorders>
              <w:top w:val="nil"/>
              <w:left w:val="nil"/>
              <w:bottom w:val="single" w:sz="8" w:space="0" w:color="000000"/>
              <w:right w:val="single" w:sz="8" w:space="0" w:color="000000"/>
            </w:tcBorders>
          </w:tcPr>
          <w:p w:rsidR="00944BDF" w:rsidRPr="00BB5519" w:rsidRDefault="00944BDF" w:rsidP="00E6206A">
            <w:pPr>
              <w:pStyle w:val="ColorfulList-Accent11"/>
              <w:spacing w:line="276" w:lineRule="auto"/>
              <w:ind w:left="288" w:right="162" w:hanging="180"/>
              <w:rPr>
                <w:rFonts w:ascii="Tahoma" w:hAnsi="Tahoma" w:cs="Tahoma"/>
                <w:sz w:val="18"/>
                <w:szCs w:val="20"/>
              </w:rPr>
            </w:pPr>
            <w:r w:rsidRPr="00BB5519">
              <w:rPr>
                <w:rFonts w:ascii="Tahoma" w:hAnsi="Tahoma" w:cs="Tahoma"/>
                <w:sz w:val="18"/>
                <w:szCs w:val="20"/>
              </w:rPr>
              <w:t xml:space="preserve">1 Microsoft Dynamics CRM 4.0 Workgroup Server </w:t>
            </w:r>
          </w:p>
        </w:tc>
      </w:tr>
    </w:tbl>
    <w:p w:rsidR="00944BDF" w:rsidRPr="00BB5519" w:rsidRDefault="00944BDF" w:rsidP="00944BDF">
      <w:r w:rsidRPr="00BB5519">
        <w:rPr>
          <w:rFonts w:cs="Tahoma"/>
          <w:szCs w:val="20"/>
        </w:rPr>
        <w:t xml:space="preserve"> </w:t>
      </w:r>
    </w:p>
    <w:p w:rsidR="00BF7FDE" w:rsidRPr="00BB5519" w:rsidRDefault="00944BDF" w:rsidP="00586FCE">
      <w:pPr>
        <w:ind w:left="720"/>
        <w:rPr>
          <w:lang w:val="de-DE"/>
        </w:rPr>
      </w:pPr>
      <w:r w:rsidRPr="00BB5519">
        <w:rPr>
          <w:rFonts w:cs="Tahoma"/>
          <w:szCs w:val="20"/>
          <w:lang w:val="de-DE"/>
        </w:rPr>
        <w:t xml:space="preserve">Das Recht eines Kunden zur Verwendung von Microsoft Dynamics CRM 4.0 unterliegt den Bestimmungen des Lizenzvertrages des Kunden, den Produktbenutzungsrechten für Microsoft Dynamics CRM 4.0 und diesen Bestimmungen. Dieses Recht gilt bis zum Ablauf oder zur Beendigung seines Rechts zur Nutzung von Microsoft Dynamics CRM 2011 gemäß den zugehörigen qualifizierenden Microsoft Dynamics CRM 2011-Lizenzen. </w:t>
      </w:r>
    </w:p>
    <w:p w:rsidR="00944BDF" w:rsidRPr="00BB5519" w:rsidRDefault="00944BDF" w:rsidP="00944BDF">
      <w:pPr>
        <w:ind w:left="540"/>
        <w:rPr>
          <w:lang w:val="de-DE"/>
        </w:rPr>
      </w:pPr>
    </w:p>
    <w:p w:rsidR="00944BDF" w:rsidRPr="00BB5519" w:rsidRDefault="00944BDF" w:rsidP="007B699C">
      <w:pPr>
        <w:spacing w:after="60"/>
        <w:ind w:left="720"/>
        <w:rPr>
          <w:lang w:val="de-DE"/>
        </w:rPr>
      </w:pPr>
      <w:r w:rsidRPr="00BB5519">
        <w:rPr>
          <w:rFonts w:cs="Tahoma"/>
          <w:b/>
          <w:bCs/>
          <w:color w:val="000000"/>
          <w:szCs w:val="20"/>
          <w:lang w:val="de-DE"/>
        </w:rPr>
        <w:t>Client-Zugriffslizenz- und externe Connector-Lizenzoptionen</w:t>
      </w:r>
    </w:p>
    <w:p w:rsidR="00944BDF" w:rsidRPr="00BB5519" w:rsidRDefault="00944BDF" w:rsidP="00E62BC4">
      <w:pPr>
        <w:ind w:left="720"/>
        <w:rPr>
          <w:lang w:val="de-DE"/>
        </w:rPr>
      </w:pPr>
      <w:r w:rsidRPr="00BB5519">
        <w:rPr>
          <w:rFonts w:cs="Tahoma"/>
          <w:color w:val="000000"/>
          <w:szCs w:val="20"/>
          <w:lang w:val="de-DE"/>
        </w:rPr>
        <w:t>Die unter den verschiedenen CALs für Microsoft Dynamics CRM 2011 zulässigen Verwendungszwecke sind in der Tabelle unten dargelegt.</w:t>
      </w:r>
      <w:r w:rsidR="009E4976" w:rsidRPr="00BB5519">
        <w:rPr>
          <w:rFonts w:cs="Tahoma"/>
          <w:color w:val="000000"/>
          <w:szCs w:val="20"/>
          <w:lang w:val="de-DE"/>
        </w:rPr>
        <w:t xml:space="preserve"> </w:t>
      </w:r>
      <w:r w:rsidRPr="00BB5519">
        <w:rPr>
          <w:rFonts w:cs="Tahoma"/>
          <w:color w:val="000000"/>
          <w:szCs w:val="20"/>
          <w:lang w:val="de-DE"/>
        </w:rPr>
        <w:t>Die Beschränkte CAL und die Unbeschränkte CAL sind Angebote, die mehrere Lizenzen umfassen.</w:t>
      </w:r>
    </w:p>
    <w:p w:rsidR="0033725C" w:rsidRPr="00BB5519" w:rsidRDefault="0033725C" w:rsidP="0033725C">
      <w:pPr>
        <w:pStyle w:val="ListParagraph"/>
        <w:ind w:left="0"/>
        <w:rPr>
          <w:lang w:val="de-DE"/>
        </w:rPr>
      </w:pPr>
    </w:p>
    <w:tbl>
      <w:tblPr>
        <w:tblW w:w="9580" w:type="dxa"/>
        <w:tblInd w:w="828" w:type="dxa"/>
        <w:tblLayout w:type="fixed"/>
        <w:tblCellMar>
          <w:left w:w="58" w:type="dxa"/>
          <w:right w:w="58" w:type="dxa"/>
        </w:tblCellMar>
        <w:tblLook w:val="04A0" w:firstRow="1" w:lastRow="0" w:firstColumn="1" w:lastColumn="0" w:noHBand="0" w:noVBand="1"/>
      </w:tblPr>
      <w:tblGrid>
        <w:gridCol w:w="1750"/>
        <w:gridCol w:w="738"/>
        <w:gridCol w:w="1404"/>
        <w:gridCol w:w="1116"/>
        <w:gridCol w:w="1809"/>
        <w:gridCol w:w="1548"/>
        <w:gridCol w:w="1215"/>
      </w:tblGrid>
      <w:tr w:rsidR="00FE782F" w:rsidRPr="00BB5519" w:rsidTr="00FE782F">
        <w:trPr>
          <w:trHeight w:val="226"/>
          <w:tblHeader/>
        </w:trPr>
        <w:tc>
          <w:tcPr>
            <w:tcW w:w="1750" w:type="dxa"/>
            <w:tcBorders>
              <w:top w:val="single" w:sz="4" w:space="0" w:color="auto"/>
              <w:left w:val="single" w:sz="4" w:space="0" w:color="auto"/>
              <w:bottom w:val="single" w:sz="4" w:space="0" w:color="auto"/>
              <w:right w:val="single" w:sz="4" w:space="0" w:color="auto"/>
            </w:tcBorders>
            <w:shd w:val="clear" w:color="auto" w:fill="FABF8F"/>
          </w:tcPr>
          <w:p w:rsidR="0033725C" w:rsidRPr="00BB5519" w:rsidRDefault="0033725C" w:rsidP="00A73DBD">
            <w:pPr>
              <w:pStyle w:val="TableHeading"/>
              <w:rPr>
                <w:rFonts w:ascii="Tahoma" w:hAnsi="Tahoma" w:cs="Tahoma"/>
                <w:color w:val="000000"/>
                <w:sz w:val="18"/>
                <w:szCs w:val="18"/>
              </w:rPr>
            </w:pPr>
            <w:r w:rsidRPr="00BB5519">
              <w:rPr>
                <w:rFonts w:ascii="Tahoma" w:hAnsi="Tahoma" w:cs="Tahoma"/>
                <w:color w:val="000000"/>
                <w:sz w:val="18"/>
                <w:szCs w:val="18"/>
              </w:rPr>
              <w:t>Nutzungsrecht</w:t>
            </w:r>
          </w:p>
        </w:tc>
        <w:tc>
          <w:tcPr>
            <w:tcW w:w="738" w:type="dxa"/>
            <w:tcBorders>
              <w:top w:val="single" w:sz="4" w:space="0" w:color="auto"/>
              <w:left w:val="single" w:sz="4" w:space="0" w:color="auto"/>
              <w:bottom w:val="single" w:sz="4" w:space="0" w:color="auto"/>
              <w:right w:val="single" w:sz="4" w:space="0" w:color="auto"/>
            </w:tcBorders>
            <w:shd w:val="clear" w:color="auto" w:fill="FABF8F"/>
          </w:tcPr>
          <w:p w:rsidR="0033725C" w:rsidRPr="00BB5519" w:rsidRDefault="0033725C" w:rsidP="00A73DBD">
            <w:pPr>
              <w:pStyle w:val="TableHeading"/>
              <w:rPr>
                <w:rFonts w:ascii="Tahoma" w:hAnsi="Tahoma" w:cs="Tahoma"/>
                <w:color w:val="000000"/>
                <w:sz w:val="18"/>
                <w:szCs w:val="18"/>
              </w:rPr>
            </w:pPr>
            <w:r w:rsidRPr="00BB5519">
              <w:rPr>
                <w:rFonts w:ascii="Tahoma" w:hAnsi="Tahoma" w:cs="Tahoma"/>
                <w:color w:val="000000"/>
                <w:sz w:val="18"/>
                <w:szCs w:val="18"/>
              </w:rPr>
              <w:t>ESS-CAL</w:t>
            </w:r>
          </w:p>
        </w:tc>
        <w:tc>
          <w:tcPr>
            <w:tcW w:w="1404" w:type="dxa"/>
            <w:tcBorders>
              <w:top w:val="single" w:sz="4" w:space="0" w:color="auto"/>
              <w:left w:val="single" w:sz="4" w:space="0" w:color="auto"/>
              <w:bottom w:val="single" w:sz="4" w:space="0" w:color="auto"/>
              <w:right w:val="single" w:sz="4" w:space="0" w:color="auto"/>
            </w:tcBorders>
            <w:shd w:val="clear" w:color="auto" w:fill="FABF8F"/>
          </w:tcPr>
          <w:p w:rsidR="0033725C" w:rsidRPr="00BB5519" w:rsidRDefault="0033725C" w:rsidP="00A73DBD">
            <w:pPr>
              <w:pStyle w:val="TableHeading"/>
              <w:rPr>
                <w:rFonts w:ascii="Tahoma" w:hAnsi="Tahoma" w:cs="Tahoma"/>
                <w:color w:val="000000"/>
                <w:sz w:val="18"/>
                <w:szCs w:val="18"/>
              </w:rPr>
            </w:pPr>
            <w:r w:rsidRPr="00BB5519">
              <w:rPr>
                <w:rFonts w:ascii="Tahoma" w:hAnsi="Tahoma" w:cs="Tahoma"/>
                <w:color w:val="000000"/>
                <w:sz w:val="18"/>
                <w:szCs w:val="18"/>
              </w:rPr>
              <w:t>Beschränkte CAL</w:t>
            </w:r>
          </w:p>
        </w:tc>
        <w:tc>
          <w:tcPr>
            <w:tcW w:w="1116" w:type="dxa"/>
            <w:tcBorders>
              <w:top w:val="single" w:sz="4" w:space="0" w:color="auto"/>
              <w:left w:val="single" w:sz="4" w:space="0" w:color="auto"/>
              <w:bottom w:val="single" w:sz="4" w:space="0" w:color="auto"/>
              <w:right w:val="single" w:sz="4" w:space="0" w:color="auto"/>
            </w:tcBorders>
            <w:shd w:val="clear" w:color="auto" w:fill="FABF8F"/>
          </w:tcPr>
          <w:p w:rsidR="0033725C" w:rsidRPr="00BB5519" w:rsidRDefault="0033725C" w:rsidP="00FE782F">
            <w:pPr>
              <w:pStyle w:val="TableHeading"/>
              <w:rPr>
                <w:rFonts w:ascii="Tahoma" w:hAnsi="Tahoma" w:cs="Tahoma"/>
                <w:color w:val="000000"/>
                <w:sz w:val="18"/>
                <w:szCs w:val="18"/>
              </w:rPr>
            </w:pPr>
            <w:r w:rsidRPr="00BB5519">
              <w:rPr>
                <w:rFonts w:ascii="Tahoma" w:hAnsi="Tahoma" w:cs="Tahoma"/>
                <w:color w:val="000000"/>
                <w:sz w:val="18"/>
                <w:szCs w:val="18"/>
              </w:rPr>
              <w:t>Unbesch</w:t>
            </w:r>
            <w:r w:rsidR="00FE782F">
              <w:rPr>
                <w:rFonts w:ascii="Tahoma" w:hAnsi="Tahoma" w:cs="Tahoma"/>
                <w:color w:val="000000"/>
                <w:sz w:val="18"/>
                <w:szCs w:val="18"/>
              </w:rPr>
              <w:t>-</w:t>
            </w:r>
            <w:r w:rsidRPr="00BB5519">
              <w:rPr>
                <w:rFonts w:ascii="Tahoma" w:hAnsi="Tahoma" w:cs="Tahoma"/>
                <w:color w:val="000000"/>
                <w:sz w:val="18"/>
                <w:szCs w:val="18"/>
              </w:rPr>
              <w:t>ränkte CAL</w:t>
            </w:r>
          </w:p>
        </w:tc>
        <w:tc>
          <w:tcPr>
            <w:tcW w:w="1809" w:type="dxa"/>
            <w:tcBorders>
              <w:top w:val="single" w:sz="4" w:space="0" w:color="auto"/>
              <w:left w:val="single" w:sz="4" w:space="0" w:color="auto"/>
              <w:bottom w:val="single" w:sz="4" w:space="0" w:color="auto"/>
              <w:right w:val="single" w:sz="4" w:space="0" w:color="auto"/>
            </w:tcBorders>
            <w:shd w:val="clear" w:color="auto" w:fill="FABF8F"/>
          </w:tcPr>
          <w:p w:rsidR="0033725C" w:rsidRPr="00BB5519" w:rsidRDefault="0033725C" w:rsidP="00FE782F">
            <w:pPr>
              <w:pStyle w:val="TableHeading"/>
              <w:rPr>
                <w:rFonts w:ascii="Tahoma" w:hAnsi="Tahoma" w:cs="Tahoma"/>
                <w:color w:val="000000"/>
                <w:sz w:val="18"/>
                <w:szCs w:val="18"/>
                <w:lang w:val="de-DE"/>
              </w:rPr>
            </w:pPr>
            <w:r w:rsidRPr="00BB5519">
              <w:rPr>
                <w:rFonts w:ascii="Tahoma" w:hAnsi="Tahoma" w:cs="Tahoma"/>
                <w:color w:val="000000"/>
                <w:sz w:val="18"/>
                <w:szCs w:val="18"/>
                <w:lang w:val="de-DE"/>
              </w:rPr>
              <w:t>Zusät</w:t>
            </w:r>
            <w:r w:rsidR="00134C35">
              <w:rPr>
                <w:rFonts w:ascii="Tahoma" w:hAnsi="Tahoma" w:cs="Tahoma"/>
                <w:color w:val="000000"/>
                <w:sz w:val="18"/>
                <w:szCs w:val="18"/>
                <w:lang w:val="de-DE"/>
              </w:rPr>
              <w:t>-</w:t>
            </w:r>
            <w:r w:rsidRPr="00BB5519">
              <w:rPr>
                <w:rFonts w:ascii="Tahoma" w:hAnsi="Tahoma" w:cs="Tahoma"/>
                <w:color w:val="000000"/>
                <w:sz w:val="18"/>
                <w:szCs w:val="18"/>
                <w:lang w:val="de-DE"/>
              </w:rPr>
              <w:t>zliche CAL</w:t>
            </w:r>
            <w:r w:rsidR="00FE782F">
              <w:rPr>
                <w:rFonts w:ascii="Tahoma" w:hAnsi="Tahoma" w:cs="Tahoma"/>
                <w:color w:val="000000"/>
                <w:sz w:val="18"/>
                <w:szCs w:val="18"/>
                <w:lang w:val="de-DE"/>
              </w:rPr>
              <w:t> </w:t>
            </w:r>
            <w:r w:rsidRPr="00BB5519">
              <w:rPr>
                <w:rFonts w:ascii="Tahoma" w:hAnsi="Tahoma" w:cs="Tahoma"/>
                <w:color w:val="000000"/>
                <w:sz w:val="18"/>
                <w:szCs w:val="18"/>
                <w:lang w:val="de-DE"/>
              </w:rPr>
              <w:t>zur Eingeschränkten Verwendung</w:t>
            </w:r>
          </w:p>
        </w:tc>
        <w:tc>
          <w:tcPr>
            <w:tcW w:w="1548" w:type="dxa"/>
            <w:tcBorders>
              <w:top w:val="single" w:sz="4" w:space="0" w:color="auto"/>
              <w:left w:val="single" w:sz="4" w:space="0" w:color="auto"/>
              <w:bottom w:val="single" w:sz="4" w:space="0" w:color="auto"/>
              <w:right w:val="single" w:sz="4" w:space="0" w:color="auto"/>
            </w:tcBorders>
            <w:shd w:val="clear" w:color="auto" w:fill="FABF8F"/>
          </w:tcPr>
          <w:p w:rsidR="0033725C" w:rsidRPr="00BB5519" w:rsidRDefault="0033725C" w:rsidP="00FE782F">
            <w:pPr>
              <w:pStyle w:val="TableHeading"/>
              <w:rPr>
                <w:rFonts w:ascii="Tahoma" w:hAnsi="Tahoma" w:cs="Tahoma"/>
                <w:color w:val="000000"/>
                <w:sz w:val="18"/>
                <w:szCs w:val="18"/>
                <w:lang w:val="de-DE"/>
              </w:rPr>
            </w:pPr>
            <w:r w:rsidRPr="00BB5519">
              <w:rPr>
                <w:rFonts w:ascii="Tahoma" w:hAnsi="Tahoma" w:cs="Tahoma"/>
                <w:color w:val="000000"/>
                <w:sz w:val="18"/>
                <w:szCs w:val="18"/>
                <w:lang w:val="de-DE"/>
              </w:rPr>
              <w:t>Zusä</w:t>
            </w:r>
            <w:r w:rsidR="00134C35">
              <w:rPr>
                <w:rFonts w:ascii="Tahoma" w:hAnsi="Tahoma" w:cs="Tahoma"/>
                <w:color w:val="000000"/>
                <w:sz w:val="18"/>
                <w:szCs w:val="18"/>
                <w:lang w:val="de-DE"/>
              </w:rPr>
              <w:t>-</w:t>
            </w:r>
            <w:r w:rsidRPr="00BB5519">
              <w:rPr>
                <w:rFonts w:ascii="Tahoma" w:hAnsi="Tahoma" w:cs="Tahoma"/>
                <w:color w:val="000000"/>
                <w:sz w:val="18"/>
                <w:szCs w:val="18"/>
                <w:lang w:val="de-DE"/>
              </w:rPr>
              <w:t xml:space="preserve">tzliche CAL zur </w:t>
            </w:r>
            <w:r w:rsidR="00FE782F" w:rsidRPr="0030133F">
              <w:rPr>
                <w:rFonts w:ascii="Tahoma" w:hAnsi="Tahoma" w:cs="Tahoma"/>
                <w:color w:val="000000"/>
                <w:sz w:val="18"/>
                <w:szCs w:val="18"/>
                <w:lang w:val="de-DE"/>
              </w:rPr>
              <w:t>Vollständigen</w:t>
            </w:r>
            <w:r w:rsidRPr="00BB5519">
              <w:rPr>
                <w:rFonts w:ascii="Tahoma" w:hAnsi="Tahoma" w:cs="Tahoma"/>
                <w:color w:val="000000"/>
                <w:sz w:val="18"/>
                <w:szCs w:val="18"/>
                <w:lang w:val="de-DE"/>
              </w:rPr>
              <w:t xml:space="preserve"> Verwendung</w:t>
            </w:r>
          </w:p>
        </w:tc>
        <w:tc>
          <w:tcPr>
            <w:tcW w:w="1215" w:type="dxa"/>
            <w:tcBorders>
              <w:top w:val="single" w:sz="4" w:space="0" w:color="auto"/>
              <w:left w:val="single" w:sz="4" w:space="0" w:color="auto"/>
              <w:bottom w:val="single" w:sz="4" w:space="0" w:color="auto"/>
              <w:right w:val="single" w:sz="4" w:space="0" w:color="auto"/>
            </w:tcBorders>
            <w:shd w:val="clear" w:color="auto" w:fill="FABF8F"/>
          </w:tcPr>
          <w:p w:rsidR="0033725C" w:rsidRPr="00BB5519" w:rsidRDefault="0033725C" w:rsidP="00A73DBD">
            <w:pPr>
              <w:pStyle w:val="TableHeading"/>
              <w:rPr>
                <w:rFonts w:ascii="Tahoma" w:hAnsi="Tahoma" w:cs="Tahoma"/>
                <w:color w:val="000000"/>
                <w:sz w:val="18"/>
                <w:szCs w:val="18"/>
              </w:rPr>
            </w:pPr>
            <w:r w:rsidRPr="00BB5519">
              <w:rPr>
                <w:rFonts w:ascii="Tahoma" w:hAnsi="Tahoma" w:cs="Tahoma"/>
                <w:color w:val="000000"/>
                <w:sz w:val="18"/>
                <w:szCs w:val="18"/>
              </w:rPr>
              <w:t xml:space="preserve">Externer </w:t>
            </w:r>
            <w:r w:rsidR="00FE782F">
              <w:rPr>
                <w:rFonts w:ascii="Tahoma" w:hAnsi="Tahoma" w:cs="Tahoma"/>
                <w:color w:val="000000"/>
                <w:sz w:val="18"/>
                <w:szCs w:val="18"/>
              </w:rPr>
              <w:br/>
            </w:r>
            <w:r w:rsidRPr="00BB5519">
              <w:rPr>
                <w:rFonts w:ascii="Tahoma" w:hAnsi="Tahoma" w:cs="Tahoma"/>
                <w:color w:val="000000"/>
                <w:sz w:val="18"/>
                <w:szCs w:val="18"/>
              </w:rPr>
              <w:t>Connector</w:t>
            </w:r>
          </w:p>
        </w:tc>
      </w:tr>
      <w:tr w:rsidR="00FE782F" w:rsidRPr="00BB5519" w:rsidTr="00FE782F">
        <w:trPr>
          <w:trHeight w:val="199"/>
        </w:trPr>
        <w:tc>
          <w:tcPr>
            <w:tcW w:w="1750" w:type="dxa"/>
            <w:tcBorders>
              <w:top w:val="single" w:sz="4" w:space="0" w:color="auto"/>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API-Zugriff erstellen</w:t>
            </w:r>
          </w:p>
        </w:tc>
        <w:tc>
          <w:tcPr>
            <w:tcW w:w="738" w:type="dxa"/>
            <w:tcBorders>
              <w:top w:val="single" w:sz="4" w:space="0" w:color="auto"/>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4" w:space="0" w:color="auto"/>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4" w:space="0" w:color="auto"/>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4" w:space="0" w:color="auto"/>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4" w:space="0" w:color="auto"/>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4" w:space="0" w:color="auto"/>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rPr>
          <w:trHeight w:val="352"/>
        </w:trPr>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API-Zugriff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API-Zugriff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Leads durch API-Zugriff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API-Zugriff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Notizen durch API-Zugriff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API-Zugriff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API-Zugriff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API-Zugriff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93961"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F93961">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lastRenderedPageBreak/>
              <w:t>Fälle durch API-Zugriff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F93961">
            <w:pPr>
              <w:pStyle w:val="TableText"/>
              <w:keepNext/>
              <w:keepLines/>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F93961">
            <w:pPr>
              <w:pStyle w:val="TableText"/>
              <w:keepNext/>
              <w:keepLines/>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F93961">
            <w:pPr>
              <w:pStyle w:val="TableText"/>
              <w:keepNext/>
              <w:keepLines/>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F93961">
            <w:pPr>
              <w:pStyle w:val="TableText"/>
              <w:keepNext/>
              <w:keepLines/>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F93961">
            <w:pPr>
              <w:pStyle w:val="TableText"/>
              <w:keepNext/>
              <w:keepLines/>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F93961">
            <w:pPr>
              <w:pStyle w:val="TableText"/>
              <w:keepNext/>
              <w:keepLines/>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Leads durch API-Zugriff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0564E">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API-Zugriff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Notizen durch API-Zugriff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API-Zugriff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API-Zugriff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API-Zugriff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API-Zugriff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Leads durch API-Zugriff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API-Zugriff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Notizen durch API-Zugriff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API-Zugriff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API-Zugriff an Konten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API-Zugriff an Konten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API-Zugriff an Fälle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API-Zugriff an Leads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API-Zugriff an Aktivitäten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API-Zugriff an Notizen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API-Zugriff an benutzerdefinierte Entitätsdatensätze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API-Zugriff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API-Zugriff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API-Zugriff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lastRenderedPageBreak/>
              <w:t>Leads durch API-Zugriff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API-Zugriff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Notizen durch API-Zugriff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API-Zugriff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API-Zugriff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API-Zugriff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API-Zugriff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Leads durch API-Zugriff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API-Zugriff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API-Zugriff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API-Zugriff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API-Zugriff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API-Zugriff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Leads durch API-Zugriff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API-Zugriff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API-Zugriff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Microsoft Dynamics CRM-Clients erstellen</w:t>
            </w:r>
            <w:r w:rsidRPr="00BB5519">
              <w:rPr>
                <w:rFonts w:ascii="Tahoma" w:eastAsia="Calibri" w:hAnsi="Tahoma" w:cs="Tahoma"/>
                <w:b/>
                <w:sz w:val="18"/>
                <w:szCs w:val="18"/>
                <w:vertAlign w:val="superscript"/>
                <w:lang w:val="de-DE"/>
              </w:rPr>
              <w:t>1</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Microsoft Dynamics CRM-Clients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lastRenderedPageBreak/>
              <w:t>Fälle durch Microsoft Dynamics CRM-Clients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rPr>
            </w:pPr>
            <w:r w:rsidRPr="00BB5519">
              <w:rPr>
                <w:rFonts w:ascii="Tahoma" w:eastAsia="Calibri" w:hAnsi="Tahoma" w:cs="Tahoma"/>
                <w:sz w:val="18"/>
                <w:szCs w:val="18"/>
              </w:rPr>
              <w:t>Leads durch Microsoft Dynamics CRM-Clients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Microsoft Dynamics CRM-Clients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Notizen durch Microsoft Dynamics CRM-Clients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Microsoft Dynamics CRM-Clients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Microsoft Dynamics CRM-Clients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Microsoft Dynamics CRM-Clients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Leads durch Microsoft Dynamics CRM-Clients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Microsoft Dynamics CRM-Clients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244F0" w:rsidRDefault="0033725C" w:rsidP="00A73DBD">
            <w:pPr>
              <w:pStyle w:val="TableText"/>
              <w:jc w:val="left"/>
              <w:rPr>
                <w:rFonts w:ascii="Tahoma" w:eastAsia="Calibri" w:hAnsi="Tahoma" w:cs="Tahoma"/>
                <w:sz w:val="18"/>
                <w:szCs w:val="18"/>
                <w:lang w:val="de-DE"/>
              </w:rPr>
            </w:pPr>
            <w:r w:rsidRPr="00D244F0">
              <w:rPr>
                <w:rFonts w:ascii="Tahoma" w:eastAsia="Calibri" w:hAnsi="Tahoma" w:cs="Tahoma"/>
                <w:sz w:val="18"/>
                <w:szCs w:val="18"/>
                <w:lang w:val="de-DE"/>
              </w:rPr>
              <w:t>Notizen durch Microsoft Dynamics CRM-Clients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244F0"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Microsoft Dynamics CRM-Clients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Microsoft Dynamics CRM-Clients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Microsoft Dynamics CRM-Clients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rPr>
            </w:pPr>
            <w:r w:rsidRPr="00BB5519">
              <w:rPr>
                <w:rFonts w:ascii="Tahoma" w:eastAsia="Calibri" w:hAnsi="Tahoma" w:cs="Tahoma"/>
                <w:sz w:val="18"/>
                <w:szCs w:val="18"/>
              </w:rPr>
              <w:lastRenderedPageBreak/>
              <w:t>Leads durch Microsoft Dynamics CRM-Clients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Microsoft Dynamics CRM-Clients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244F0" w:rsidRDefault="0033725C" w:rsidP="00A73DBD">
            <w:pPr>
              <w:pStyle w:val="TableText"/>
              <w:jc w:val="left"/>
              <w:rPr>
                <w:rFonts w:ascii="Tahoma" w:eastAsia="Calibri" w:hAnsi="Tahoma" w:cs="Tahoma"/>
                <w:sz w:val="18"/>
                <w:szCs w:val="18"/>
                <w:lang w:val="de-DE"/>
              </w:rPr>
            </w:pPr>
            <w:r w:rsidRPr="00D244F0">
              <w:rPr>
                <w:rFonts w:ascii="Tahoma" w:eastAsia="Calibri" w:hAnsi="Tahoma" w:cs="Tahoma"/>
                <w:sz w:val="18"/>
                <w:szCs w:val="18"/>
                <w:lang w:val="de-DE"/>
              </w:rPr>
              <w:t>Notizen durch Microsoft Dynamics CRM-Clients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244F0"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Microsoft Dynamics CRM-Clients an Konten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Microsoft Dynamics CRM-Clients an Kontakte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Microsoft Dynamics CRM-Clients an Fälle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Durch Microsoft Dynamics CRM-Clients an Leads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Microsoft Dynamics CRM-Clients an Aktivitäten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Microsoft Dynamics CRM-Clients an Notizen anfügen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Microsoft Dynamics CRM-Clients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244F0" w:rsidRDefault="0033725C" w:rsidP="00A73DBD">
            <w:pPr>
              <w:pStyle w:val="TableText"/>
              <w:jc w:val="left"/>
              <w:rPr>
                <w:rFonts w:ascii="Tahoma" w:eastAsia="Calibri" w:hAnsi="Tahoma" w:cs="Tahoma"/>
                <w:sz w:val="18"/>
                <w:szCs w:val="18"/>
                <w:lang w:val="de-DE"/>
              </w:rPr>
            </w:pPr>
            <w:r w:rsidRPr="00D244F0">
              <w:rPr>
                <w:rFonts w:ascii="Tahoma" w:eastAsia="Calibri" w:hAnsi="Tahoma" w:cs="Tahoma"/>
                <w:sz w:val="18"/>
                <w:szCs w:val="18"/>
                <w:lang w:val="de-DE"/>
              </w:rPr>
              <w:t>Kontakte durch Microsoft Dynamics CRM-Clients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244F0"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D244F0" w:rsidRDefault="0033725C" w:rsidP="00A73DBD">
            <w:pPr>
              <w:pStyle w:val="TableText"/>
              <w:jc w:val="left"/>
              <w:rPr>
                <w:rFonts w:ascii="Tahoma" w:eastAsia="Calibri" w:hAnsi="Tahoma" w:cs="Tahoma"/>
                <w:sz w:val="18"/>
                <w:szCs w:val="18"/>
                <w:lang w:val="de-DE"/>
              </w:rPr>
            </w:pPr>
            <w:r w:rsidRPr="00D244F0">
              <w:rPr>
                <w:rFonts w:ascii="Tahoma" w:eastAsia="Calibri" w:hAnsi="Tahoma" w:cs="Tahoma"/>
                <w:sz w:val="18"/>
                <w:szCs w:val="18"/>
                <w:lang w:val="de-DE"/>
              </w:rPr>
              <w:t>Fälle durch Microsoft Dynamics CRM-Clients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D244F0"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Leads durch Microsoft Dynamics CRM-Clients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Microsoft Dynamics CRM-Clients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rPr>
            </w:pPr>
            <w:r w:rsidRPr="00BB5519">
              <w:rPr>
                <w:rFonts w:ascii="Tahoma" w:eastAsia="Calibri" w:hAnsi="Tahoma" w:cs="Tahoma"/>
                <w:sz w:val="18"/>
                <w:szCs w:val="18"/>
              </w:rPr>
              <w:lastRenderedPageBreak/>
              <w:t>Notizen durch Microsoft Dynamics CRM-Clients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t>Konten durch Microsoft Dynamics CRM-Clients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Microsoft Dynamics CRM-Clients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Microsoft Dynamics CRM-Clients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Leads durch Microsoft Dynamics CRM-Clients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Microsoft Dynamics CRM-Clients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rPr>
          <w:trHeight w:val="309"/>
        </w:trPr>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Konten durch Microsoft Dynamics CRM-Clients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Kontakte durch Microsoft Dynamics CRM-Clients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Fälle durch Microsoft Dynamics CRM-Clients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Leads durch Microsoft Dynamics CRM-Clients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Aktivitäten durch Microsoft Dynamics CRM-Clients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ascii="Segoe" w:eastAsia="Calibri" w:hAnsi="Segoe"/>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2</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0564E">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Microsoft Dynamics CRM-Clients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eastAsia="Calibri" w:cs="Segoe UI"/>
                <w:b/>
                <w:sz w:val="24"/>
                <w:szCs w:val="24"/>
                <w:lang w:val="de-DE"/>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0564E">
            <w:pPr>
              <w:pStyle w:val="TableText"/>
              <w:keepNext/>
              <w:keepLines/>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Microsoft Dynamics CRM-Clients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lastRenderedPageBreak/>
              <w:t>Berechtigung für benutzerdefinierte Aktivitätsdatensätze durch Microsoft Dynamics CRM-Clients anhängen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3</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3</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 xml:space="preserve">Berechtigung für benutzerdefinierte Entitätsdatensätze (außer benutzerdefinierte </w:t>
            </w:r>
            <w:r w:rsidRPr="000A72E8">
              <w:rPr>
                <w:rFonts w:ascii="Tahoma" w:eastAsia="Calibri" w:hAnsi="Tahoma" w:cs="Tahoma"/>
                <w:spacing w:val="-4"/>
                <w:sz w:val="18"/>
                <w:szCs w:val="18"/>
                <w:lang w:val="de-DE"/>
              </w:rPr>
              <w:t>Aktivitätsdatensätze)</w:t>
            </w:r>
            <w:r w:rsidRPr="00BB5519">
              <w:rPr>
                <w:rFonts w:ascii="Tahoma" w:eastAsia="Calibri" w:hAnsi="Tahoma" w:cs="Tahoma"/>
                <w:sz w:val="18"/>
                <w:szCs w:val="18"/>
                <w:lang w:val="de-DE"/>
              </w:rPr>
              <w:t xml:space="preserve"> durch Microsoft Dynamics CRM-Clients anhängen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Durch Microsoft Dynamics CRM-Clients an Berechtigung für benutzerdefinierte Entitätsdatensätze anhängen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Microsoft Dynamics CRM-Clients löschen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Microsoft Dynamics CRM-Clients zuweisen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Benutzerdefinierte Entitätsdatensätze durch Microsoft Dynamics CRM-Clients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Customer Care Accelerator Framework</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„Erweiterte Suchabfragen“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„Erweiterte Suchabfragen“ speichern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Persönliche Ansichten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Systemdashboard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auto"/>
          </w:tcPr>
          <w:p w:rsidR="0033725C" w:rsidRPr="00BB5519" w:rsidRDefault="0033725C" w:rsidP="00A73DBD">
            <w:pPr>
              <w:pStyle w:val="TableText"/>
              <w:rPr>
                <w:rFonts w:eastAsia="Calibri" w:cs="Segoe UI"/>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Systemdashboard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auto"/>
          </w:tcPr>
          <w:p w:rsidR="0033725C" w:rsidRPr="00BB5519" w:rsidRDefault="0033725C" w:rsidP="00A73DBD">
            <w:pPr>
              <w:pStyle w:val="TableText"/>
              <w:rPr>
                <w:rFonts w:eastAsia="Calibri" w:cs="Segoe UI"/>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rPr>
            </w:pPr>
            <w:r w:rsidRPr="00BB5519">
              <w:rPr>
                <w:rFonts w:ascii="Tahoma" w:eastAsia="Calibri" w:hAnsi="Tahoma" w:cs="Tahoma"/>
                <w:sz w:val="18"/>
                <w:szCs w:val="18"/>
              </w:rPr>
              <w:lastRenderedPageBreak/>
              <w:t>Persönliches Dashboard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Persönliches Dashboard freigeben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Workflow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Workflow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Automatisierten Workflow ausführen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auto"/>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5</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5</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Bedarfsgesteuerten Workflow ausführen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auto"/>
          </w:tcPr>
          <w:p w:rsidR="0033725C" w:rsidRPr="00BB5519" w:rsidRDefault="0033725C" w:rsidP="00A73DBD">
            <w:pPr>
              <w:pStyle w:val="TableText"/>
              <w:rPr>
                <w:rFonts w:eastAsia="Calibri" w:cs="Segoe UI"/>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Dialog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Dialog aktualisieren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Dialog starten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auto"/>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5</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5</w:t>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Bericht erstellen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Bericht ausführen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Seriendruck ausführen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rPr>
            </w:pPr>
            <w:r w:rsidRPr="00BB5519">
              <w:rPr>
                <w:rFonts w:ascii="Tahoma" w:eastAsia="Calibri" w:hAnsi="Tahoma" w:cs="Tahoma"/>
                <w:sz w:val="18"/>
                <w:szCs w:val="18"/>
              </w:rPr>
              <w:t>Daten in Microsoft Excel exportieren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Aktivitätsfeeds für Konten, Kontakte, Leads und Benutzerdefinierte Entitätsdatensätze durch API-Zugriff verfolgen und veröffentlichen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Aktivitätsfeeds für Dynamics CRM-Standardentitäts</w:t>
            </w:r>
            <w:r w:rsidR="000A72E8">
              <w:rPr>
                <w:rFonts w:ascii="Tahoma" w:eastAsia="Calibri" w:hAnsi="Tahoma" w:cs="Tahoma"/>
                <w:sz w:val="18"/>
                <w:szCs w:val="18"/>
                <w:lang w:val="de-DE"/>
              </w:rPr>
              <w:t>-</w:t>
            </w:r>
            <w:r w:rsidRPr="00BB5519">
              <w:rPr>
                <w:rFonts w:ascii="Tahoma" w:eastAsia="Calibri" w:hAnsi="Tahoma" w:cs="Tahoma"/>
                <w:sz w:val="18"/>
                <w:szCs w:val="18"/>
                <w:lang w:val="de-DE"/>
              </w:rPr>
              <w:t>datensätze durch Dynamics CRM-Clients verfolgen und veröffentlichen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FE782F"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A73DBD">
            <w:pPr>
              <w:pStyle w:val="TableText"/>
              <w:jc w:val="left"/>
              <w:rPr>
                <w:rFonts w:ascii="Tahoma" w:eastAsia="Calibri" w:hAnsi="Tahoma" w:cs="Tahoma"/>
                <w:sz w:val="18"/>
                <w:szCs w:val="18"/>
                <w:lang w:val="de-DE"/>
              </w:rPr>
            </w:pPr>
            <w:r w:rsidRPr="00BB5519">
              <w:rPr>
                <w:rFonts w:ascii="Tahoma" w:eastAsia="Calibri" w:hAnsi="Tahoma" w:cs="Tahoma"/>
                <w:sz w:val="18"/>
                <w:szCs w:val="18"/>
                <w:lang w:val="de-DE"/>
              </w:rPr>
              <w:t>Aktivitätsfeeds für benutzerdefinierte Entitätsdatensätze durch Dynamics CRM-Clients verfolgen und veröffentlichen</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lang w:val="de-DE"/>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A73DBD">
            <w:pPr>
              <w:pStyle w:val="TableText"/>
              <w:rPr>
                <w:rFonts w:eastAsia="Calibri" w:cs="Segoe UI"/>
                <w:b/>
                <w:sz w:val="24"/>
                <w:szCs w:val="24"/>
              </w:rPr>
            </w:pP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lastRenderedPageBreak/>
              <w:t>Lesezugriff auf gesamte Microsoft Dynamics CRM-Funktionalität</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4</w:t>
            </w:r>
          </w:p>
        </w:tc>
      </w:tr>
      <w:tr w:rsidR="000A72E8" w:rsidRPr="00BB5519" w:rsidTr="00FE782F">
        <w:tc>
          <w:tcPr>
            <w:tcW w:w="1750" w:type="dxa"/>
            <w:tcBorders>
              <w:top w:val="single" w:sz="6" w:space="0" w:color="1F497D"/>
              <w:left w:val="single" w:sz="4" w:space="0" w:color="072B61"/>
              <w:bottom w:val="single" w:sz="6" w:space="0" w:color="1F497D"/>
              <w:right w:val="single" w:sz="6" w:space="0" w:color="1F497D"/>
            </w:tcBorders>
            <w:shd w:val="clear" w:color="auto" w:fill="FFFFFF"/>
          </w:tcPr>
          <w:p w:rsidR="0033725C" w:rsidRPr="00BB5519" w:rsidRDefault="0033725C" w:rsidP="000A72E8">
            <w:pPr>
              <w:pStyle w:val="TableText"/>
              <w:keepNext/>
              <w:keepLines/>
              <w:jc w:val="left"/>
              <w:rPr>
                <w:rFonts w:ascii="Tahoma" w:eastAsia="Calibri" w:hAnsi="Tahoma" w:cs="Tahoma"/>
                <w:sz w:val="18"/>
                <w:szCs w:val="18"/>
                <w:lang w:val="de-DE"/>
              </w:rPr>
            </w:pPr>
            <w:r w:rsidRPr="00BB5519">
              <w:rPr>
                <w:rFonts w:ascii="Tahoma" w:eastAsia="Calibri" w:hAnsi="Tahoma" w:cs="Tahoma"/>
                <w:sz w:val="18"/>
                <w:szCs w:val="18"/>
                <w:lang w:val="de-DE"/>
              </w:rPr>
              <w:t>Schreibzugriff auf gesamte Microsoft Dynamics CRM-Funktionalität</w:t>
            </w:r>
          </w:p>
        </w:tc>
        <w:tc>
          <w:tcPr>
            <w:tcW w:w="73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lang w:val="de-DE"/>
              </w:rPr>
            </w:pP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lang w:val="de-DE"/>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809"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p>
        </w:tc>
        <w:tc>
          <w:tcPr>
            <w:tcW w:w="1548"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p>
        </w:tc>
        <w:tc>
          <w:tcPr>
            <w:tcW w:w="1215" w:type="dxa"/>
            <w:tcBorders>
              <w:top w:val="single" w:sz="6" w:space="0" w:color="1F497D"/>
              <w:left w:val="single" w:sz="6" w:space="0" w:color="1F497D"/>
              <w:bottom w:val="single" w:sz="6" w:space="0" w:color="1F497D"/>
              <w:right w:val="single" w:sz="6" w:space="0" w:color="1F497D"/>
            </w:tcBorders>
            <w:shd w:val="clear" w:color="auto" w:fill="FFFFFF"/>
          </w:tcPr>
          <w:p w:rsidR="0033725C" w:rsidRPr="00BB5519" w:rsidRDefault="0033725C" w:rsidP="000A72E8">
            <w:pPr>
              <w:pStyle w:val="TableText"/>
              <w:keepNext/>
              <w:keepLines/>
              <w:rPr>
                <w:rFonts w:eastAsia="Calibri" w:cs="Segoe UI"/>
                <w:b/>
                <w:sz w:val="24"/>
                <w:szCs w:val="24"/>
              </w:rPr>
            </w:pPr>
            <w:r w:rsidRPr="00BB5519">
              <w:rPr>
                <w:rFonts w:eastAsia="Calibri" w:cs="Segoe UI"/>
                <w:b/>
                <w:sz w:val="24"/>
                <w:szCs w:val="24"/>
              </w:rPr>
              <w:sym w:font="Wingdings" w:char="00FC"/>
            </w:r>
            <w:r w:rsidRPr="00BB5519">
              <w:rPr>
                <w:rFonts w:eastAsia="Calibri" w:cs="Segoe UI"/>
                <w:b/>
                <w:sz w:val="24"/>
                <w:szCs w:val="24"/>
                <w:vertAlign w:val="superscript"/>
              </w:rPr>
              <w:t>4</w:t>
            </w:r>
          </w:p>
        </w:tc>
      </w:tr>
      <w:tr w:rsidR="0033725C" w:rsidRPr="00D244F0" w:rsidTr="00FE782F">
        <w:tc>
          <w:tcPr>
            <w:tcW w:w="9580"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E0271A" w:rsidRDefault="0033725C" w:rsidP="000A72E8">
            <w:pPr>
              <w:pStyle w:val="TableText"/>
              <w:keepNext/>
              <w:keepLines/>
              <w:jc w:val="left"/>
            </w:pPr>
            <w:r w:rsidRPr="00E0271A">
              <w:rPr>
                <w:rFonts w:ascii="Tahoma" w:eastAsia="Calibri" w:hAnsi="Tahoma" w:cs="Tahoma"/>
                <w:i/>
                <w:sz w:val="14"/>
                <w:szCs w:val="18"/>
              </w:rPr>
              <w:t xml:space="preserve">(1) Microsoft Dynamics CRM-Webclient, Microsoft Dynamics CRM-Client für Microsoft Outlook und Mobile Express für </w:t>
            </w:r>
            <w:r w:rsidR="009374EE" w:rsidRPr="00E0271A">
              <w:rPr>
                <w:rFonts w:ascii="Tahoma" w:eastAsia="Calibri" w:hAnsi="Tahoma" w:cs="Tahoma"/>
                <w:i/>
                <w:sz w:val="14"/>
                <w:szCs w:val="18"/>
              </w:rPr>
              <w:br/>
            </w:r>
            <w:r w:rsidRPr="00E0271A">
              <w:rPr>
                <w:rFonts w:ascii="Tahoma" w:eastAsia="Calibri" w:hAnsi="Tahoma" w:cs="Tahoma"/>
                <w:i/>
                <w:sz w:val="14"/>
                <w:szCs w:val="18"/>
              </w:rPr>
              <w:t>Microsoft Dynamics CRM.</w:t>
            </w:r>
          </w:p>
          <w:p w:rsidR="0033725C" w:rsidRPr="00BB5519" w:rsidRDefault="0033725C" w:rsidP="000A72E8">
            <w:pPr>
              <w:pStyle w:val="TableText"/>
              <w:keepNext/>
              <w:keepLines/>
              <w:jc w:val="left"/>
              <w:rPr>
                <w:lang w:val="de-DE"/>
              </w:rPr>
            </w:pPr>
            <w:r w:rsidRPr="00BB5519">
              <w:rPr>
                <w:rFonts w:ascii="Tahoma" w:eastAsia="Calibri" w:hAnsi="Tahoma" w:cs="Tahoma"/>
                <w:i/>
                <w:sz w:val="14"/>
                <w:szCs w:val="18"/>
                <w:lang w:val="de-DE"/>
              </w:rPr>
              <w:t>(2) Berechtigungen sind nur auf Datensätze anwendbar, die vom selben Nutzer erstellt wurden.</w:t>
            </w:r>
          </w:p>
          <w:p w:rsidR="0033725C" w:rsidRPr="00BB5519" w:rsidRDefault="0033725C" w:rsidP="000A72E8">
            <w:pPr>
              <w:pStyle w:val="TableText"/>
              <w:keepNext/>
              <w:keepLines/>
              <w:jc w:val="left"/>
              <w:rPr>
                <w:lang w:val="de-DE"/>
              </w:rPr>
            </w:pPr>
            <w:r w:rsidRPr="00BB5519">
              <w:rPr>
                <w:rFonts w:ascii="Tahoma" w:eastAsia="Calibri" w:hAnsi="Tahoma" w:cs="Tahoma"/>
                <w:i/>
                <w:sz w:val="14"/>
                <w:szCs w:val="18"/>
                <w:lang w:val="de-DE"/>
              </w:rPr>
              <w:t>(3) Datensätze sind NUR auf benutzerdefinierte Aktivitäten anwendbar.</w:t>
            </w:r>
          </w:p>
          <w:p w:rsidR="0033725C" w:rsidRPr="00BB5519" w:rsidRDefault="0033725C" w:rsidP="000A72E8">
            <w:pPr>
              <w:keepNext/>
              <w:keepLines/>
              <w:rPr>
                <w:lang w:val="de-DE"/>
              </w:rPr>
            </w:pPr>
            <w:r w:rsidRPr="00BB5519">
              <w:rPr>
                <w:rFonts w:eastAsia="Calibri" w:cs="Segoe UI"/>
                <w:i/>
                <w:sz w:val="14"/>
                <w:szCs w:val="18"/>
                <w:lang w:val="de-DE"/>
              </w:rPr>
              <w:t xml:space="preserve">(4) Berechtigungen zum Erstellen von Datensätzen, </w:t>
            </w:r>
            <w:r w:rsidRPr="00BB5519">
              <w:rPr>
                <w:rFonts w:eastAsia="Calibri"/>
                <w:bCs/>
                <w:i/>
                <w:sz w:val="14"/>
                <w:szCs w:val="18"/>
                <w:lang w:val="de-DE"/>
              </w:rPr>
              <w:t>Anhängen, Anhängen an und Aktualisieren von</w:t>
            </w:r>
            <w:r w:rsidRPr="00BB5519">
              <w:rPr>
                <w:rFonts w:eastAsia="Calibri"/>
                <w:i/>
                <w:sz w:val="14"/>
                <w:szCs w:val="18"/>
                <w:lang w:val="de-DE"/>
              </w:rPr>
              <w:t xml:space="preserve"> </w:t>
            </w:r>
            <w:r w:rsidRPr="00BB5519">
              <w:rPr>
                <w:rFonts w:eastAsia="Calibri"/>
                <w:bCs/>
                <w:i/>
                <w:sz w:val="14"/>
                <w:szCs w:val="18"/>
                <w:lang w:val="de-DE"/>
              </w:rPr>
              <w:t xml:space="preserve">Datensätzen, die von einem </w:t>
            </w:r>
            <w:r w:rsidR="0000564E">
              <w:rPr>
                <w:rFonts w:eastAsia="Calibri"/>
                <w:bCs/>
                <w:i/>
                <w:sz w:val="14"/>
                <w:szCs w:val="18"/>
                <w:lang w:val="de-DE"/>
              </w:rPr>
              <w:br/>
            </w:r>
            <w:r w:rsidRPr="00BB5519">
              <w:rPr>
                <w:rFonts w:eastAsia="Calibri"/>
                <w:bCs/>
                <w:i/>
                <w:sz w:val="14"/>
                <w:szCs w:val="18"/>
                <w:lang w:val="de-DE"/>
              </w:rPr>
              <w:t xml:space="preserve">CRM-Nutzer erstellt wurden. </w:t>
            </w:r>
            <w:r w:rsidRPr="00BB5519">
              <w:rPr>
                <w:rFonts w:eastAsia="Calibri"/>
                <w:bCs/>
                <w:i/>
                <w:sz w:val="14"/>
                <w:szCs w:val="18"/>
                <w:u w:val="single"/>
                <w:lang w:val="de-DE"/>
              </w:rPr>
              <w:t>Keine Datenberechtigungen</w:t>
            </w:r>
            <w:r w:rsidRPr="00BB5519">
              <w:rPr>
                <w:rFonts w:eastAsia="Calibri"/>
                <w:i/>
                <w:sz w:val="14"/>
                <w:szCs w:val="18"/>
                <w:lang w:val="de-DE"/>
              </w:rPr>
              <w:t xml:space="preserve"> zum </w:t>
            </w:r>
            <w:r w:rsidRPr="00BB5519">
              <w:rPr>
                <w:rFonts w:eastAsia="Calibri"/>
                <w:bCs/>
                <w:i/>
                <w:sz w:val="14"/>
                <w:szCs w:val="18"/>
                <w:lang w:val="de-DE"/>
              </w:rPr>
              <w:t>Zuweisen, Freigeben oder Löschen</w:t>
            </w:r>
            <w:r w:rsidRPr="00BB5519">
              <w:rPr>
                <w:rFonts w:eastAsia="Calibri"/>
                <w:i/>
                <w:sz w:val="14"/>
                <w:szCs w:val="18"/>
                <w:lang w:val="de-DE"/>
              </w:rPr>
              <w:t xml:space="preserve"> von Datensätzen. </w:t>
            </w:r>
            <w:r w:rsidRPr="00BB5519">
              <w:rPr>
                <w:rFonts w:eastAsia="Calibri"/>
                <w:bCs/>
                <w:i/>
                <w:sz w:val="14"/>
                <w:szCs w:val="18"/>
                <w:lang w:val="de-DE"/>
              </w:rPr>
              <w:t>Nur API-Zugriff.</w:t>
            </w:r>
          </w:p>
          <w:p w:rsidR="0033725C" w:rsidRPr="00BB5519" w:rsidRDefault="0033725C" w:rsidP="000A72E8">
            <w:pPr>
              <w:keepNext/>
              <w:keepLines/>
              <w:rPr>
                <w:rFonts w:eastAsia="Calibri"/>
                <w:b/>
                <w:bCs/>
                <w:szCs w:val="18"/>
                <w:lang w:val="de-DE"/>
              </w:rPr>
            </w:pPr>
            <w:r w:rsidRPr="00BB5519">
              <w:rPr>
                <w:rFonts w:eastAsia="Calibri" w:cs="Segoe UI"/>
                <w:i/>
                <w:sz w:val="14"/>
                <w:szCs w:val="18"/>
                <w:lang w:val="de-DE"/>
              </w:rPr>
              <w:t xml:space="preserve">(5) </w:t>
            </w:r>
            <w:r w:rsidRPr="00BB5519">
              <w:rPr>
                <w:rFonts w:eastAsia="Calibri"/>
                <w:i/>
                <w:sz w:val="14"/>
                <w:lang w:val="de-DE"/>
              </w:rPr>
              <w:t>Nur Konten, Kontakte, Fälle, Leads, Aktivitäten und Benutzerdefinierte Entitätsdatensätze.</w:t>
            </w:r>
            <w:r w:rsidRPr="00BB5519">
              <w:rPr>
                <w:rFonts w:eastAsia="Calibri" w:cs="Segoe UI"/>
                <w:b/>
                <w:sz w:val="14"/>
                <w:szCs w:val="18"/>
                <w:lang w:val="de-DE"/>
              </w:rPr>
              <w:t xml:space="preserve"> </w:t>
            </w:r>
          </w:p>
        </w:tc>
      </w:tr>
    </w:tbl>
    <w:p w:rsidR="0033725C" w:rsidRPr="00BB5519" w:rsidRDefault="0033725C" w:rsidP="00D47417">
      <w:pPr>
        <w:ind w:left="540"/>
        <w:rPr>
          <w:lang w:val="de-DE"/>
        </w:rPr>
      </w:pPr>
    </w:p>
    <w:p w:rsidR="00BF7FDE" w:rsidRPr="00BB5519" w:rsidRDefault="0033725C" w:rsidP="007B699C">
      <w:pPr>
        <w:ind w:left="720"/>
        <w:rPr>
          <w:lang w:val="de-DE"/>
        </w:rPr>
      </w:pPr>
      <w:r w:rsidRPr="00BB5519">
        <w:rPr>
          <w:lang w:val="de-DE"/>
        </w:rPr>
        <w:t>Weitere Informationen zu Microsoft Dynamics CRM-Lizenzen finden Sie im Preis- und Lizenzleitfaden zu Microsoft Dynamics CRM 2011.</w:t>
      </w:r>
      <w:bookmarkStart w:id="1378" w:name="_69_Office_365"/>
      <w:bookmarkStart w:id="1379" w:name="_69_68_Office"/>
      <w:bookmarkEnd w:id="1378"/>
      <w:bookmarkEnd w:id="1379"/>
    </w:p>
    <w:p w:rsidR="006E28CC" w:rsidRPr="00BB5519" w:rsidRDefault="006E28CC" w:rsidP="006D6A83">
      <w:pPr>
        <w:rPr>
          <w:lang w:val="de-DE"/>
        </w:rPr>
      </w:pPr>
      <w:bookmarkStart w:id="1380" w:name="_71_Office_365_1"/>
      <w:bookmarkStart w:id="1381" w:name="_Toc336338329"/>
      <w:bookmarkStart w:id="1382" w:name="Srv_70Office365PlanE1"/>
      <w:bookmarkEnd w:id="1380"/>
    </w:p>
    <w:p w:rsidR="006E28CC" w:rsidRPr="00BB5519" w:rsidRDefault="006E28CC" w:rsidP="006D6A83">
      <w:pPr>
        <w:rPr>
          <w:lang w:val="de-DE"/>
        </w:rPr>
      </w:pPr>
    </w:p>
    <w:p w:rsidR="006E28CC" w:rsidRPr="00BB5519" w:rsidRDefault="00F66FB0" w:rsidP="009C5D30">
      <w:pPr>
        <w:pStyle w:val="Heading2"/>
        <w:ind w:left="0"/>
        <w:rPr>
          <w:lang w:val="de-DE"/>
        </w:rPr>
      </w:pPr>
      <w:bookmarkStart w:id="1383" w:name="_66_Microsoft_Dynamics"/>
      <w:bookmarkStart w:id="1384" w:name="_Toc354055023"/>
      <w:bookmarkEnd w:id="1383"/>
      <w:r w:rsidRPr="00BB5519">
        <w:rPr>
          <w:rFonts w:ascii="Tahoma" w:hAnsi="Tahoma" w:cs="Tahoma"/>
          <w:caps/>
          <w:color w:val="FF6600"/>
          <w:sz w:val="22"/>
          <w:szCs w:val="22"/>
          <w:vertAlign w:val="superscript"/>
          <w:lang w:val="de-DE"/>
        </w:rPr>
        <w:t xml:space="preserve">68 </w:t>
      </w:r>
      <w:r w:rsidRPr="00BB5519">
        <w:rPr>
          <w:rFonts w:ascii="Tahoma" w:hAnsi="Tahoma" w:cs="Tahoma"/>
          <w:color w:val="FF6600"/>
          <w:sz w:val="22"/>
          <w:szCs w:val="22"/>
          <w:lang w:val="de-DE"/>
        </w:rPr>
        <w:t>Microsoft Dynamics CRM 2011 Server</w:t>
      </w:r>
      <w:bookmarkEnd w:id="1384"/>
    </w:p>
    <w:p w:rsidR="006E28CC" w:rsidRPr="00BB5519" w:rsidRDefault="006E28CC" w:rsidP="006E28CC">
      <w:pPr>
        <w:tabs>
          <w:tab w:val="left" w:pos="1800"/>
        </w:tabs>
        <w:spacing w:after="60"/>
        <w:rPr>
          <w:lang w:val="de-DE"/>
        </w:rPr>
      </w:pPr>
    </w:p>
    <w:p w:rsidR="006E28CC" w:rsidRPr="00BB5519" w:rsidRDefault="006E28CC" w:rsidP="009C5D30">
      <w:pPr>
        <w:spacing w:after="60"/>
        <w:ind w:left="720"/>
        <w:rPr>
          <w:lang w:val="de-DE"/>
        </w:rPr>
      </w:pPr>
      <w:r w:rsidRPr="00BB5519">
        <w:rPr>
          <w:b/>
          <w:lang w:val="de-DE"/>
        </w:rPr>
        <w:t>Microsoft Dynamics CRM Server 2011 – Microsoft Dynamics Marketing Online-Integrationsgewährung</w:t>
      </w:r>
    </w:p>
    <w:p w:rsidR="00A04495" w:rsidRDefault="006E28CC" w:rsidP="0004051B">
      <w:pPr>
        <w:ind w:left="720"/>
        <w:rPr>
          <w:rFonts w:eastAsia="Calibri" w:cs="Tahoma"/>
          <w:color w:val="000000"/>
          <w:szCs w:val="18"/>
          <w:lang w:val="de-DE"/>
        </w:rPr>
      </w:pPr>
      <w:r w:rsidRPr="00BB5519">
        <w:rPr>
          <w:rFonts w:eastAsia="Calibri" w:cs="Tahoma"/>
          <w:color w:val="000000"/>
          <w:szCs w:val="18"/>
          <w:lang w:val="de-DE"/>
        </w:rPr>
        <w:t xml:space="preserve">Der folgende Lizenzverzicht gilt für lizenzierte Nutzer von Microsoft Dynamics Marketing Online mit aktivem Wartungssupport und Upgrade-Option für den direkten oder indirekten Zugriff auf den Microsoft Dynamics CRM Server 2011 über den </w:t>
      </w:r>
      <w:r w:rsidRPr="00BB5519">
        <w:rPr>
          <w:bCs/>
          <w:lang w:val="de-DE"/>
        </w:rPr>
        <w:t>MarketingPilot Connector für Microsoft Dynamics CRM-</w:t>
      </w:r>
      <w:r w:rsidRPr="00BB5519">
        <w:rPr>
          <w:rFonts w:eastAsia="Calibri" w:cs="Tahoma"/>
          <w:color w:val="000000"/>
          <w:szCs w:val="18"/>
          <w:lang w:val="de-DE"/>
        </w:rPr>
        <w:t>Software ausschließlich zum Synchronisieren von Kundendaten.</w:t>
      </w:r>
      <w:r w:rsidR="009E4976" w:rsidRPr="00BB5519">
        <w:rPr>
          <w:rFonts w:eastAsia="Calibri" w:cs="Tahoma"/>
          <w:color w:val="000000"/>
          <w:szCs w:val="18"/>
          <w:lang w:val="de-DE"/>
        </w:rPr>
        <w:t xml:space="preserve"> </w:t>
      </w:r>
      <w:r w:rsidRPr="00BB5519">
        <w:rPr>
          <w:rFonts w:eastAsia="Calibri" w:cs="Tahoma"/>
          <w:color w:val="000000"/>
          <w:szCs w:val="18"/>
          <w:lang w:val="de-DE"/>
        </w:rPr>
        <w:t>Diese Nutzer benötigen keine CAL für Microsoft Dynamics CRM 2011. Dieser Verzicht gilt bis zum 30. Juni 2014. Danach behält sich Microsoft das Recht vor, entsprechende CALs zu verlangen.</w:t>
      </w:r>
    </w:p>
    <w:p w:rsidR="000A72E8" w:rsidRDefault="000A72E8" w:rsidP="0004051B">
      <w:pPr>
        <w:ind w:left="720"/>
        <w:rPr>
          <w:rFonts w:eastAsia="Calibri" w:cs="Tahoma"/>
          <w:color w:val="000000"/>
          <w:szCs w:val="18"/>
          <w:lang w:val="de-DE"/>
        </w:rPr>
      </w:pPr>
    </w:p>
    <w:p w:rsidR="000A72E8" w:rsidRPr="00BB5519" w:rsidRDefault="000A72E8" w:rsidP="0004051B">
      <w:pPr>
        <w:ind w:left="720"/>
        <w:rPr>
          <w:lang w:val="de-DE"/>
        </w:rPr>
      </w:pPr>
    </w:p>
    <w:p w:rsidR="00D70D2C" w:rsidRPr="00BB5519" w:rsidRDefault="00F66FB0" w:rsidP="00021BF7">
      <w:pPr>
        <w:pStyle w:val="Heading2"/>
        <w:keepNext/>
        <w:keepLines/>
        <w:ind w:left="0"/>
        <w:rPr>
          <w:lang w:val="de-DE"/>
        </w:rPr>
      </w:pPr>
      <w:bookmarkStart w:id="1385" w:name="_70_68_Office"/>
      <w:bookmarkStart w:id="1386" w:name="_Toc354055024"/>
      <w:bookmarkEnd w:id="1385"/>
      <w:r w:rsidRPr="00BB5519">
        <w:rPr>
          <w:rFonts w:ascii="Tahoma" w:hAnsi="Tahoma" w:cs="Tahoma"/>
          <w:caps/>
          <w:color w:val="FF6600"/>
          <w:sz w:val="22"/>
          <w:szCs w:val="22"/>
          <w:vertAlign w:val="superscript"/>
          <w:lang w:val="de-DE"/>
        </w:rPr>
        <w:t>69</w:t>
      </w:r>
      <w:r w:rsidRPr="00BB5519">
        <w:rPr>
          <w:rFonts w:ascii="Tahoma" w:hAnsi="Tahoma" w:cs="Tahoma"/>
          <w:color w:val="FF6600"/>
          <w:lang w:val="de-DE"/>
        </w:rPr>
        <w:t xml:space="preserve"> </w:t>
      </w:r>
      <w:r w:rsidRPr="00BB5519">
        <w:rPr>
          <w:rFonts w:ascii="Tahoma" w:hAnsi="Tahoma" w:cs="Tahoma"/>
          <w:color w:val="FF6600"/>
          <w:sz w:val="22"/>
          <w:szCs w:val="22"/>
          <w:lang w:val="de-DE"/>
        </w:rPr>
        <w:t>Office 365 Enterprise E1</w:t>
      </w:r>
      <w:bookmarkEnd w:id="1381"/>
      <w:bookmarkEnd w:id="1386"/>
    </w:p>
    <w:bookmarkEnd w:id="1382"/>
    <w:p w:rsidR="00D70D2C" w:rsidRPr="00BB5519" w:rsidRDefault="00D70D2C" w:rsidP="00021BF7">
      <w:pPr>
        <w:keepNext/>
        <w:keepLines/>
        <w:ind w:left="900"/>
        <w:rPr>
          <w:lang w:val="de-DE"/>
        </w:rPr>
      </w:pPr>
    </w:p>
    <w:p w:rsidR="00F754FE" w:rsidRPr="00BB5519" w:rsidRDefault="00F754FE" w:rsidP="00021BF7">
      <w:pPr>
        <w:keepNext/>
        <w:keepLines/>
        <w:ind w:left="720"/>
        <w:rPr>
          <w:lang w:val="de-DE"/>
        </w:rPr>
      </w:pPr>
      <w:r w:rsidRPr="00BB5519">
        <w:rPr>
          <w:rFonts w:cs="Tahoma"/>
          <w:color w:val="000000"/>
          <w:szCs w:val="18"/>
          <w:lang w:val="de-DE"/>
        </w:rPr>
        <w:t>Office 365 Enterprise E1 hieß zuvor Business Productivity Online Standard Suite (BPOS Standard). Es bietet Zugriff auf Folgendes: Exchange Online Plan 1, SharePoint Online Plan 1, Lync Online Plan 2 und Office-Webanwendungen. Änderungen an dieser Liste sind vorbehalten. Die aktuellen Produktbenutzungsrechte finden bei Widersprüchen zwischen den Lizenzbestimmungen für Office 365 Enterprise E1 und diesem Hinweis Anwendung.</w:t>
      </w:r>
    </w:p>
    <w:p w:rsidR="00F754FE" w:rsidRPr="00BB5519" w:rsidRDefault="00F754FE" w:rsidP="00E62BC4">
      <w:pPr>
        <w:ind w:left="720"/>
        <w:rPr>
          <w:lang w:val="de-DE"/>
        </w:rPr>
      </w:pPr>
    </w:p>
    <w:p w:rsidR="00A15CF5" w:rsidRPr="00BB5519" w:rsidRDefault="00F754FE" w:rsidP="00A15CF5">
      <w:pPr>
        <w:ind w:left="720"/>
        <w:rPr>
          <w:lang w:val="de-DE"/>
        </w:rPr>
      </w:pPr>
      <w:r w:rsidRPr="00BB5519">
        <w:rPr>
          <w:rFonts w:cs="Tahoma"/>
          <w:color w:val="000000"/>
          <w:szCs w:val="18"/>
          <w:lang w:val="de-DE"/>
        </w:rPr>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9E4976" w:rsidRPr="00BB5519">
        <w:rPr>
          <w:rFonts w:cs="Tahoma"/>
          <w:color w:val="000000"/>
          <w:szCs w:val="18"/>
          <w:lang w:val="de-DE"/>
        </w:rPr>
        <w:t xml:space="preserve"> </w:t>
      </w:r>
      <w:r w:rsidRPr="00BB5519">
        <w:rPr>
          <w:rFonts w:cs="Tahoma"/>
          <w:color w:val="000000"/>
          <w:szCs w:val="18"/>
          <w:lang w:val="de-DE"/>
        </w:rPr>
        <w:t xml:space="preserve">Kunden sind berechtigt, den kostenlosen Lync Basic 2013-Client für ihre Windows-basierten Endbenutzer zu nutzen. </w:t>
      </w:r>
    </w:p>
    <w:p w:rsidR="00BE7AC3" w:rsidRPr="00BB5519" w:rsidRDefault="00BE7AC3" w:rsidP="00BA1490">
      <w:pPr>
        <w:ind w:left="720"/>
        <w:rPr>
          <w:lang w:val="de-DE"/>
        </w:rPr>
      </w:pPr>
      <w:bookmarkStart w:id="1387" w:name="_71_Office_365"/>
      <w:bookmarkEnd w:id="1387"/>
    </w:p>
    <w:p w:rsidR="00F1020A" w:rsidRDefault="00F1020A" w:rsidP="00BA1490">
      <w:pPr>
        <w:ind w:left="720"/>
        <w:rPr>
          <w:lang w:val="de-DE"/>
        </w:rPr>
      </w:pPr>
    </w:p>
    <w:p w:rsidR="000A72E8" w:rsidRDefault="000A72E8" w:rsidP="00BA1490">
      <w:pPr>
        <w:ind w:left="720"/>
        <w:rPr>
          <w:lang w:val="de-DE"/>
        </w:rPr>
      </w:pPr>
    </w:p>
    <w:p w:rsidR="000A72E8" w:rsidRDefault="000A72E8" w:rsidP="00BA1490">
      <w:pPr>
        <w:ind w:left="720"/>
        <w:rPr>
          <w:lang w:val="de-DE"/>
        </w:rPr>
      </w:pPr>
    </w:p>
    <w:p w:rsidR="000A72E8" w:rsidRDefault="000A72E8" w:rsidP="00BA1490">
      <w:pPr>
        <w:ind w:left="720"/>
        <w:rPr>
          <w:lang w:val="de-DE"/>
        </w:rPr>
      </w:pPr>
    </w:p>
    <w:p w:rsidR="000A72E8" w:rsidRDefault="000A72E8" w:rsidP="00BA1490">
      <w:pPr>
        <w:ind w:left="720"/>
        <w:rPr>
          <w:lang w:val="de-DE"/>
        </w:rPr>
      </w:pPr>
    </w:p>
    <w:p w:rsidR="000A72E8" w:rsidRPr="00BB5519" w:rsidRDefault="000A72E8" w:rsidP="00BA1490">
      <w:pPr>
        <w:ind w:left="720"/>
        <w:rPr>
          <w:lang w:val="de-DE"/>
        </w:rPr>
      </w:pPr>
    </w:p>
    <w:p w:rsidR="00BE7AC3" w:rsidRPr="00BB5519" w:rsidRDefault="00F66FB0" w:rsidP="00BE7AC3">
      <w:pPr>
        <w:pStyle w:val="Heading2"/>
        <w:ind w:left="0"/>
        <w:rPr>
          <w:lang w:val="de-DE"/>
        </w:rPr>
      </w:pPr>
      <w:bookmarkStart w:id="1388" w:name="_69_Office_365_1"/>
      <w:bookmarkStart w:id="1389" w:name="_Toc354055025"/>
      <w:bookmarkEnd w:id="1388"/>
      <w:r w:rsidRPr="00BB5519">
        <w:rPr>
          <w:rFonts w:ascii="Tahoma" w:hAnsi="Tahoma" w:cs="Tahoma"/>
          <w:caps/>
          <w:color w:val="F66400"/>
          <w:sz w:val="22"/>
          <w:szCs w:val="20"/>
          <w:vertAlign w:val="superscript"/>
          <w:lang w:val="de-DE"/>
        </w:rPr>
        <w:lastRenderedPageBreak/>
        <w:t xml:space="preserve">70 </w:t>
      </w:r>
      <w:r w:rsidRPr="00BB5519">
        <w:rPr>
          <w:rFonts w:ascii="Tahoma" w:hAnsi="Tahoma" w:cs="Tahoma"/>
          <w:color w:val="FF6600"/>
          <w:sz w:val="22"/>
          <w:szCs w:val="22"/>
          <w:lang w:val="de-DE"/>
        </w:rPr>
        <w:t>Office 365 Enterprise K1 und K2 (Nutzer-AL)</w:t>
      </w:r>
      <w:bookmarkEnd w:id="1389"/>
    </w:p>
    <w:p w:rsidR="00BE7AC3" w:rsidRPr="00BB5519" w:rsidRDefault="00BE7AC3" w:rsidP="00BE7AC3">
      <w:pPr>
        <w:ind w:left="720"/>
        <w:rPr>
          <w:lang w:val="de-DE"/>
        </w:rPr>
      </w:pPr>
    </w:p>
    <w:p w:rsidR="00BE7AC3" w:rsidRPr="00BB5519" w:rsidRDefault="00BE7AC3" w:rsidP="00392F42">
      <w:pPr>
        <w:ind w:left="720"/>
        <w:rPr>
          <w:lang w:val="de-DE"/>
        </w:rPr>
      </w:pPr>
      <w:r w:rsidRPr="00BB5519">
        <w:rPr>
          <w:rFonts w:cs="Tahoma"/>
          <w:color w:val="000000"/>
          <w:szCs w:val="18"/>
          <w:lang w:val="de-DE"/>
        </w:rPr>
        <w:t>Ungeachtet gegenteiliger Bestimmungen in den Lizenzverträgen von Kunden umfassen qualifizierte Nutzer</w:t>
      </w:r>
      <w:r w:rsidR="00392F42">
        <w:rPr>
          <w:rFonts w:cs="Tahoma"/>
          <w:color w:val="000000"/>
          <w:szCs w:val="18"/>
          <w:lang w:val="de-DE"/>
        </w:rPr>
        <w:t> </w:t>
      </w:r>
      <w:r w:rsidRPr="00BB5519">
        <w:rPr>
          <w:rFonts w:cs="Tahoma"/>
          <w:color w:val="000000"/>
          <w:szCs w:val="18"/>
          <w:lang w:val="de-DE"/>
        </w:rPr>
        <w:t>keine Nutzer mit Lizenzen für Exchange Online Kiosk, SharePoint Online Kiosk oder Office 365 Enterprise K1 oder K2.</w:t>
      </w:r>
    </w:p>
    <w:p w:rsidR="00BE7AC3" w:rsidRPr="00BB5519" w:rsidRDefault="00BE7AC3" w:rsidP="00BE7AC3">
      <w:pPr>
        <w:ind w:left="720"/>
        <w:rPr>
          <w:lang w:val="de-DE"/>
        </w:rPr>
      </w:pPr>
    </w:p>
    <w:p w:rsidR="00BE7AC3" w:rsidRPr="00BB5519" w:rsidRDefault="00BE7AC3" w:rsidP="00BE7AC3">
      <w:pPr>
        <w:ind w:left="720"/>
        <w:rPr>
          <w:lang w:val="de-DE"/>
        </w:rPr>
      </w:pPr>
      <w:r w:rsidRPr="00BB5519">
        <w:rPr>
          <w:rFonts w:cs="Tahoma"/>
          <w:color w:val="000000"/>
          <w:szCs w:val="18"/>
          <w:lang w:val="de-DE"/>
        </w:rPr>
        <w:t>Office 365 Enterprise K1 hieß zuvor Business Productivity Online Deskless Suite (BPOS Deskless).</w:t>
      </w:r>
      <w:r w:rsidR="009E4976" w:rsidRPr="00BB5519">
        <w:rPr>
          <w:rFonts w:cs="Tahoma"/>
          <w:color w:val="000000"/>
          <w:szCs w:val="18"/>
          <w:lang w:val="de-DE"/>
        </w:rPr>
        <w:t xml:space="preserve"> </w:t>
      </w:r>
      <w:r w:rsidRPr="00BB5519">
        <w:rPr>
          <w:rFonts w:cs="Tahoma"/>
          <w:color w:val="000000"/>
          <w:szCs w:val="18"/>
          <w:lang w:val="de-DE"/>
        </w:rPr>
        <w:t>Kunden in Brasilien und Chile, die Office 365 Enterprise K1 erwerben, werden für BPOS Deskless freigeschaltet.</w:t>
      </w:r>
      <w:r w:rsidR="009E4976" w:rsidRPr="00BB5519">
        <w:rPr>
          <w:rFonts w:cs="Tahoma"/>
          <w:color w:val="000000"/>
          <w:szCs w:val="18"/>
          <w:lang w:val="de-DE"/>
        </w:rPr>
        <w:t xml:space="preserve"> </w:t>
      </w:r>
      <w:r w:rsidRPr="00BB5519">
        <w:rPr>
          <w:rFonts w:cs="Tahoma"/>
          <w:color w:val="000000"/>
          <w:szCs w:val="18"/>
          <w:lang w:val="de-DE"/>
        </w:rPr>
        <w:t>Diese Kunden sind berechtigt, später auf Office 365 Enterprise K1 zu migrieren.</w:t>
      </w:r>
    </w:p>
    <w:p w:rsidR="00BE7AC3" w:rsidRPr="00BB5519" w:rsidRDefault="00BE7AC3" w:rsidP="00BE7AC3">
      <w:pPr>
        <w:ind w:left="720"/>
        <w:rPr>
          <w:lang w:val="de-DE"/>
        </w:rPr>
      </w:pPr>
    </w:p>
    <w:p w:rsidR="00BE7AC3" w:rsidRPr="00BB5519" w:rsidRDefault="00BE7AC3" w:rsidP="00BE7AC3">
      <w:pPr>
        <w:spacing w:after="60"/>
        <w:ind w:left="720"/>
      </w:pPr>
      <w:r w:rsidRPr="00BB5519">
        <w:rPr>
          <w:rFonts w:eastAsia="Calibri" w:cs="Tahoma"/>
          <w:b/>
          <w:color w:val="000000"/>
          <w:szCs w:val="18"/>
        </w:rPr>
        <w:t>Government Community Cloud (nur USA)</w:t>
      </w:r>
    </w:p>
    <w:p w:rsidR="00BE7AC3" w:rsidRPr="00BB5519" w:rsidRDefault="00BE7AC3" w:rsidP="00392F42">
      <w:pPr>
        <w:ind w:left="720"/>
        <w:rPr>
          <w:lang w:val="de-DE"/>
        </w:rPr>
      </w:pPr>
      <w:r w:rsidRPr="00BB5519">
        <w:rPr>
          <w:rFonts w:eastAsia="Calibri" w:cs="Tahoma"/>
          <w:color w:val="000000"/>
          <w:szCs w:val="18"/>
        </w:rPr>
        <w:t>Einige Onlinedienste in der Office 365-Produktfamilie (darunter Office 365 Enterprise K1 und K2) werden als</w:t>
      </w:r>
      <w:r w:rsidR="00392F42">
        <w:rPr>
          <w:rFonts w:eastAsia="Calibri" w:cs="Tahoma"/>
          <w:color w:val="000000"/>
          <w:szCs w:val="18"/>
        </w:rPr>
        <w:t> </w:t>
      </w:r>
      <w:r w:rsidRPr="00BB5519">
        <w:rPr>
          <w:rFonts w:eastAsia="Calibri" w:cs="Tahoma"/>
          <w:color w:val="000000"/>
          <w:szCs w:val="18"/>
        </w:rPr>
        <w:t>Government Community Cloud-Dienste und Non-Government Community Cloud-Dienste angeboten.</w:t>
      </w:r>
      <w:r w:rsidR="009E4976" w:rsidRPr="00BB5519">
        <w:rPr>
          <w:rFonts w:eastAsia="Calibri" w:cs="Tahoma"/>
          <w:color w:val="000000"/>
          <w:szCs w:val="18"/>
        </w:rPr>
        <w:t xml:space="preserve"> </w:t>
      </w:r>
      <w:r w:rsidRPr="00BB5519">
        <w:rPr>
          <w:rFonts w:eastAsia="Calibri" w:cs="Tahoma"/>
          <w:color w:val="000000"/>
          <w:szCs w:val="18"/>
          <w:lang w:val="de-DE"/>
        </w:rPr>
        <w:t>Die</w:t>
      </w:r>
      <w:r w:rsidR="00392F42">
        <w:rPr>
          <w:rFonts w:eastAsia="Calibri" w:cs="Tahoma"/>
          <w:color w:val="000000"/>
          <w:szCs w:val="18"/>
          <w:lang w:val="de-DE"/>
        </w:rPr>
        <w:t> </w:t>
      </w:r>
      <w:r w:rsidRPr="00BB5519">
        <w:rPr>
          <w:rFonts w:eastAsia="Calibri" w:cs="Tahoma"/>
          <w:color w:val="000000"/>
          <w:szCs w:val="18"/>
          <w:lang w:val="de-DE"/>
        </w:rPr>
        <w:t>Bereitstellung an Kunden kann in der einen oder anderen Form erfolgen, jedoch nicht als Kombination aus beidem.</w:t>
      </w:r>
      <w:r w:rsidR="009E4976" w:rsidRPr="00BB5519">
        <w:rPr>
          <w:rFonts w:eastAsia="Calibri" w:cs="Tahoma"/>
          <w:color w:val="000000"/>
          <w:szCs w:val="18"/>
          <w:lang w:val="de-DE"/>
        </w:rPr>
        <w:t xml:space="preserve"> </w:t>
      </w:r>
      <w:r w:rsidRPr="00BB551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9E4976" w:rsidRPr="00BB5519">
        <w:rPr>
          <w:rFonts w:eastAsia="Calibri" w:cs="Tahoma"/>
          <w:color w:val="000000"/>
          <w:szCs w:val="18"/>
          <w:lang w:val="de-DE"/>
        </w:rPr>
        <w:t xml:space="preserve"> </w:t>
      </w:r>
      <w:r w:rsidRPr="00BB5519">
        <w:rPr>
          <w:rFonts w:eastAsia="Calibri" w:cs="Tahoma"/>
          <w:color w:val="000000"/>
          <w:szCs w:val="18"/>
          <w:lang w:val="de-DE"/>
        </w:rPr>
        <w:t>Diese</w:t>
      </w:r>
      <w:r w:rsidR="00392F42">
        <w:rPr>
          <w:rFonts w:eastAsia="Calibri" w:cs="Tahoma"/>
          <w:color w:val="000000"/>
          <w:szCs w:val="18"/>
          <w:lang w:val="de-DE"/>
        </w:rPr>
        <w:t> </w:t>
      </w:r>
      <w:r w:rsidRPr="00BB5519">
        <w:rPr>
          <w:rFonts w:eastAsia="Calibri" w:cs="Tahoma"/>
          <w:color w:val="000000"/>
          <w:szCs w:val="18"/>
          <w:lang w:val="de-DE"/>
        </w:rPr>
        <w:t>Beschränkung gilt für alle Onlinedienste, die zur Office 365-Produktfamilie gehören, darunter Exchange Online, SharePoint Online und Lync Online.</w:t>
      </w:r>
      <w:r w:rsidR="009E4976" w:rsidRPr="00BB5519">
        <w:rPr>
          <w:rFonts w:eastAsia="Calibri" w:cs="Tahoma"/>
          <w:color w:val="000000"/>
          <w:szCs w:val="18"/>
          <w:lang w:val="de-DE"/>
        </w:rPr>
        <w:t xml:space="preserve"> </w:t>
      </w:r>
    </w:p>
    <w:p w:rsidR="00BE7AC3" w:rsidRPr="00BB5519" w:rsidRDefault="00BE7AC3" w:rsidP="00BE7AC3">
      <w:pPr>
        <w:ind w:left="720"/>
        <w:rPr>
          <w:lang w:val="de-DE"/>
        </w:rPr>
      </w:pPr>
    </w:p>
    <w:p w:rsidR="00BE7AC3" w:rsidRPr="00BB5519" w:rsidRDefault="00BE7AC3" w:rsidP="00BE7AC3">
      <w:pPr>
        <w:ind w:left="720"/>
        <w:rPr>
          <w:lang w:val="de-DE"/>
        </w:rPr>
      </w:pPr>
      <w:r w:rsidRPr="00BB5519">
        <w:rPr>
          <w:rFonts w:eastAsia="Calibri" w:cs="Tahoma"/>
          <w:color w:val="000000"/>
          <w:szCs w:val="18"/>
          <w:lang w:val="de-DE"/>
        </w:rPr>
        <w:t>Wenn ein Onlinedienst in der Government Community Cloud bereitgestellt wird, bleibt er für die Dauer der Abonnementlaufzeit dort.</w:t>
      </w:r>
      <w:r w:rsidR="009E4976" w:rsidRPr="00BB5519">
        <w:rPr>
          <w:rFonts w:eastAsia="Calibri" w:cs="Tahoma"/>
          <w:color w:val="000000"/>
          <w:szCs w:val="18"/>
          <w:lang w:val="de-DE"/>
        </w:rPr>
        <w:t xml:space="preserve"> </w:t>
      </w:r>
      <w:r w:rsidRPr="00BB551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9E4976" w:rsidRPr="00BB5519">
        <w:rPr>
          <w:rFonts w:eastAsia="Calibri" w:cs="Tahoma"/>
          <w:color w:val="000000"/>
          <w:szCs w:val="18"/>
          <w:lang w:val="de-DE"/>
        </w:rPr>
        <w:t xml:space="preserve"> </w:t>
      </w:r>
      <w:r w:rsidRPr="00BB5519">
        <w:rPr>
          <w:rFonts w:eastAsia="Calibri" w:cs="Tahoma"/>
          <w:color w:val="000000"/>
          <w:szCs w:val="18"/>
          <w:lang w:val="de-DE"/>
        </w:rPr>
        <w:t>Die Nutzungsrechte für Government Community Cloud-Dienste entsprechen den Nutzungsrechten ihrer mehrinstanzenfähigen Standardäquivalente.</w:t>
      </w:r>
    </w:p>
    <w:p w:rsidR="00BE7AC3" w:rsidRPr="00BB5519" w:rsidRDefault="00BE7AC3" w:rsidP="00BA1490">
      <w:pPr>
        <w:ind w:left="720"/>
        <w:rPr>
          <w:lang w:val="de-DE"/>
        </w:rPr>
      </w:pPr>
    </w:p>
    <w:p w:rsidR="00F1020A" w:rsidRPr="00BB5519" w:rsidRDefault="00F1020A" w:rsidP="00BA1490">
      <w:pPr>
        <w:ind w:left="720"/>
        <w:rPr>
          <w:lang w:val="de-DE"/>
        </w:rPr>
      </w:pPr>
    </w:p>
    <w:p w:rsidR="00A83600" w:rsidRPr="00BB5519" w:rsidRDefault="00F66FB0" w:rsidP="00392F42">
      <w:pPr>
        <w:pStyle w:val="Heading2"/>
        <w:keepNext/>
        <w:keepLines/>
        <w:ind w:left="0"/>
        <w:rPr>
          <w:lang w:val="de-DE"/>
        </w:rPr>
      </w:pPr>
      <w:bookmarkStart w:id="1390" w:name="_70_Office_365"/>
      <w:bookmarkStart w:id="1391" w:name="_Toc336338330"/>
      <w:bookmarkStart w:id="1392" w:name="_Toc354055026"/>
      <w:bookmarkStart w:id="1393" w:name="Srv_73Office365PlanG2toG4"/>
      <w:bookmarkEnd w:id="1390"/>
      <w:r w:rsidRPr="00BB5519">
        <w:rPr>
          <w:rFonts w:ascii="Tahoma" w:hAnsi="Tahoma" w:cs="Tahoma"/>
          <w:caps/>
          <w:color w:val="FF6600"/>
          <w:sz w:val="22"/>
          <w:szCs w:val="22"/>
          <w:vertAlign w:val="superscript"/>
          <w:lang w:val="de-DE"/>
        </w:rPr>
        <w:t>71</w:t>
      </w:r>
      <w:r w:rsidRPr="00BB5519">
        <w:rPr>
          <w:rFonts w:ascii="Tahoma" w:hAnsi="Tahoma" w:cs="Tahoma"/>
          <w:color w:val="FF6600"/>
          <w:lang w:val="de-DE"/>
        </w:rPr>
        <w:t xml:space="preserve"> </w:t>
      </w:r>
      <w:r w:rsidRPr="00BB5519">
        <w:rPr>
          <w:rFonts w:ascii="Tahoma" w:hAnsi="Tahoma" w:cs="Tahoma"/>
          <w:color w:val="FF6600"/>
          <w:sz w:val="22"/>
          <w:szCs w:val="22"/>
          <w:lang w:val="de-DE"/>
        </w:rPr>
        <w:t>Office 365 Government G1-G4</w:t>
      </w:r>
      <w:bookmarkEnd w:id="1391"/>
      <w:bookmarkEnd w:id="1392"/>
    </w:p>
    <w:p w:rsidR="00A83600" w:rsidRPr="00BB5519" w:rsidRDefault="00A83600" w:rsidP="00392F42">
      <w:pPr>
        <w:keepNext/>
        <w:keepLines/>
        <w:rPr>
          <w:lang w:val="de-DE"/>
        </w:rPr>
      </w:pPr>
    </w:p>
    <w:bookmarkEnd w:id="1393"/>
    <w:p w:rsidR="00A83600" w:rsidRPr="00BB5519" w:rsidRDefault="00A83600" w:rsidP="00392F42">
      <w:pPr>
        <w:keepNext/>
        <w:keepLines/>
        <w:ind w:left="720"/>
        <w:rPr>
          <w:lang w:val="de-DE"/>
        </w:rPr>
      </w:pPr>
      <w:r w:rsidRPr="00BB5519">
        <w:rPr>
          <w:color w:val="000000"/>
          <w:lang w:val="de-DE"/>
        </w:rPr>
        <w:t>Office 365 Government G1 – G4 bietet Zugriff auf die folgenden Onlinedienste:</w:t>
      </w:r>
    </w:p>
    <w:p w:rsidR="00A83600" w:rsidRPr="00BB5519" w:rsidRDefault="00A83600" w:rsidP="00392F42">
      <w:pPr>
        <w:keepNext/>
        <w:keepLines/>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0"/>
        <w:gridCol w:w="2070"/>
        <w:gridCol w:w="2250"/>
        <w:gridCol w:w="2138"/>
      </w:tblGrid>
      <w:tr w:rsidR="00A83600" w:rsidRPr="00BB5519" w:rsidTr="00392F42">
        <w:tc>
          <w:tcPr>
            <w:tcW w:w="2110" w:type="dxa"/>
            <w:shd w:val="clear" w:color="auto" w:fill="FABF8F"/>
          </w:tcPr>
          <w:p w:rsidR="00A83600" w:rsidRPr="00BB5519" w:rsidRDefault="00A83600" w:rsidP="00392F42">
            <w:pPr>
              <w:keepNext/>
              <w:keepLines/>
              <w:spacing w:before="40" w:after="40"/>
              <w:jc w:val="center"/>
              <w:rPr>
                <w:rFonts w:eastAsia="Calibri"/>
                <w:b/>
                <w:color w:val="000000"/>
                <w:sz w:val="20"/>
              </w:rPr>
            </w:pPr>
            <w:r w:rsidRPr="00BB5519">
              <w:rPr>
                <w:rFonts w:eastAsia="Calibri"/>
                <w:b/>
                <w:color w:val="000000"/>
                <w:sz w:val="20"/>
              </w:rPr>
              <w:t>Office 365 Government G1</w:t>
            </w:r>
          </w:p>
        </w:tc>
        <w:tc>
          <w:tcPr>
            <w:tcW w:w="2070" w:type="dxa"/>
            <w:shd w:val="clear" w:color="auto" w:fill="FABF8F"/>
          </w:tcPr>
          <w:p w:rsidR="00A83600" w:rsidRPr="00BB5519" w:rsidRDefault="00A83600" w:rsidP="00392F42">
            <w:pPr>
              <w:keepNext/>
              <w:keepLines/>
              <w:spacing w:before="40" w:after="40"/>
              <w:jc w:val="center"/>
              <w:rPr>
                <w:rFonts w:eastAsia="Calibri"/>
                <w:b/>
                <w:color w:val="000000"/>
                <w:sz w:val="20"/>
              </w:rPr>
            </w:pPr>
            <w:r w:rsidRPr="00BB5519">
              <w:rPr>
                <w:rFonts w:eastAsia="Calibri"/>
                <w:b/>
                <w:color w:val="000000"/>
                <w:sz w:val="20"/>
              </w:rPr>
              <w:t>Office 365 Government G2</w:t>
            </w:r>
          </w:p>
        </w:tc>
        <w:tc>
          <w:tcPr>
            <w:tcW w:w="2250" w:type="dxa"/>
            <w:shd w:val="clear" w:color="auto" w:fill="FABF8F"/>
          </w:tcPr>
          <w:p w:rsidR="00A83600" w:rsidRPr="00BB5519" w:rsidRDefault="00A83600" w:rsidP="00392F42">
            <w:pPr>
              <w:keepNext/>
              <w:keepLines/>
              <w:spacing w:before="40" w:after="40"/>
              <w:jc w:val="center"/>
              <w:rPr>
                <w:rFonts w:eastAsia="Calibri"/>
                <w:b/>
                <w:color w:val="000000"/>
                <w:sz w:val="20"/>
              </w:rPr>
            </w:pPr>
            <w:r w:rsidRPr="00BB5519">
              <w:rPr>
                <w:rFonts w:eastAsia="Calibri"/>
                <w:b/>
                <w:color w:val="000000"/>
                <w:sz w:val="20"/>
              </w:rPr>
              <w:t>Office 365 Government G3</w:t>
            </w:r>
          </w:p>
        </w:tc>
        <w:tc>
          <w:tcPr>
            <w:tcW w:w="2138" w:type="dxa"/>
            <w:shd w:val="clear" w:color="auto" w:fill="FABF8F"/>
          </w:tcPr>
          <w:p w:rsidR="00A83600" w:rsidRPr="00BB5519" w:rsidRDefault="00A83600" w:rsidP="00392F42">
            <w:pPr>
              <w:keepNext/>
              <w:keepLines/>
              <w:spacing w:before="40" w:after="40"/>
              <w:jc w:val="center"/>
              <w:rPr>
                <w:rFonts w:eastAsia="Calibri"/>
                <w:b/>
                <w:color w:val="000000"/>
                <w:sz w:val="20"/>
              </w:rPr>
            </w:pPr>
            <w:r w:rsidRPr="00BB5519">
              <w:rPr>
                <w:rFonts w:eastAsia="Calibri"/>
                <w:b/>
                <w:color w:val="000000"/>
                <w:sz w:val="20"/>
              </w:rPr>
              <w:t>Office 365 Government G4</w:t>
            </w:r>
          </w:p>
        </w:tc>
      </w:tr>
      <w:tr w:rsidR="00A83600" w:rsidRPr="00BB5519" w:rsidTr="00392F42">
        <w:tc>
          <w:tcPr>
            <w:tcW w:w="2110" w:type="dxa"/>
          </w:tcPr>
          <w:p w:rsidR="00A83600" w:rsidRPr="00BB5519" w:rsidRDefault="00A83600" w:rsidP="009374EE">
            <w:pPr>
              <w:keepNext/>
              <w:keepLines/>
              <w:spacing w:before="40" w:after="40"/>
              <w:ind w:left="180" w:right="186"/>
              <w:rPr>
                <w:rFonts w:eastAsia="Calibri"/>
                <w:color w:val="000000"/>
              </w:rPr>
            </w:pPr>
            <w:r w:rsidRPr="00BB5519">
              <w:rPr>
                <w:rFonts w:eastAsia="Calibri"/>
                <w:color w:val="000000"/>
              </w:rPr>
              <w:t>Exchange Online</w:t>
            </w:r>
            <w:r w:rsidR="009374EE">
              <w:rPr>
                <w:rFonts w:eastAsia="Calibri"/>
                <w:color w:val="000000"/>
              </w:rPr>
              <w:t> </w:t>
            </w:r>
            <w:r w:rsidRPr="00BB5519">
              <w:rPr>
                <w:rFonts w:eastAsia="Calibri"/>
                <w:color w:val="000000"/>
              </w:rPr>
              <w:t>Plan 1</w:t>
            </w:r>
          </w:p>
        </w:tc>
        <w:tc>
          <w:tcPr>
            <w:tcW w:w="2070" w:type="dxa"/>
            <w:shd w:val="clear" w:color="auto" w:fill="auto"/>
          </w:tcPr>
          <w:p w:rsidR="00A83600" w:rsidRPr="00BB5519" w:rsidRDefault="00A83600" w:rsidP="00392F42">
            <w:pPr>
              <w:keepNext/>
              <w:keepLines/>
              <w:spacing w:before="40" w:after="40"/>
              <w:ind w:left="180" w:right="186"/>
              <w:rPr>
                <w:rFonts w:eastAsia="Calibri"/>
                <w:color w:val="000000"/>
              </w:rPr>
            </w:pPr>
            <w:r w:rsidRPr="00BB5519">
              <w:rPr>
                <w:rFonts w:eastAsia="Calibri"/>
                <w:color w:val="000000"/>
              </w:rPr>
              <w:t>Exchange Online</w:t>
            </w:r>
            <w:r w:rsidR="00392F42">
              <w:rPr>
                <w:rFonts w:eastAsia="Calibri"/>
                <w:color w:val="000000"/>
              </w:rPr>
              <w:t> </w:t>
            </w:r>
            <w:r w:rsidRPr="00BB5519">
              <w:rPr>
                <w:rFonts w:eastAsia="Calibri"/>
                <w:color w:val="000000"/>
              </w:rPr>
              <w:t>Plan 1</w:t>
            </w:r>
          </w:p>
        </w:tc>
        <w:tc>
          <w:tcPr>
            <w:tcW w:w="2250" w:type="dxa"/>
            <w:shd w:val="clear" w:color="auto" w:fill="auto"/>
          </w:tcPr>
          <w:p w:rsidR="00A83600" w:rsidRPr="00BB5519" w:rsidRDefault="00A83600" w:rsidP="00392F42">
            <w:pPr>
              <w:keepNext/>
              <w:keepLines/>
              <w:spacing w:before="40" w:after="40"/>
              <w:ind w:left="138" w:right="138"/>
              <w:rPr>
                <w:rFonts w:eastAsia="Calibri"/>
                <w:color w:val="000000"/>
              </w:rPr>
            </w:pPr>
            <w:r w:rsidRPr="00BB5519">
              <w:rPr>
                <w:rFonts w:eastAsia="Calibri"/>
                <w:color w:val="000000"/>
              </w:rPr>
              <w:t xml:space="preserve">Exchange Online </w:t>
            </w:r>
            <w:r w:rsidR="00392F42">
              <w:rPr>
                <w:rFonts w:eastAsia="Calibri"/>
                <w:color w:val="000000"/>
              </w:rPr>
              <w:br/>
            </w:r>
            <w:r w:rsidRPr="00BB5519">
              <w:rPr>
                <w:rFonts w:eastAsia="Calibri"/>
                <w:color w:val="000000"/>
              </w:rPr>
              <w:t xml:space="preserve">Plan 2 </w:t>
            </w:r>
          </w:p>
        </w:tc>
        <w:tc>
          <w:tcPr>
            <w:tcW w:w="2138" w:type="dxa"/>
            <w:shd w:val="clear" w:color="auto" w:fill="auto"/>
          </w:tcPr>
          <w:p w:rsidR="00A83600" w:rsidRPr="00BB5519" w:rsidRDefault="00A83600" w:rsidP="00392F42">
            <w:pPr>
              <w:keepNext/>
              <w:keepLines/>
              <w:spacing w:before="40" w:after="40"/>
              <w:ind w:left="186" w:right="180"/>
              <w:rPr>
                <w:rFonts w:eastAsia="Calibri"/>
                <w:color w:val="000000"/>
              </w:rPr>
            </w:pPr>
            <w:r w:rsidRPr="00BB5519">
              <w:rPr>
                <w:rFonts w:eastAsia="Calibri"/>
                <w:color w:val="000000"/>
              </w:rPr>
              <w:t>Exchange Online Plan 2</w:t>
            </w:r>
          </w:p>
        </w:tc>
      </w:tr>
      <w:tr w:rsidR="00A83600" w:rsidRPr="00BB5519" w:rsidTr="00392F42">
        <w:tc>
          <w:tcPr>
            <w:tcW w:w="2110" w:type="dxa"/>
          </w:tcPr>
          <w:p w:rsidR="00A83600" w:rsidRPr="00BB5519" w:rsidRDefault="00A83600" w:rsidP="009374EE">
            <w:pPr>
              <w:keepNext/>
              <w:keepLines/>
              <w:spacing w:before="40" w:after="40"/>
              <w:ind w:left="180" w:right="186"/>
              <w:rPr>
                <w:rFonts w:eastAsia="Calibri"/>
                <w:color w:val="000000"/>
              </w:rPr>
            </w:pPr>
            <w:r w:rsidRPr="00BB5519">
              <w:rPr>
                <w:rFonts w:eastAsia="Calibri"/>
                <w:color w:val="000000"/>
              </w:rPr>
              <w:t>SharePoint Online</w:t>
            </w:r>
            <w:r w:rsidR="009374EE">
              <w:rPr>
                <w:rFonts w:eastAsia="Calibri"/>
                <w:color w:val="000000"/>
              </w:rPr>
              <w:t> </w:t>
            </w:r>
            <w:r w:rsidRPr="00BB5519">
              <w:rPr>
                <w:rFonts w:eastAsia="Calibri"/>
                <w:color w:val="000000"/>
              </w:rPr>
              <w:t>Plan 1</w:t>
            </w:r>
          </w:p>
        </w:tc>
        <w:tc>
          <w:tcPr>
            <w:tcW w:w="2070" w:type="dxa"/>
            <w:shd w:val="clear" w:color="auto" w:fill="auto"/>
          </w:tcPr>
          <w:p w:rsidR="00A83600" w:rsidRPr="00BB5519" w:rsidRDefault="00A83600" w:rsidP="00392F42">
            <w:pPr>
              <w:keepNext/>
              <w:keepLines/>
              <w:spacing w:before="40" w:after="40"/>
              <w:ind w:left="180" w:right="186"/>
              <w:rPr>
                <w:rFonts w:eastAsia="Calibri"/>
                <w:color w:val="000000"/>
              </w:rPr>
            </w:pPr>
            <w:r w:rsidRPr="00BB5519">
              <w:rPr>
                <w:rFonts w:eastAsia="Calibri"/>
                <w:color w:val="000000"/>
              </w:rPr>
              <w:t>SharePoint Online</w:t>
            </w:r>
            <w:r w:rsidR="00392F42">
              <w:rPr>
                <w:rFonts w:eastAsia="Calibri"/>
                <w:color w:val="000000"/>
              </w:rPr>
              <w:t> </w:t>
            </w:r>
            <w:r w:rsidRPr="00BB5519">
              <w:rPr>
                <w:rFonts w:eastAsia="Calibri"/>
                <w:color w:val="000000"/>
              </w:rPr>
              <w:t>Plan 1</w:t>
            </w:r>
          </w:p>
        </w:tc>
        <w:tc>
          <w:tcPr>
            <w:tcW w:w="2250" w:type="dxa"/>
            <w:shd w:val="clear" w:color="auto" w:fill="auto"/>
          </w:tcPr>
          <w:p w:rsidR="00A83600" w:rsidRPr="00BB5519" w:rsidRDefault="00A83600" w:rsidP="00392F42">
            <w:pPr>
              <w:keepNext/>
              <w:keepLines/>
              <w:spacing w:before="40" w:after="40"/>
              <w:ind w:left="138" w:right="138"/>
              <w:rPr>
                <w:rFonts w:eastAsia="Calibri"/>
                <w:color w:val="000000"/>
              </w:rPr>
            </w:pPr>
            <w:r w:rsidRPr="00BB5519">
              <w:rPr>
                <w:rFonts w:eastAsia="Calibri"/>
                <w:color w:val="000000"/>
              </w:rPr>
              <w:t xml:space="preserve">SharePoint Online </w:t>
            </w:r>
            <w:r w:rsidR="00392F42">
              <w:rPr>
                <w:rFonts w:eastAsia="Calibri"/>
                <w:color w:val="000000"/>
              </w:rPr>
              <w:br/>
            </w:r>
            <w:r w:rsidRPr="00BB5519">
              <w:rPr>
                <w:rFonts w:eastAsia="Calibri"/>
                <w:color w:val="000000"/>
              </w:rPr>
              <w:t>Plan 2</w:t>
            </w:r>
          </w:p>
        </w:tc>
        <w:tc>
          <w:tcPr>
            <w:tcW w:w="2138" w:type="dxa"/>
            <w:shd w:val="clear" w:color="auto" w:fill="auto"/>
          </w:tcPr>
          <w:p w:rsidR="00A83600" w:rsidRPr="00BB5519" w:rsidRDefault="00A83600" w:rsidP="00392F42">
            <w:pPr>
              <w:keepNext/>
              <w:keepLines/>
              <w:spacing w:before="40" w:after="40"/>
              <w:ind w:left="186" w:right="180"/>
              <w:rPr>
                <w:rFonts w:eastAsia="Calibri"/>
                <w:color w:val="000000"/>
              </w:rPr>
            </w:pPr>
            <w:r w:rsidRPr="00BB5519">
              <w:rPr>
                <w:rFonts w:eastAsia="Calibri"/>
                <w:color w:val="000000"/>
              </w:rPr>
              <w:t>SharePoint Online Plan 2</w:t>
            </w:r>
          </w:p>
        </w:tc>
      </w:tr>
      <w:tr w:rsidR="00A83600" w:rsidRPr="00392F42" w:rsidTr="00392F42">
        <w:tc>
          <w:tcPr>
            <w:tcW w:w="2110" w:type="dxa"/>
          </w:tcPr>
          <w:p w:rsidR="00A83600" w:rsidRPr="00BB5519" w:rsidRDefault="00A83600" w:rsidP="00392F42">
            <w:pPr>
              <w:keepNext/>
              <w:keepLines/>
              <w:spacing w:before="40" w:after="40"/>
              <w:ind w:left="180" w:right="186"/>
              <w:rPr>
                <w:rFonts w:eastAsia="Calibri"/>
                <w:color w:val="000000"/>
              </w:rPr>
            </w:pPr>
            <w:r w:rsidRPr="00BB5519">
              <w:rPr>
                <w:rFonts w:eastAsia="Calibri"/>
                <w:color w:val="000000"/>
              </w:rPr>
              <w:t>Lync Online Plan 2</w:t>
            </w:r>
          </w:p>
        </w:tc>
        <w:tc>
          <w:tcPr>
            <w:tcW w:w="2070" w:type="dxa"/>
            <w:shd w:val="clear" w:color="auto" w:fill="auto"/>
          </w:tcPr>
          <w:p w:rsidR="00A83600" w:rsidRPr="00BB5519" w:rsidRDefault="00A83600" w:rsidP="00392F42">
            <w:pPr>
              <w:keepNext/>
              <w:keepLines/>
              <w:spacing w:before="40" w:after="40"/>
              <w:ind w:left="180" w:right="186"/>
              <w:rPr>
                <w:rFonts w:eastAsia="Calibri"/>
                <w:color w:val="000000"/>
              </w:rPr>
            </w:pPr>
            <w:r w:rsidRPr="00BB5519">
              <w:rPr>
                <w:rFonts w:eastAsia="Calibri"/>
                <w:color w:val="000000"/>
              </w:rPr>
              <w:t>Lync Online Plan 2</w:t>
            </w:r>
          </w:p>
        </w:tc>
        <w:tc>
          <w:tcPr>
            <w:tcW w:w="2250" w:type="dxa"/>
            <w:shd w:val="clear" w:color="auto" w:fill="auto"/>
          </w:tcPr>
          <w:p w:rsidR="00A83600" w:rsidRPr="00BB5519" w:rsidRDefault="00A83600" w:rsidP="00392F42">
            <w:pPr>
              <w:keepNext/>
              <w:keepLines/>
              <w:spacing w:before="40" w:after="40"/>
              <w:ind w:left="138" w:right="138"/>
              <w:rPr>
                <w:rFonts w:eastAsia="Calibri"/>
                <w:color w:val="000000"/>
              </w:rPr>
            </w:pPr>
            <w:r w:rsidRPr="00BB5519">
              <w:rPr>
                <w:rFonts w:eastAsia="Calibri"/>
                <w:color w:val="000000"/>
              </w:rPr>
              <w:t>Lync Online Plan 2</w:t>
            </w:r>
          </w:p>
        </w:tc>
        <w:tc>
          <w:tcPr>
            <w:tcW w:w="2138" w:type="dxa"/>
            <w:shd w:val="clear" w:color="auto" w:fill="auto"/>
          </w:tcPr>
          <w:p w:rsidR="00A83600" w:rsidRPr="00392F42" w:rsidRDefault="00A83600" w:rsidP="00392F42">
            <w:pPr>
              <w:keepNext/>
              <w:keepLines/>
              <w:spacing w:before="40" w:after="40"/>
              <w:ind w:left="186" w:right="180"/>
              <w:rPr>
                <w:rFonts w:eastAsia="Calibri"/>
                <w:color w:val="000000"/>
                <w:lang w:val="de-DE"/>
              </w:rPr>
            </w:pPr>
            <w:r w:rsidRPr="00392F42">
              <w:rPr>
                <w:rFonts w:eastAsia="Calibri"/>
                <w:color w:val="000000"/>
                <w:lang w:val="de-DE"/>
              </w:rPr>
              <w:t xml:space="preserve">Lync Online </w:t>
            </w:r>
            <w:r w:rsidR="00392F42" w:rsidRPr="00392F42">
              <w:rPr>
                <w:rFonts w:eastAsia="Calibri"/>
                <w:color w:val="000000"/>
                <w:lang w:val="de-DE"/>
              </w:rPr>
              <w:br/>
            </w:r>
            <w:r w:rsidRPr="00392F42">
              <w:rPr>
                <w:rFonts w:eastAsia="Calibri"/>
                <w:color w:val="000000"/>
                <w:lang w:val="de-DE"/>
              </w:rPr>
              <w:t>Plan 2</w:t>
            </w:r>
          </w:p>
        </w:tc>
      </w:tr>
      <w:tr w:rsidR="00A83600" w:rsidRPr="00D244F0" w:rsidTr="00392F42">
        <w:tc>
          <w:tcPr>
            <w:tcW w:w="2110" w:type="dxa"/>
          </w:tcPr>
          <w:p w:rsidR="00A83600" w:rsidRPr="00BB5519" w:rsidRDefault="0050116B" w:rsidP="00392F42">
            <w:pPr>
              <w:keepNext/>
              <w:keepLines/>
              <w:spacing w:before="40" w:after="40"/>
              <w:ind w:left="180" w:right="186"/>
              <w:rPr>
                <w:rFonts w:eastAsia="Calibri"/>
                <w:color w:val="000000"/>
                <w:lang w:val="de-DE"/>
              </w:rPr>
            </w:pPr>
            <w:r w:rsidRPr="00BB5519">
              <w:rPr>
                <w:rFonts w:eastAsia="Calibri"/>
                <w:color w:val="000000"/>
                <w:lang w:val="de-DE"/>
              </w:rPr>
              <w:t>Office-Webanwendungen (von Microsoft gehostet)</w:t>
            </w:r>
          </w:p>
        </w:tc>
        <w:tc>
          <w:tcPr>
            <w:tcW w:w="2070" w:type="dxa"/>
            <w:shd w:val="clear" w:color="auto" w:fill="auto"/>
          </w:tcPr>
          <w:p w:rsidR="00A83600" w:rsidRPr="00BB5519" w:rsidRDefault="00A83600" w:rsidP="00392F42">
            <w:pPr>
              <w:keepNext/>
              <w:keepLines/>
              <w:spacing w:before="40" w:after="40"/>
              <w:ind w:left="180" w:right="186"/>
              <w:rPr>
                <w:rFonts w:eastAsia="Calibri"/>
                <w:color w:val="000000"/>
                <w:lang w:val="de-DE"/>
              </w:rPr>
            </w:pPr>
            <w:r w:rsidRPr="00BB5519">
              <w:rPr>
                <w:rFonts w:eastAsia="Calibri"/>
                <w:color w:val="000000"/>
                <w:lang w:val="de-DE"/>
              </w:rPr>
              <w:t>Office-Webanwendungen (von Microsoft gehostet)</w:t>
            </w:r>
          </w:p>
        </w:tc>
        <w:tc>
          <w:tcPr>
            <w:tcW w:w="2250" w:type="dxa"/>
            <w:shd w:val="clear" w:color="auto" w:fill="auto"/>
          </w:tcPr>
          <w:p w:rsidR="00A83600" w:rsidRPr="00BB5519" w:rsidRDefault="00A83600" w:rsidP="00392F42">
            <w:pPr>
              <w:keepNext/>
              <w:keepLines/>
              <w:spacing w:before="40" w:after="40"/>
              <w:ind w:left="138" w:right="138"/>
              <w:rPr>
                <w:rFonts w:eastAsia="Calibri"/>
                <w:color w:val="000000"/>
                <w:lang w:val="de-DE"/>
              </w:rPr>
            </w:pPr>
            <w:r w:rsidRPr="00BB5519">
              <w:rPr>
                <w:rFonts w:eastAsia="Calibri"/>
                <w:color w:val="000000"/>
                <w:lang w:val="de-DE"/>
              </w:rPr>
              <w:t>Office-Webanwendungen (von Microsoft gehostet)</w:t>
            </w:r>
          </w:p>
        </w:tc>
        <w:tc>
          <w:tcPr>
            <w:tcW w:w="2138" w:type="dxa"/>
            <w:shd w:val="clear" w:color="auto" w:fill="auto"/>
          </w:tcPr>
          <w:p w:rsidR="00A83600" w:rsidRPr="00BB5519" w:rsidRDefault="00A83600" w:rsidP="00392F42">
            <w:pPr>
              <w:keepNext/>
              <w:keepLines/>
              <w:spacing w:before="40" w:after="40"/>
              <w:ind w:left="186" w:right="180"/>
              <w:rPr>
                <w:rFonts w:eastAsia="Calibri"/>
                <w:color w:val="000000"/>
                <w:lang w:val="de-DE"/>
              </w:rPr>
            </w:pPr>
            <w:r w:rsidRPr="00BB5519">
              <w:rPr>
                <w:rFonts w:eastAsia="Calibri"/>
                <w:color w:val="000000"/>
                <w:lang w:val="de-DE"/>
              </w:rPr>
              <w:t>Office-Webanwendungen (von Microsoft gehostet)</w:t>
            </w:r>
          </w:p>
        </w:tc>
      </w:tr>
      <w:tr w:rsidR="00A83600" w:rsidRPr="00BB5519" w:rsidTr="00392F42">
        <w:tc>
          <w:tcPr>
            <w:tcW w:w="2110" w:type="dxa"/>
          </w:tcPr>
          <w:p w:rsidR="00A83600" w:rsidRPr="00BB5519" w:rsidRDefault="00A83600" w:rsidP="00392F42">
            <w:pPr>
              <w:keepNext/>
              <w:keepLines/>
              <w:spacing w:before="40" w:after="40"/>
              <w:ind w:left="180" w:right="186"/>
              <w:rPr>
                <w:rFonts w:eastAsia="Calibri"/>
                <w:color w:val="000000"/>
                <w:lang w:val="de-DE"/>
              </w:rPr>
            </w:pPr>
          </w:p>
        </w:tc>
        <w:tc>
          <w:tcPr>
            <w:tcW w:w="2070" w:type="dxa"/>
            <w:shd w:val="clear" w:color="auto" w:fill="auto"/>
          </w:tcPr>
          <w:p w:rsidR="00A83600" w:rsidRPr="00BB5519" w:rsidRDefault="00A83600" w:rsidP="00392F42">
            <w:pPr>
              <w:keepNext/>
              <w:keepLines/>
              <w:spacing w:before="40" w:after="40"/>
              <w:ind w:left="180" w:right="186"/>
              <w:rPr>
                <w:rFonts w:eastAsia="Calibri"/>
                <w:color w:val="000000"/>
                <w:lang w:val="de-DE"/>
              </w:rPr>
            </w:pPr>
          </w:p>
        </w:tc>
        <w:tc>
          <w:tcPr>
            <w:tcW w:w="2250" w:type="dxa"/>
            <w:shd w:val="clear" w:color="auto" w:fill="auto"/>
          </w:tcPr>
          <w:p w:rsidR="00A83600" w:rsidRPr="00BB5519" w:rsidRDefault="00A83600" w:rsidP="00392F42">
            <w:pPr>
              <w:keepNext/>
              <w:keepLines/>
              <w:spacing w:before="40" w:after="40"/>
              <w:ind w:left="138" w:right="138"/>
              <w:rPr>
                <w:rFonts w:eastAsia="Calibri"/>
                <w:color w:val="000000"/>
              </w:rPr>
            </w:pPr>
            <w:r w:rsidRPr="00BB5519">
              <w:rPr>
                <w:rFonts w:eastAsia="Calibri"/>
                <w:color w:val="000000"/>
              </w:rPr>
              <w:t xml:space="preserve">Office Professional Plus-Abonnement </w:t>
            </w:r>
          </w:p>
        </w:tc>
        <w:tc>
          <w:tcPr>
            <w:tcW w:w="2138" w:type="dxa"/>
            <w:shd w:val="clear" w:color="auto" w:fill="auto"/>
          </w:tcPr>
          <w:p w:rsidR="00A83600" w:rsidRPr="00BB5519" w:rsidRDefault="00A83600" w:rsidP="00392F42">
            <w:pPr>
              <w:keepNext/>
              <w:keepLines/>
              <w:spacing w:before="40" w:after="40"/>
              <w:ind w:left="186" w:right="180"/>
              <w:rPr>
                <w:rFonts w:eastAsia="Calibri"/>
                <w:color w:val="000000"/>
              </w:rPr>
            </w:pPr>
            <w:r w:rsidRPr="00BB5519">
              <w:rPr>
                <w:rFonts w:eastAsia="Calibri"/>
                <w:color w:val="000000"/>
              </w:rPr>
              <w:t xml:space="preserve">Office Professional Plus-Abonnement </w:t>
            </w:r>
          </w:p>
        </w:tc>
      </w:tr>
    </w:tbl>
    <w:p w:rsidR="00263B62" w:rsidRPr="00BB5519" w:rsidRDefault="00A83600" w:rsidP="00E62BC4">
      <w:pPr>
        <w:ind w:left="720"/>
      </w:pPr>
      <w:r w:rsidRPr="00BB5519">
        <w:rPr>
          <w:color w:val="000000"/>
        </w:rPr>
        <w:br/>
      </w:r>
    </w:p>
    <w:p w:rsidR="00A83600" w:rsidRPr="00BB5519" w:rsidRDefault="00A83600" w:rsidP="00E62BC4">
      <w:pPr>
        <w:ind w:left="720"/>
        <w:rPr>
          <w:lang w:val="de-DE"/>
        </w:rPr>
      </w:pPr>
      <w:r w:rsidRPr="00BB5519">
        <w:rPr>
          <w:color w:val="000000"/>
          <w:lang w:val="de-DE"/>
        </w:rPr>
        <w:t>Änderungen an dieser Liste sind vorbehalten.</w:t>
      </w:r>
      <w:r w:rsidR="009E4976" w:rsidRPr="00BB5519">
        <w:rPr>
          <w:color w:val="000000"/>
          <w:lang w:val="de-DE"/>
        </w:rPr>
        <w:t xml:space="preserve"> </w:t>
      </w:r>
      <w:r w:rsidRPr="00BB5519">
        <w:rPr>
          <w:color w:val="000000"/>
          <w:lang w:val="de-DE"/>
        </w:rPr>
        <w:t>Die aktuellen Produktbenutzungsrechte sind bei einem Widerspruch zwischen den Lizenzbestimmungen für Office 365 Government G1 – G4 und diesem Hinweis maßgeblich.</w:t>
      </w:r>
      <w:r w:rsidR="009E4976" w:rsidRPr="00BB5519">
        <w:rPr>
          <w:color w:val="000000"/>
          <w:lang w:val="de-DE"/>
        </w:rPr>
        <w:t xml:space="preserve"> </w:t>
      </w:r>
      <w:r w:rsidRPr="00BB5519">
        <w:rPr>
          <w:color w:val="000000"/>
          <w:lang w:val="de-DE"/>
        </w:rPr>
        <w:t>Zusätzliche Zugriffsrechte auf separat lizenzierte Vor-Ort-Software sind gegebenenfalls in den Produktbenutzungsrechten angegeben.</w:t>
      </w:r>
    </w:p>
    <w:p w:rsidR="00A83600" w:rsidRDefault="00A83600" w:rsidP="00E62BC4">
      <w:pPr>
        <w:ind w:left="720"/>
        <w:rPr>
          <w:lang w:val="de-DE"/>
        </w:rPr>
      </w:pPr>
    </w:p>
    <w:p w:rsidR="000A72E8" w:rsidRDefault="000A72E8" w:rsidP="00E62BC4">
      <w:pPr>
        <w:ind w:left="720"/>
        <w:rPr>
          <w:lang w:val="de-DE"/>
        </w:rPr>
      </w:pPr>
    </w:p>
    <w:p w:rsidR="000A72E8" w:rsidRPr="00BB5519" w:rsidRDefault="000A72E8" w:rsidP="00E62BC4">
      <w:pPr>
        <w:ind w:left="720"/>
        <w:rPr>
          <w:lang w:val="de-DE"/>
        </w:rPr>
      </w:pPr>
    </w:p>
    <w:p w:rsidR="00A83600" w:rsidRPr="00BB5519" w:rsidRDefault="00A83600" w:rsidP="00E62BC4">
      <w:pPr>
        <w:ind w:left="720"/>
        <w:rPr>
          <w:lang w:val="de-DE"/>
        </w:rPr>
      </w:pPr>
      <w:r w:rsidRPr="00BB5519">
        <w:rPr>
          <w:color w:val="000000"/>
          <w:lang w:val="de-DE"/>
        </w:rPr>
        <w:lastRenderedPageBreak/>
        <w:t>Für Lync Online Plan 1 und Plan 2 muss Microsoft Lync 2013 (oder Lync für Mac 2011)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9E4976" w:rsidRPr="00BB5519">
        <w:rPr>
          <w:color w:val="000000"/>
          <w:lang w:val="de-DE"/>
        </w:rPr>
        <w:t xml:space="preserve"> </w:t>
      </w:r>
      <w:r w:rsidRPr="00BB5519">
        <w:rPr>
          <w:lang w:val="de-DE"/>
        </w:rPr>
        <w:t>Kunden sind berechtigt, den kostenlosen Lync Basic 2013-Client für ihre Windows-basierten Endbenutzer zu nutzen.</w:t>
      </w:r>
    </w:p>
    <w:p w:rsidR="00A83600" w:rsidRPr="00BB5519" w:rsidRDefault="00A83600" w:rsidP="00E62BC4">
      <w:pPr>
        <w:ind w:left="720"/>
        <w:rPr>
          <w:lang w:val="de-DE"/>
        </w:rPr>
      </w:pPr>
    </w:p>
    <w:p w:rsidR="00A83600" w:rsidRPr="00BB5519" w:rsidRDefault="00A83600" w:rsidP="000754C4">
      <w:pPr>
        <w:ind w:left="720"/>
        <w:rPr>
          <w:lang w:val="de-DE"/>
        </w:rPr>
      </w:pPr>
      <w:r w:rsidRPr="00BB5519">
        <w:rPr>
          <w:rFonts w:eastAsia="Calibri" w:cs="Tahoma"/>
          <w:color w:val="000000"/>
          <w:szCs w:val="18"/>
          <w:lang w:val="de-DE"/>
        </w:rPr>
        <w:t>G1 - G4 dürfen nicht in derselben Domäne bereitgestellt werden wie bestimmte Non-Government Community Cloud-Dienste.</w:t>
      </w:r>
      <w:r w:rsidR="009E4976" w:rsidRPr="00BB5519">
        <w:rPr>
          <w:rFonts w:eastAsia="Calibri" w:cs="Tahoma"/>
          <w:color w:val="000000"/>
          <w:szCs w:val="18"/>
          <w:lang w:val="de-DE"/>
        </w:rPr>
        <w:t xml:space="preserve"> </w:t>
      </w:r>
      <w:r w:rsidRPr="00BB5519">
        <w:rPr>
          <w:rFonts w:eastAsia="Calibri" w:cs="Tahoma"/>
          <w:color w:val="000000"/>
          <w:szCs w:val="18"/>
          <w:lang w:val="de-DE"/>
        </w:rPr>
        <w:t>Diese Beschränkung gilt für alle Onlinedienste, die zur Office 365-Produktfamilie</w:t>
      </w:r>
      <w:r w:rsidR="000754C4">
        <w:rPr>
          <w:rFonts w:eastAsia="Calibri" w:cs="Tahoma"/>
          <w:color w:val="000000"/>
          <w:szCs w:val="18"/>
          <w:lang w:val="de-DE"/>
        </w:rPr>
        <w:t> </w:t>
      </w:r>
      <w:r w:rsidRPr="00BB5519">
        <w:rPr>
          <w:rFonts w:eastAsia="Calibri" w:cs="Tahoma"/>
          <w:color w:val="000000"/>
          <w:szCs w:val="18"/>
          <w:lang w:val="de-DE"/>
        </w:rPr>
        <w:t>gehören, darunter Exchange Online, SharePoint Online und Lync Online.</w:t>
      </w:r>
    </w:p>
    <w:p w:rsidR="00A83600" w:rsidRPr="00BB5519" w:rsidRDefault="00A83600" w:rsidP="00E62BC4">
      <w:pPr>
        <w:ind w:left="720"/>
        <w:rPr>
          <w:lang w:val="de-DE"/>
        </w:rPr>
      </w:pPr>
    </w:p>
    <w:p w:rsidR="00A83600" w:rsidRPr="00BB5519" w:rsidRDefault="00A83600" w:rsidP="00E62BC4">
      <w:pPr>
        <w:ind w:left="720"/>
        <w:rPr>
          <w:lang w:val="de-DE"/>
        </w:rPr>
      </w:pPr>
      <w:r w:rsidRPr="00BB5519">
        <w:rPr>
          <w:rFonts w:eastAsia="Calibri" w:cs="Tahoma"/>
          <w:color w:val="000000"/>
          <w:szCs w:val="18"/>
          <w:lang w:val="de-DE"/>
        </w:rPr>
        <w:t>Wenn ein Onlinedienst in der Government Community Cloud bereitgestellt wird, bleibt er für die Dauer der Abonnementlaufzeit dort.</w:t>
      </w:r>
      <w:r w:rsidR="009E4976" w:rsidRPr="00BB5519">
        <w:rPr>
          <w:rFonts w:eastAsia="Calibri" w:cs="Tahoma"/>
          <w:color w:val="000000"/>
          <w:szCs w:val="18"/>
          <w:lang w:val="de-DE"/>
        </w:rPr>
        <w:t xml:space="preserve"> </w:t>
      </w:r>
      <w:r w:rsidRPr="00BB551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9E4976" w:rsidRPr="00BB5519">
        <w:rPr>
          <w:rFonts w:eastAsia="Calibri" w:cs="Tahoma"/>
          <w:color w:val="000000"/>
          <w:szCs w:val="18"/>
          <w:lang w:val="de-DE"/>
        </w:rPr>
        <w:t xml:space="preserve"> </w:t>
      </w:r>
      <w:r w:rsidRPr="00BB5519">
        <w:rPr>
          <w:rFonts w:eastAsia="Calibri" w:cs="Tahoma"/>
          <w:color w:val="000000"/>
          <w:szCs w:val="18"/>
          <w:lang w:val="de-DE"/>
        </w:rPr>
        <w:t>Die Nutzungsrechte für Government Community Cloud-Dienste entsprechen den Nutzungsrechten ihrer mehrinstanzenfähigen Standardäquivalente, wie in der nachfolgenden Tabelle dargestellt:</w:t>
      </w:r>
    </w:p>
    <w:p w:rsidR="00A83600" w:rsidRPr="00BB5519" w:rsidRDefault="00A83600" w:rsidP="00A83600">
      <w:pPr>
        <w:ind w:left="900"/>
        <w:rPr>
          <w:lang w:val="de-D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9"/>
        <w:gridCol w:w="4323"/>
      </w:tblGrid>
      <w:tr w:rsidR="00A83600" w:rsidRPr="00D244F0" w:rsidTr="00CA14C9">
        <w:tc>
          <w:tcPr>
            <w:tcW w:w="4202" w:type="dxa"/>
            <w:shd w:val="clear" w:color="auto" w:fill="FABF8F"/>
          </w:tcPr>
          <w:p w:rsidR="00A83600" w:rsidRPr="00BB5519" w:rsidRDefault="00A83600" w:rsidP="00722522">
            <w:pPr>
              <w:rPr>
                <w:rFonts w:eastAsia="Calibri"/>
                <w:b/>
                <w:color w:val="000000"/>
                <w:sz w:val="20"/>
                <w:szCs w:val="20"/>
              </w:rPr>
            </w:pPr>
            <w:r w:rsidRPr="00BB5519">
              <w:rPr>
                <w:rFonts w:eastAsia="Calibri"/>
                <w:b/>
                <w:color w:val="000000"/>
                <w:sz w:val="20"/>
                <w:szCs w:val="20"/>
              </w:rPr>
              <w:t xml:space="preserve">Office 365 Enterprise E </w:t>
            </w:r>
          </w:p>
        </w:tc>
        <w:tc>
          <w:tcPr>
            <w:tcW w:w="4366" w:type="dxa"/>
            <w:shd w:val="clear" w:color="auto" w:fill="FABF8F"/>
          </w:tcPr>
          <w:p w:rsidR="00A83600" w:rsidRPr="00BB5519" w:rsidRDefault="00A83600" w:rsidP="00722522">
            <w:pPr>
              <w:rPr>
                <w:rFonts w:eastAsia="Calibri"/>
                <w:b/>
                <w:color w:val="000000"/>
                <w:sz w:val="20"/>
                <w:szCs w:val="20"/>
                <w:lang w:val="de-DE"/>
              </w:rPr>
            </w:pPr>
            <w:r w:rsidRPr="00BB5519">
              <w:rPr>
                <w:rFonts w:eastAsia="Calibri"/>
                <w:b/>
                <w:color w:val="000000"/>
                <w:sz w:val="20"/>
                <w:szCs w:val="20"/>
                <w:lang w:val="de-DE"/>
              </w:rPr>
              <w:t>Office 365 Government G-Dienst mit entsprechenden Nutzungsrechten</w:t>
            </w:r>
          </w:p>
        </w:tc>
      </w:tr>
      <w:tr w:rsidR="00A83600" w:rsidRPr="00BB5519" w:rsidTr="00CA14C9">
        <w:tc>
          <w:tcPr>
            <w:tcW w:w="4202" w:type="dxa"/>
            <w:shd w:val="clear" w:color="auto" w:fill="auto"/>
          </w:tcPr>
          <w:p w:rsidR="00A83600" w:rsidRPr="00BB5519" w:rsidRDefault="00A83600" w:rsidP="00722522">
            <w:pPr>
              <w:rPr>
                <w:rFonts w:eastAsia="Calibri"/>
                <w:color w:val="000000"/>
              </w:rPr>
            </w:pPr>
            <w:r w:rsidRPr="00BB5519">
              <w:rPr>
                <w:rFonts w:eastAsia="Calibri"/>
                <w:color w:val="000000"/>
              </w:rPr>
              <w:t>Office 365 Enterprise E1</w:t>
            </w:r>
          </w:p>
        </w:tc>
        <w:tc>
          <w:tcPr>
            <w:tcW w:w="4366" w:type="dxa"/>
            <w:shd w:val="clear" w:color="auto" w:fill="auto"/>
          </w:tcPr>
          <w:p w:rsidR="00A83600" w:rsidRPr="00BB5519" w:rsidRDefault="00A83600" w:rsidP="00722522">
            <w:pPr>
              <w:rPr>
                <w:rFonts w:eastAsia="Calibri"/>
                <w:color w:val="000000"/>
              </w:rPr>
            </w:pPr>
            <w:r w:rsidRPr="00BB5519">
              <w:rPr>
                <w:rFonts w:eastAsia="Calibri"/>
                <w:color w:val="000000"/>
              </w:rPr>
              <w:t>Office 365 Government G1</w:t>
            </w:r>
          </w:p>
        </w:tc>
      </w:tr>
      <w:tr w:rsidR="00A83600" w:rsidRPr="00BB5519" w:rsidTr="00CA14C9">
        <w:tc>
          <w:tcPr>
            <w:tcW w:w="4202" w:type="dxa"/>
            <w:shd w:val="clear" w:color="auto" w:fill="auto"/>
          </w:tcPr>
          <w:p w:rsidR="00A83600" w:rsidRPr="00BB5519" w:rsidRDefault="00A83600" w:rsidP="00722522">
            <w:pPr>
              <w:rPr>
                <w:rFonts w:eastAsia="Calibri"/>
                <w:color w:val="000000"/>
              </w:rPr>
            </w:pPr>
            <w:r w:rsidRPr="00BB5519">
              <w:rPr>
                <w:rFonts w:eastAsia="Calibri"/>
                <w:color w:val="000000"/>
              </w:rPr>
              <w:t>Office 365 Enterprise E2</w:t>
            </w:r>
          </w:p>
        </w:tc>
        <w:tc>
          <w:tcPr>
            <w:tcW w:w="4366" w:type="dxa"/>
            <w:shd w:val="clear" w:color="auto" w:fill="auto"/>
          </w:tcPr>
          <w:p w:rsidR="00A83600" w:rsidRPr="00BB5519" w:rsidRDefault="00A83600" w:rsidP="00722522">
            <w:pPr>
              <w:rPr>
                <w:rFonts w:eastAsia="Calibri"/>
                <w:color w:val="000000"/>
              </w:rPr>
            </w:pPr>
            <w:r w:rsidRPr="00BB5519">
              <w:rPr>
                <w:rFonts w:eastAsia="Calibri"/>
                <w:color w:val="000000"/>
              </w:rPr>
              <w:t>Office 365 Government G2</w:t>
            </w:r>
          </w:p>
        </w:tc>
      </w:tr>
      <w:tr w:rsidR="00A83600" w:rsidRPr="00BB5519" w:rsidTr="00CA14C9">
        <w:tc>
          <w:tcPr>
            <w:tcW w:w="4202" w:type="dxa"/>
            <w:shd w:val="clear" w:color="auto" w:fill="auto"/>
          </w:tcPr>
          <w:p w:rsidR="00A83600" w:rsidRPr="00BB5519" w:rsidRDefault="00A83600" w:rsidP="00722522">
            <w:pPr>
              <w:rPr>
                <w:rFonts w:eastAsia="Calibri"/>
                <w:color w:val="000000"/>
              </w:rPr>
            </w:pPr>
            <w:r w:rsidRPr="00BB5519">
              <w:rPr>
                <w:rFonts w:eastAsia="Calibri"/>
                <w:color w:val="000000"/>
              </w:rPr>
              <w:t>Office 365 Enterprise E3</w:t>
            </w:r>
          </w:p>
        </w:tc>
        <w:tc>
          <w:tcPr>
            <w:tcW w:w="4366" w:type="dxa"/>
            <w:shd w:val="clear" w:color="auto" w:fill="auto"/>
          </w:tcPr>
          <w:p w:rsidR="00A83600" w:rsidRPr="00BB5519" w:rsidRDefault="00A83600" w:rsidP="00722522">
            <w:pPr>
              <w:rPr>
                <w:rFonts w:eastAsia="Calibri"/>
                <w:color w:val="000000"/>
              </w:rPr>
            </w:pPr>
            <w:r w:rsidRPr="00BB5519">
              <w:rPr>
                <w:rFonts w:eastAsia="Calibri"/>
                <w:color w:val="000000"/>
              </w:rPr>
              <w:t>Office 365 Government G3</w:t>
            </w:r>
          </w:p>
        </w:tc>
      </w:tr>
      <w:tr w:rsidR="00A83600" w:rsidRPr="00BB5519" w:rsidTr="00CA14C9">
        <w:tc>
          <w:tcPr>
            <w:tcW w:w="4202" w:type="dxa"/>
            <w:shd w:val="clear" w:color="auto" w:fill="auto"/>
          </w:tcPr>
          <w:p w:rsidR="00A83600" w:rsidRPr="00BB5519" w:rsidRDefault="00A83600" w:rsidP="00722522">
            <w:pPr>
              <w:rPr>
                <w:rFonts w:eastAsia="Calibri"/>
                <w:color w:val="000000"/>
              </w:rPr>
            </w:pPr>
            <w:r w:rsidRPr="00BB5519">
              <w:rPr>
                <w:rFonts w:eastAsia="Calibri"/>
                <w:color w:val="000000"/>
              </w:rPr>
              <w:t>Office 365 Enterprise E4</w:t>
            </w:r>
          </w:p>
        </w:tc>
        <w:tc>
          <w:tcPr>
            <w:tcW w:w="4366" w:type="dxa"/>
            <w:shd w:val="clear" w:color="auto" w:fill="auto"/>
          </w:tcPr>
          <w:p w:rsidR="00A83600" w:rsidRPr="00BB5519" w:rsidRDefault="00A83600" w:rsidP="00722522">
            <w:pPr>
              <w:rPr>
                <w:rFonts w:eastAsia="Calibri"/>
                <w:color w:val="000000"/>
              </w:rPr>
            </w:pPr>
            <w:r w:rsidRPr="00BB5519">
              <w:rPr>
                <w:rFonts w:eastAsia="Calibri"/>
                <w:color w:val="000000"/>
              </w:rPr>
              <w:t>Office 365 Government G4</w:t>
            </w:r>
          </w:p>
        </w:tc>
      </w:tr>
    </w:tbl>
    <w:p w:rsidR="000A72E8" w:rsidRPr="00BB5519" w:rsidRDefault="000A72E8" w:rsidP="000A72E8">
      <w:pPr>
        <w:ind w:left="720"/>
        <w:rPr>
          <w:lang w:val="de-DE"/>
        </w:rPr>
      </w:pPr>
      <w:bookmarkStart w:id="1394" w:name="_68_SharePoint_Online"/>
      <w:bookmarkStart w:id="1395" w:name="_71_SharePoint_Online"/>
      <w:bookmarkStart w:id="1396" w:name="_Toc336338334"/>
      <w:bookmarkStart w:id="1397" w:name="Srv_73SharepointOnlinePlan1"/>
      <w:bookmarkStart w:id="1398" w:name="Srv_74SharepointOnlinePlan1"/>
      <w:bookmarkStart w:id="1399" w:name="Srv_62OfficePerfPointSvr07"/>
      <w:bookmarkEnd w:id="1369"/>
      <w:bookmarkEnd w:id="1394"/>
      <w:bookmarkEnd w:id="1395"/>
    </w:p>
    <w:p w:rsidR="000A72E8" w:rsidRPr="00BB5519" w:rsidRDefault="000A72E8" w:rsidP="000A72E8">
      <w:pPr>
        <w:ind w:left="720"/>
        <w:rPr>
          <w:lang w:val="de-DE"/>
        </w:rPr>
      </w:pPr>
    </w:p>
    <w:p w:rsidR="00F42FD5" w:rsidRPr="00BB5519" w:rsidRDefault="00F66FB0" w:rsidP="000A72E8">
      <w:pPr>
        <w:pStyle w:val="Heading2"/>
        <w:ind w:left="0"/>
      </w:pPr>
      <w:bookmarkStart w:id="1400" w:name="_Toc354055027"/>
      <w:r w:rsidRPr="00BB5519">
        <w:rPr>
          <w:rFonts w:ascii="Tahoma" w:hAnsi="Tahoma" w:cs="Tahoma"/>
          <w:caps/>
          <w:color w:val="FF6600"/>
          <w:sz w:val="22"/>
          <w:vertAlign w:val="superscript"/>
        </w:rPr>
        <w:t>72</w:t>
      </w:r>
      <w:r w:rsidRPr="00BB5519">
        <w:rPr>
          <w:rFonts w:ascii="Tahoma" w:hAnsi="Tahoma" w:cs="Tahoma"/>
          <w:color w:val="FF6600"/>
        </w:rPr>
        <w:t xml:space="preserve"> </w:t>
      </w:r>
      <w:r w:rsidRPr="00BB5519">
        <w:rPr>
          <w:rFonts w:ascii="Tahoma" w:hAnsi="Tahoma" w:cs="Tahoma"/>
          <w:color w:val="FF6600"/>
          <w:sz w:val="22"/>
          <w:szCs w:val="22"/>
        </w:rPr>
        <w:t>SharePoint Online Plan 1 und 2</w:t>
      </w:r>
      <w:bookmarkEnd w:id="1396"/>
      <w:bookmarkEnd w:id="1400"/>
    </w:p>
    <w:bookmarkEnd w:id="1397"/>
    <w:bookmarkEnd w:id="1398"/>
    <w:p w:rsidR="00F42FD5" w:rsidRPr="00BB5519" w:rsidRDefault="00F42FD5" w:rsidP="000A72E8"/>
    <w:p w:rsidR="00F42FD5" w:rsidRPr="00BB5519" w:rsidRDefault="00F42FD5" w:rsidP="000A72E8">
      <w:pPr>
        <w:pStyle w:val="EndnoteText"/>
        <w:ind w:left="720"/>
      </w:pPr>
      <w:r w:rsidRPr="00BB5519">
        <w:rPr>
          <w:rFonts w:ascii="Tahoma" w:hAnsi="Tahoma" w:cs="Tahoma"/>
          <w:color w:val="000000"/>
          <w:sz w:val="18"/>
          <w:szCs w:val="18"/>
        </w:rPr>
        <w:t>SharePoint Online Plan 1 hieß zuvor SharePoint Online Standard.</w:t>
      </w:r>
    </w:p>
    <w:p w:rsidR="00F42FD5" w:rsidRPr="00BB5519" w:rsidRDefault="00F42FD5" w:rsidP="000A72E8">
      <w:pPr>
        <w:pStyle w:val="EndnoteText"/>
        <w:ind w:left="720"/>
      </w:pPr>
    </w:p>
    <w:p w:rsidR="00F42FD5" w:rsidRPr="00BB5519" w:rsidRDefault="00F42FD5" w:rsidP="00AC0ED2">
      <w:pPr>
        <w:pStyle w:val="EndnoteText"/>
        <w:ind w:left="720"/>
        <w:rPr>
          <w:lang w:val="de-DE"/>
        </w:rPr>
      </w:pPr>
      <w:r w:rsidRPr="00BB5519">
        <w:rPr>
          <w:rFonts w:ascii="Tahoma" w:hAnsi="Tahoma" w:cs="Tahoma"/>
          <w:color w:val="000000"/>
          <w:sz w:val="18"/>
          <w:szCs w:val="18"/>
          <w:lang w:val="de-DE"/>
        </w:rPr>
        <w:t>Kunden in Brasilien oder Chile, die SharePoint Online Plan 1 erwerben, werden für SharePoint Online Standard freigeschaltet.</w:t>
      </w:r>
      <w:r w:rsidR="009E4976" w:rsidRPr="00BB5519">
        <w:rPr>
          <w:rFonts w:ascii="Tahoma" w:hAnsi="Tahoma" w:cs="Tahoma"/>
          <w:color w:val="000000"/>
          <w:sz w:val="18"/>
          <w:szCs w:val="18"/>
          <w:lang w:val="de-DE"/>
        </w:rPr>
        <w:t xml:space="preserve"> </w:t>
      </w:r>
      <w:r w:rsidRPr="00BB5519">
        <w:rPr>
          <w:rFonts w:ascii="Tahoma" w:hAnsi="Tahoma" w:cs="Tahoma"/>
          <w:color w:val="000000"/>
          <w:sz w:val="18"/>
          <w:szCs w:val="18"/>
          <w:lang w:val="de-DE"/>
        </w:rPr>
        <w:t>Diese Kunden sind berechtigt, später auf SharePoint Online Plan 1 zu migrieren.</w:t>
      </w:r>
    </w:p>
    <w:p w:rsidR="007316A1" w:rsidRPr="00BB5519" w:rsidRDefault="007316A1" w:rsidP="00AC0ED2">
      <w:pPr>
        <w:pStyle w:val="EndnoteText"/>
        <w:ind w:left="720"/>
        <w:rPr>
          <w:lang w:val="de-DE"/>
        </w:rPr>
      </w:pPr>
    </w:p>
    <w:p w:rsidR="00DB7BD1" w:rsidRPr="00BB5519" w:rsidRDefault="00DB7BD1" w:rsidP="007B699C">
      <w:pPr>
        <w:spacing w:after="60"/>
        <w:ind w:left="720"/>
      </w:pPr>
      <w:r w:rsidRPr="00BB5519">
        <w:rPr>
          <w:rFonts w:eastAsia="Calibri" w:cs="Tahoma"/>
          <w:b/>
          <w:color w:val="000000"/>
          <w:szCs w:val="18"/>
        </w:rPr>
        <w:t>Government Community Cloud (nur USA)</w:t>
      </w:r>
    </w:p>
    <w:p w:rsidR="00DB7BD1" w:rsidRPr="00BB5519" w:rsidRDefault="00DB7BD1" w:rsidP="00AC0ED2">
      <w:pPr>
        <w:ind w:left="720"/>
        <w:rPr>
          <w:lang w:val="de-DE"/>
        </w:rPr>
      </w:pPr>
      <w:r w:rsidRPr="00BB5519">
        <w:rPr>
          <w:rFonts w:eastAsia="Calibri" w:cs="Tahoma"/>
          <w:color w:val="000000"/>
          <w:szCs w:val="18"/>
        </w:rPr>
        <w:t>Einige Onlinedienste in der Office 365-Produktfamilie (darunter SharePoint Online Plan 1 und 2) werden als Government Community Cloud-Dienste und Non-Government Community Cloud-Dienste angeboten.</w:t>
      </w:r>
      <w:r w:rsidR="009E4976" w:rsidRPr="00BB5519">
        <w:rPr>
          <w:rFonts w:eastAsia="Calibri" w:cs="Tahoma"/>
          <w:color w:val="000000"/>
          <w:szCs w:val="18"/>
        </w:rPr>
        <w:t xml:space="preserve"> </w:t>
      </w:r>
      <w:r w:rsidRPr="00BB5519">
        <w:rPr>
          <w:rFonts w:eastAsia="Calibri" w:cs="Tahoma"/>
          <w:color w:val="000000"/>
          <w:szCs w:val="18"/>
          <w:lang w:val="de-DE"/>
        </w:rPr>
        <w:t>Die Bereitstellung an Kunden kann in der einen oder anderen Form erfolgen, jedoch nicht als Kombination aus beidem.</w:t>
      </w:r>
      <w:r w:rsidR="009E4976" w:rsidRPr="00BB5519">
        <w:rPr>
          <w:rFonts w:eastAsia="Calibri" w:cs="Tahoma"/>
          <w:color w:val="000000"/>
          <w:szCs w:val="18"/>
          <w:lang w:val="de-DE"/>
        </w:rPr>
        <w:t xml:space="preserve"> </w:t>
      </w:r>
      <w:r w:rsidRPr="00BB5519">
        <w:rPr>
          <w:rFonts w:eastAsia="Calibri" w:cs="Tahoma"/>
          <w:color w:val="000000"/>
          <w:szCs w:val="18"/>
          <w:lang w:val="de-DE"/>
        </w:rPr>
        <w:t>Onlinedienste, die als Government Community Cloud bezeichnet werden, dürfen nicht in derselben Domäne bereitgestellt werden wie bestimmte Non-Government Community Cloud-Dienste.</w:t>
      </w:r>
      <w:r w:rsidR="009E4976" w:rsidRPr="00BB5519">
        <w:rPr>
          <w:rFonts w:eastAsia="Calibri" w:cs="Tahoma"/>
          <w:color w:val="000000"/>
          <w:szCs w:val="18"/>
          <w:lang w:val="de-DE"/>
        </w:rPr>
        <w:t xml:space="preserve"> </w:t>
      </w:r>
      <w:r w:rsidRPr="00BB5519">
        <w:rPr>
          <w:rFonts w:eastAsia="Calibri" w:cs="Tahoma"/>
          <w:color w:val="000000"/>
          <w:szCs w:val="18"/>
          <w:lang w:val="de-DE"/>
        </w:rPr>
        <w:t>Diese Beschränkung gilt für alle Onlinedienste, die zur Office 365-Produktfamilie gehören, darunter Exchange Online, SharePoint Online und Lync Online.</w:t>
      </w:r>
      <w:r w:rsidR="009E4976" w:rsidRPr="00BB5519">
        <w:rPr>
          <w:rFonts w:eastAsia="Calibri" w:cs="Tahoma"/>
          <w:color w:val="000000"/>
          <w:szCs w:val="18"/>
          <w:lang w:val="de-DE"/>
        </w:rPr>
        <w:t xml:space="preserve"> </w:t>
      </w:r>
    </w:p>
    <w:p w:rsidR="00DB7BD1" w:rsidRPr="00BB5519" w:rsidRDefault="00DB7BD1" w:rsidP="00AC0ED2">
      <w:pPr>
        <w:ind w:left="720"/>
        <w:rPr>
          <w:lang w:val="de-DE"/>
        </w:rPr>
      </w:pPr>
    </w:p>
    <w:p w:rsidR="00DB7BD1" w:rsidRPr="00BB5519" w:rsidRDefault="00DB7BD1" w:rsidP="00AC0ED2">
      <w:pPr>
        <w:ind w:left="720"/>
        <w:rPr>
          <w:lang w:val="de-DE"/>
        </w:rPr>
      </w:pPr>
      <w:r w:rsidRPr="00BB5519">
        <w:rPr>
          <w:rFonts w:eastAsia="Calibri" w:cs="Tahoma"/>
          <w:color w:val="000000"/>
          <w:szCs w:val="18"/>
          <w:lang w:val="de-DE"/>
        </w:rPr>
        <w:t>Wenn ein Onlinedienst in der Government Community Cloud bereitgestellt wird, bleibt er für die Dauer der Abonnementlaufzeit dort.</w:t>
      </w:r>
      <w:r w:rsidR="009E4976" w:rsidRPr="00BB5519">
        <w:rPr>
          <w:rFonts w:eastAsia="Calibri" w:cs="Tahoma"/>
          <w:color w:val="000000"/>
          <w:szCs w:val="18"/>
          <w:lang w:val="de-DE"/>
        </w:rPr>
        <w:t xml:space="preserve"> </w:t>
      </w:r>
      <w:r w:rsidRPr="00BB5519">
        <w:rPr>
          <w:rFonts w:eastAsia="Calibri" w:cs="Tahoma"/>
          <w:color w:val="000000"/>
          <w:szCs w:val="18"/>
          <w:lang w:val="de-DE"/>
        </w:rP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9E4976" w:rsidRPr="00BB5519">
        <w:rPr>
          <w:rFonts w:eastAsia="Calibri" w:cs="Tahoma"/>
          <w:color w:val="000000"/>
          <w:szCs w:val="18"/>
          <w:lang w:val="de-DE"/>
        </w:rPr>
        <w:t xml:space="preserve"> </w:t>
      </w:r>
      <w:r w:rsidRPr="00BB5519">
        <w:rPr>
          <w:rFonts w:eastAsia="Calibri" w:cs="Tahoma"/>
          <w:color w:val="000000"/>
          <w:szCs w:val="18"/>
          <w:lang w:val="de-DE"/>
        </w:rPr>
        <w:t>Die Nutzungsrechte für Government Community Cloud-Dienste entsprechen den Nutzungsrechten ihrer mehrinstanzenfähigen Standardäquivalente.</w:t>
      </w:r>
    </w:p>
    <w:p w:rsidR="00C737B6" w:rsidRPr="00BB5519" w:rsidRDefault="00C737B6" w:rsidP="00697E59">
      <w:pPr>
        <w:pStyle w:val="EndnoteText"/>
        <w:ind w:left="0"/>
        <w:rPr>
          <w:lang w:val="de-DE"/>
        </w:rPr>
      </w:pPr>
    </w:p>
    <w:p w:rsidR="007B699C" w:rsidRDefault="007B699C" w:rsidP="00697E59">
      <w:pPr>
        <w:pStyle w:val="EndnoteText"/>
        <w:ind w:left="0"/>
        <w:rPr>
          <w:lang w:val="de-DE"/>
        </w:rPr>
      </w:pPr>
    </w:p>
    <w:p w:rsidR="00A8247A" w:rsidRDefault="00A8247A" w:rsidP="00697E59">
      <w:pPr>
        <w:pStyle w:val="EndnoteText"/>
        <w:ind w:left="0"/>
        <w:rPr>
          <w:lang w:val="de-DE"/>
        </w:rPr>
      </w:pPr>
    </w:p>
    <w:p w:rsidR="00A8247A" w:rsidRDefault="00A8247A" w:rsidP="00697E59">
      <w:pPr>
        <w:pStyle w:val="EndnoteText"/>
        <w:ind w:left="0"/>
        <w:rPr>
          <w:lang w:val="de-DE"/>
        </w:rPr>
      </w:pPr>
    </w:p>
    <w:p w:rsidR="00A8247A" w:rsidRPr="00BB5519" w:rsidRDefault="00A8247A" w:rsidP="00697E59">
      <w:pPr>
        <w:pStyle w:val="EndnoteText"/>
        <w:ind w:left="0"/>
        <w:rPr>
          <w:lang w:val="de-DE"/>
        </w:rPr>
      </w:pPr>
    </w:p>
    <w:p w:rsidR="002F7FB8" w:rsidRPr="00BB5519" w:rsidRDefault="00F66FB0" w:rsidP="002F7FB8">
      <w:pPr>
        <w:pStyle w:val="Heading2"/>
        <w:ind w:left="0"/>
        <w:rPr>
          <w:lang w:val="de-DE"/>
        </w:rPr>
      </w:pPr>
      <w:bookmarkStart w:id="1401" w:name="_69_SharePoint_Server"/>
      <w:bookmarkStart w:id="1402" w:name="_74_72_SharePoint"/>
      <w:bookmarkStart w:id="1403" w:name="_73_SharePoint_Server"/>
      <w:bookmarkStart w:id="1404" w:name="_Toc336338335"/>
      <w:bookmarkStart w:id="1405" w:name="_Toc354055028"/>
      <w:bookmarkStart w:id="1406" w:name="Srv_65ShareptSvr10"/>
      <w:bookmarkStart w:id="1407" w:name="Srv_64OfficeShareptSvr10"/>
      <w:bookmarkStart w:id="1408" w:name="Srv_63OfficeShareptSvr07"/>
      <w:bookmarkStart w:id="1409" w:name="Srv_62OfficeShareptSvr07"/>
      <w:bookmarkEnd w:id="1399"/>
      <w:bookmarkEnd w:id="1401"/>
      <w:bookmarkEnd w:id="1402"/>
      <w:bookmarkEnd w:id="1403"/>
      <w:r w:rsidRPr="00BB5519">
        <w:rPr>
          <w:rFonts w:ascii="Tahoma" w:hAnsi="Tahoma" w:cs="Tahoma"/>
          <w:caps/>
          <w:color w:val="FA6500"/>
          <w:sz w:val="22"/>
          <w:vertAlign w:val="superscript"/>
          <w:lang w:val="de-DE"/>
        </w:rPr>
        <w:lastRenderedPageBreak/>
        <w:t xml:space="preserve">73 </w:t>
      </w:r>
      <w:r w:rsidRPr="00BB5519">
        <w:rPr>
          <w:rFonts w:ascii="Tahoma" w:hAnsi="Tahoma" w:cs="Tahoma"/>
          <w:color w:val="FA6500"/>
          <w:sz w:val="22"/>
          <w:lang w:val="de-DE"/>
        </w:rPr>
        <w:t xml:space="preserve">SharePoint Server </w:t>
      </w:r>
      <w:bookmarkEnd w:id="1404"/>
      <w:r w:rsidRPr="00BB5519">
        <w:rPr>
          <w:rFonts w:ascii="Tahoma" w:hAnsi="Tahoma" w:cs="Tahoma"/>
          <w:color w:val="FA6500"/>
          <w:sz w:val="22"/>
          <w:lang w:val="de-DE"/>
        </w:rPr>
        <w:t>2013</w:t>
      </w:r>
      <w:bookmarkEnd w:id="1405"/>
      <w:r w:rsidRPr="00BB5519">
        <w:rPr>
          <w:rFonts w:ascii="Tahoma" w:hAnsi="Tahoma" w:cs="Tahoma"/>
          <w:color w:val="FA6500"/>
          <w:sz w:val="22"/>
          <w:lang w:val="de-DE"/>
        </w:rPr>
        <w:t xml:space="preserve"> </w:t>
      </w:r>
    </w:p>
    <w:bookmarkEnd w:id="1406"/>
    <w:bookmarkEnd w:id="1407"/>
    <w:bookmarkEnd w:id="1408"/>
    <w:bookmarkEnd w:id="1409"/>
    <w:p w:rsidR="002F7FB8" w:rsidRPr="00BB5519" w:rsidRDefault="002F7FB8" w:rsidP="002F7FB8">
      <w:pPr>
        <w:ind w:left="720"/>
        <w:rPr>
          <w:lang w:val="de-DE"/>
        </w:rPr>
      </w:pPr>
    </w:p>
    <w:p w:rsidR="002F7FB8" w:rsidRPr="00BB5519" w:rsidRDefault="002F7FB8" w:rsidP="002F7FB8">
      <w:pPr>
        <w:ind w:left="720"/>
        <w:rPr>
          <w:lang w:val="de-DE"/>
        </w:rPr>
      </w:pPr>
      <w:r w:rsidRPr="00BB5519">
        <w:rPr>
          <w:rFonts w:cs="Tahoma"/>
          <w:color w:val="000000"/>
          <w:szCs w:val="18"/>
          <w:lang w:val="de-DE"/>
        </w:rPr>
        <w:t>SharePoint Server 2013 ist die neueste Version von SharePoint Server.</w:t>
      </w:r>
    </w:p>
    <w:p w:rsidR="002F7FB8" w:rsidRPr="00BB5519" w:rsidRDefault="002F7FB8" w:rsidP="002F7FB8">
      <w:pPr>
        <w:ind w:left="720"/>
        <w:rPr>
          <w:lang w:val="de-DE"/>
        </w:rPr>
      </w:pPr>
    </w:p>
    <w:p w:rsidR="002F7FB8" w:rsidRPr="00BB5519" w:rsidRDefault="002F7FB8" w:rsidP="007B699C">
      <w:pPr>
        <w:spacing w:after="60"/>
        <w:ind w:left="720"/>
        <w:rPr>
          <w:lang w:val="de-DE"/>
        </w:rPr>
      </w:pPr>
      <w:r w:rsidRPr="00BB5519">
        <w:rPr>
          <w:rFonts w:cs="Tahoma"/>
          <w:b/>
          <w:color w:val="000000"/>
          <w:szCs w:val="18"/>
          <w:lang w:val="de-DE"/>
        </w:rPr>
        <w:t>Lizenzgewährungen für SharePoint Server 2010 for Internet Sites Enterprise, SharePoint Server 2010 for Internet Sites Standard, FAST Search Server 2010 for SharePoint Server Customers, Search Server 2010</w:t>
      </w:r>
    </w:p>
    <w:p w:rsidR="002F7FB8" w:rsidRPr="00BB5519" w:rsidRDefault="00CD0D74" w:rsidP="002F7FB8">
      <w:pPr>
        <w:ind w:left="720"/>
        <w:rPr>
          <w:lang w:val="de-DE"/>
        </w:rPr>
      </w:pPr>
      <w:r w:rsidRPr="00BB5519">
        <w:rPr>
          <w:rFonts w:cs="Tahoma"/>
          <w:color w:val="000000"/>
          <w:szCs w:val="18"/>
          <w:lang w:val="de-DE"/>
        </w:rPr>
        <w:t>Die 2010-Version von SharePoint Server for Internet Sites Enterprise und SharePoint Server for Internet Sites Standard, FAST Search Server for SharePoint Server und Search Server ist die letzte Version dieser Produkte.</w:t>
      </w:r>
      <w:r w:rsidR="009E4976" w:rsidRPr="00BB5519">
        <w:rPr>
          <w:rFonts w:cs="Tahoma"/>
          <w:color w:val="000000"/>
          <w:szCs w:val="18"/>
          <w:lang w:val="de-DE"/>
        </w:rPr>
        <w:t xml:space="preserve"> </w:t>
      </w:r>
      <w:r w:rsidRPr="00BB5519">
        <w:rPr>
          <w:rFonts w:cs="Tahoma"/>
          <w:color w:val="000000"/>
          <w:szCs w:val="18"/>
          <w:lang w:val="de-DE"/>
        </w:rPr>
        <w:t>In Anbetracht dessen haben Kunden mit Lizenzen für SharePoint Server 2010 for Internet Sites Enterprise, SharePoint Server 2010 for Internet Sites Standard, FAST Search Server 2010 for SharePoint, Search Server 2010 mit aktiver Software Assurance zum 1. Dezember 2012 Anspruch auf die folgenden Lizenzgewährungen.</w:t>
      </w:r>
    </w:p>
    <w:p w:rsidR="002F7FB8" w:rsidRPr="00BB5519" w:rsidRDefault="002F7FB8" w:rsidP="002F7FB8">
      <w:pPr>
        <w:ind w:left="90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780"/>
      </w:tblGrid>
      <w:tr w:rsidR="002F7FB8" w:rsidRPr="00BB5519" w:rsidTr="000754C4">
        <w:trPr>
          <w:trHeight w:val="332"/>
        </w:trPr>
        <w:tc>
          <w:tcPr>
            <w:tcW w:w="4500" w:type="dxa"/>
            <w:shd w:val="clear" w:color="auto" w:fill="FABF8F"/>
          </w:tcPr>
          <w:p w:rsidR="002F7FB8" w:rsidRPr="00BB5519" w:rsidRDefault="002F7FB8" w:rsidP="007E466C">
            <w:pPr>
              <w:keepNext/>
              <w:keepLines/>
              <w:spacing w:before="60" w:after="60"/>
              <w:rPr>
                <w:rFonts w:cs="Tahoma"/>
                <w:b/>
                <w:color w:val="000000"/>
                <w:szCs w:val="18"/>
              </w:rPr>
            </w:pPr>
            <w:r w:rsidRPr="00BB5519">
              <w:rPr>
                <w:rFonts w:cs="Tahoma"/>
                <w:b/>
                <w:color w:val="000000"/>
                <w:szCs w:val="18"/>
              </w:rPr>
              <w:t>Kriterien für qualifizierende Lizenzen</w:t>
            </w:r>
          </w:p>
        </w:tc>
        <w:tc>
          <w:tcPr>
            <w:tcW w:w="3780" w:type="dxa"/>
            <w:shd w:val="clear" w:color="auto" w:fill="FABF8F"/>
          </w:tcPr>
          <w:p w:rsidR="002F7FB8" w:rsidRPr="00BB5519" w:rsidRDefault="002F7FB8" w:rsidP="007E466C">
            <w:pPr>
              <w:keepNext/>
              <w:keepLines/>
              <w:spacing w:before="60" w:after="60"/>
              <w:rPr>
                <w:rFonts w:cs="Tahoma"/>
                <w:b/>
                <w:color w:val="000000"/>
                <w:szCs w:val="18"/>
              </w:rPr>
            </w:pPr>
            <w:r w:rsidRPr="00BB5519">
              <w:rPr>
                <w:rFonts w:cs="Tahoma"/>
                <w:b/>
                <w:color w:val="000000"/>
                <w:szCs w:val="18"/>
              </w:rPr>
              <w:t>Zusätzliche Lizenzen und Vergünstigungen</w:t>
            </w:r>
          </w:p>
        </w:tc>
      </w:tr>
      <w:tr w:rsidR="00CD0D74" w:rsidRPr="00D244F0" w:rsidTr="000754C4">
        <w:trPr>
          <w:trHeight w:val="70"/>
        </w:trPr>
        <w:tc>
          <w:tcPr>
            <w:tcW w:w="4500" w:type="dxa"/>
            <w:shd w:val="clear" w:color="auto" w:fill="auto"/>
          </w:tcPr>
          <w:p w:rsidR="00CD0D74" w:rsidRPr="00BB5519" w:rsidRDefault="00CD0D74" w:rsidP="000754C4">
            <w:pPr>
              <w:keepNext/>
              <w:keepLines/>
              <w:rPr>
                <w:rFonts w:cs="Tahoma"/>
                <w:color w:val="000000"/>
                <w:szCs w:val="18"/>
              </w:rPr>
            </w:pPr>
            <w:r w:rsidRPr="00BB5519">
              <w:rPr>
                <w:rFonts w:cs="Tahoma"/>
                <w:color w:val="000000"/>
                <w:szCs w:val="18"/>
                <w:lang w:val="de-DE"/>
              </w:rPr>
              <w:t>Lizenz für SharePoint Server 2010 for Internet Sites Enterprise mit aktiver Software Assurance zum 1.</w:t>
            </w:r>
            <w:r w:rsidR="000754C4">
              <w:rPr>
                <w:rFonts w:cs="Tahoma"/>
                <w:color w:val="000000"/>
                <w:szCs w:val="18"/>
                <w:lang w:val="de-DE"/>
              </w:rPr>
              <w:t> </w:t>
            </w:r>
            <w:r w:rsidRPr="00BB5519">
              <w:rPr>
                <w:rFonts w:cs="Tahoma"/>
                <w:color w:val="000000"/>
                <w:szCs w:val="18"/>
              </w:rPr>
              <w:t>Dezember 2012</w:t>
            </w:r>
          </w:p>
        </w:tc>
        <w:tc>
          <w:tcPr>
            <w:tcW w:w="3780" w:type="dxa"/>
            <w:shd w:val="clear" w:color="auto" w:fill="auto"/>
          </w:tcPr>
          <w:p w:rsidR="00CD0D74" w:rsidRPr="00BB5519" w:rsidRDefault="00CD0D74" w:rsidP="00C066F9">
            <w:pPr>
              <w:keepNext/>
              <w:keepLines/>
              <w:rPr>
                <w:rFonts w:cs="Tahoma"/>
                <w:color w:val="000000"/>
                <w:szCs w:val="18"/>
                <w:lang w:val="de-DE"/>
              </w:rPr>
            </w:pPr>
            <w:r w:rsidRPr="00BB5519">
              <w:rPr>
                <w:rFonts w:cs="Tahoma"/>
                <w:color w:val="000000"/>
                <w:szCs w:val="18"/>
                <w:lang w:val="de-DE"/>
              </w:rPr>
              <w:t>Eine Lizenz für SharePoint Server 2013</w:t>
            </w:r>
          </w:p>
        </w:tc>
      </w:tr>
      <w:tr w:rsidR="00CD0D74" w:rsidRPr="00D244F0" w:rsidTr="000754C4">
        <w:trPr>
          <w:trHeight w:val="152"/>
        </w:trPr>
        <w:tc>
          <w:tcPr>
            <w:tcW w:w="4500" w:type="dxa"/>
            <w:shd w:val="clear" w:color="auto" w:fill="auto"/>
          </w:tcPr>
          <w:p w:rsidR="00CD0D74" w:rsidRPr="00BB5519" w:rsidRDefault="00CD0D74" w:rsidP="000754C4">
            <w:pPr>
              <w:keepNext/>
              <w:keepLines/>
              <w:rPr>
                <w:rFonts w:cs="Tahoma"/>
                <w:color w:val="000000"/>
                <w:szCs w:val="18"/>
              </w:rPr>
            </w:pPr>
            <w:r w:rsidRPr="00BB5519">
              <w:rPr>
                <w:rFonts w:cs="Tahoma"/>
                <w:color w:val="000000"/>
                <w:szCs w:val="18"/>
                <w:lang w:val="de-DE"/>
              </w:rPr>
              <w:t>Lizenz für SharePoint Server 2010 for Internet Sites Standard mit aktiver Software Assurance zum 1.</w:t>
            </w:r>
            <w:r w:rsidR="000754C4">
              <w:rPr>
                <w:rFonts w:cs="Tahoma"/>
                <w:color w:val="000000"/>
                <w:szCs w:val="18"/>
                <w:lang w:val="de-DE"/>
              </w:rPr>
              <w:t> </w:t>
            </w:r>
            <w:r w:rsidRPr="00BB5519">
              <w:rPr>
                <w:rFonts w:cs="Tahoma"/>
                <w:color w:val="000000"/>
                <w:szCs w:val="18"/>
              </w:rPr>
              <w:t xml:space="preserve">Dezember 2012 </w:t>
            </w:r>
          </w:p>
        </w:tc>
        <w:tc>
          <w:tcPr>
            <w:tcW w:w="3780" w:type="dxa"/>
            <w:shd w:val="clear" w:color="auto" w:fill="auto"/>
          </w:tcPr>
          <w:p w:rsidR="00CD0D74" w:rsidRPr="00BB5519" w:rsidRDefault="00CD0D74" w:rsidP="00C066F9">
            <w:pPr>
              <w:keepNext/>
              <w:keepLines/>
              <w:rPr>
                <w:rFonts w:cs="Tahoma"/>
                <w:color w:val="000000"/>
                <w:szCs w:val="18"/>
                <w:lang w:val="de-DE"/>
              </w:rPr>
            </w:pPr>
            <w:r w:rsidRPr="00BB5519">
              <w:rPr>
                <w:rFonts w:cs="Tahoma"/>
                <w:color w:val="000000"/>
                <w:szCs w:val="18"/>
                <w:lang w:val="de-DE"/>
              </w:rPr>
              <w:t>Eine Lizenz für SharePoint Server 2013</w:t>
            </w:r>
          </w:p>
        </w:tc>
      </w:tr>
      <w:tr w:rsidR="00CD0D74" w:rsidRPr="00D244F0" w:rsidTr="000754C4">
        <w:trPr>
          <w:trHeight w:val="152"/>
        </w:trPr>
        <w:tc>
          <w:tcPr>
            <w:tcW w:w="4500" w:type="dxa"/>
            <w:shd w:val="clear" w:color="auto" w:fill="auto"/>
          </w:tcPr>
          <w:p w:rsidR="00CD0D74" w:rsidRPr="00BB5519" w:rsidRDefault="00CD0D74" w:rsidP="000754C4">
            <w:pPr>
              <w:keepNext/>
              <w:keepLines/>
              <w:rPr>
                <w:rFonts w:cs="Tahoma"/>
                <w:color w:val="000000"/>
                <w:szCs w:val="18"/>
              </w:rPr>
            </w:pPr>
            <w:r w:rsidRPr="00BB5519">
              <w:rPr>
                <w:rFonts w:cs="Tahoma"/>
                <w:color w:val="000000"/>
                <w:szCs w:val="18"/>
                <w:lang w:val="de-DE"/>
              </w:rPr>
              <w:t>Lizenz für FAST Search Server 2010 for SharePoint Server mit aktiver Software Assurance zum 1.</w:t>
            </w:r>
            <w:r w:rsidR="000754C4">
              <w:rPr>
                <w:rFonts w:cs="Tahoma"/>
                <w:color w:val="000000"/>
                <w:szCs w:val="18"/>
                <w:lang w:val="de-DE"/>
              </w:rPr>
              <w:t> </w:t>
            </w:r>
            <w:r w:rsidRPr="00BB5519">
              <w:rPr>
                <w:rFonts w:cs="Tahoma"/>
                <w:color w:val="000000"/>
                <w:szCs w:val="18"/>
              </w:rPr>
              <w:t>Dezember 2012</w:t>
            </w:r>
          </w:p>
        </w:tc>
        <w:tc>
          <w:tcPr>
            <w:tcW w:w="3780" w:type="dxa"/>
            <w:shd w:val="clear" w:color="auto" w:fill="auto"/>
          </w:tcPr>
          <w:p w:rsidR="00CD0D74" w:rsidRPr="00BB5519" w:rsidRDefault="00CD0D74" w:rsidP="00C066F9">
            <w:pPr>
              <w:keepNext/>
              <w:keepLines/>
              <w:rPr>
                <w:rFonts w:cs="Tahoma"/>
                <w:color w:val="000000"/>
                <w:szCs w:val="18"/>
                <w:lang w:val="de-DE"/>
              </w:rPr>
            </w:pPr>
            <w:r w:rsidRPr="00BB5519">
              <w:rPr>
                <w:rFonts w:cs="Tahoma"/>
                <w:color w:val="000000"/>
                <w:szCs w:val="18"/>
                <w:lang w:val="de-DE"/>
              </w:rPr>
              <w:t>Eine Lizenz für SharePoint Server 2013</w:t>
            </w:r>
          </w:p>
        </w:tc>
      </w:tr>
      <w:tr w:rsidR="00CD0D74" w:rsidRPr="00BB5519" w:rsidTr="000754C4">
        <w:trPr>
          <w:trHeight w:val="233"/>
        </w:trPr>
        <w:tc>
          <w:tcPr>
            <w:tcW w:w="4500" w:type="dxa"/>
            <w:shd w:val="clear" w:color="auto" w:fill="auto"/>
          </w:tcPr>
          <w:p w:rsidR="00CD0D74" w:rsidRPr="00BB5519" w:rsidRDefault="00CD0D74" w:rsidP="00C066F9">
            <w:pPr>
              <w:keepNext/>
              <w:keepLines/>
              <w:rPr>
                <w:rFonts w:cs="Tahoma"/>
                <w:color w:val="000000"/>
                <w:szCs w:val="18"/>
              </w:rPr>
            </w:pPr>
            <w:r w:rsidRPr="00BB5519">
              <w:rPr>
                <w:rFonts w:cs="Tahoma"/>
                <w:color w:val="000000"/>
                <w:szCs w:val="18"/>
                <w:lang w:val="de-DE"/>
              </w:rPr>
              <w:t xml:space="preserve">Lizenz für Search Server 2010 mit aktiver Software Assurance zum 1. </w:t>
            </w:r>
            <w:r w:rsidRPr="00BB5519">
              <w:rPr>
                <w:rFonts w:cs="Tahoma"/>
                <w:color w:val="000000"/>
                <w:szCs w:val="18"/>
              </w:rPr>
              <w:t>Dezember 2012</w:t>
            </w:r>
          </w:p>
        </w:tc>
        <w:tc>
          <w:tcPr>
            <w:tcW w:w="3780" w:type="dxa"/>
            <w:shd w:val="clear" w:color="auto" w:fill="auto"/>
          </w:tcPr>
          <w:p w:rsidR="00CD0D74" w:rsidRPr="00BB5519" w:rsidRDefault="00CD0D74" w:rsidP="00C066F9">
            <w:pPr>
              <w:keepNext/>
              <w:keepLines/>
              <w:rPr>
                <w:lang w:val="de-DE"/>
              </w:rPr>
            </w:pPr>
            <w:r w:rsidRPr="00BB5519">
              <w:rPr>
                <w:rFonts w:cs="Tahoma"/>
                <w:color w:val="000000"/>
                <w:szCs w:val="18"/>
                <w:lang w:val="de-DE"/>
              </w:rPr>
              <w:t xml:space="preserve">Eine Lizenz für SharePoint Server 2013 </w:t>
            </w:r>
            <w:r w:rsidRPr="00BB5519">
              <w:rPr>
                <w:rFonts w:cs="Tahoma"/>
                <w:b/>
                <w:color w:val="000000"/>
                <w:szCs w:val="18"/>
                <w:lang w:val="de-DE"/>
              </w:rPr>
              <w:t>und</w:t>
            </w:r>
          </w:p>
          <w:p w:rsidR="00CD0D74" w:rsidRPr="00BB5519" w:rsidRDefault="00CD0D74" w:rsidP="00C066F9">
            <w:pPr>
              <w:keepNext/>
              <w:keepLines/>
              <w:rPr>
                <w:lang w:val="de-DE"/>
              </w:rPr>
            </w:pPr>
          </w:p>
          <w:p w:rsidR="00CD0D74" w:rsidRPr="00BB5519" w:rsidRDefault="00CD0D74" w:rsidP="00C066F9">
            <w:pPr>
              <w:keepNext/>
              <w:keepLines/>
              <w:rPr>
                <w:rFonts w:cs="Tahoma"/>
                <w:color w:val="000000"/>
                <w:szCs w:val="18"/>
              </w:rPr>
            </w:pPr>
            <w:r w:rsidRPr="00BB5519">
              <w:rPr>
                <w:rFonts w:cs="Tahoma"/>
                <w:color w:val="000000"/>
                <w:szCs w:val="18"/>
              </w:rPr>
              <w:t>100 CALs für SharePoint Server 2013 Standard</w:t>
            </w:r>
          </w:p>
        </w:tc>
      </w:tr>
    </w:tbl>
    <w:p w:rsidR="00586FCE" w:rsidRPr="00BB5519" w:rsidRDefault="00586FCE" w:rsidP="00586FCE"/>
    <w:p w:rsidR="002F7FB8" w:rsidRPr="00BB5519" w:rsidRDefault="002F7FB8" w:rsidP="002F7FB8">
      <w:pPr>
        <w:ind w:left="720"/>
        <w:rPr>
          <w:lang w:val="de-DE"/>
        </w:rPr>
      </w:pPr>
      <w:r w:rsidRPr="00BB5519">
        <w:rPr>
          <w:rFonts w:cs="Tahoma"/>
          <w:color w:val="000000"/>
          <w:szCs w:val="18"/>
          <w:lang w:val="de-DE"/>
        </w:rPr>
        <w:t>Die folgenden Bestimmungen gelten für die Lizenzgewährung oben.</w:t>
      </w:r>
    </w:p>
    <w:p w:rsidR="002F7FB8" w:rsidRPr="00BB5519" w:rsidRDefault="002F7FB8" w:rsidP="002F7FB8">
      <w:pPr>
        <w:ind w:left="720"/>
        <w:rPr>
          <w:lang w:val="de-DE"/>
        </w:rPr>
      </w:pPr>
    </w:p>
    <w:p w:rsidR="002F7FB8" w:rsidRPr="00BB5519" w:rsidRDefault="002F7FB8" w:rsidP="00021BF7">
      <w:pPr>
        <w:keepNext/>
        <w:keepLines/>
        <w:numPr>
          <w:ilvl w:val="0"/>
          <w:numId w:val="124"/>
        </w:numPr>
        <w:spacing w:after="60"/>
        <w:ind w:left="1440"/>
        <w:rPr>
          <w:lang w:val="de-DE"/>
        </w:rPr>
      </w:pPr>
      <w:r w:rsidRPr="00BB5519">
        <w:rPr>
          <w:rFonts w:cs="Tahoma"/>
          <w:bCs/>
          <w:color w:val="000000"/>
          <w:szCs w:val="18"/>
          <w:u w:val="single"/>
          <w:lang w:val="de-DE"/>
        </w:rPr>
        <w:t>Migrationspfad</w:t>
      </w:r>
      <w:r w:rsidRPr="000754C4">
        <w:rPr>
          <w:rFonts w:cs="Tahoma"/>
          <w:color w:val="000000"/>
          <w:szCs w:val="18"/>
          <w:lang w:val="de-DE"/>
        </w:rPr>
        <w:t>:</w:t>
      </w:r>
      <w:r w:rsidRPr="00BB5519">
        <w:rPr>
          <w:rFonts w:cs="Tahoma"/>
          <w:color w:val="000000"/>
          <w:szCs w:val="18"/>
          <w:lang w:val="de-DE"/>
        </w:rPr>
        <w:t xml:space="preserve"> Kunden mit aktiver Software Assurance für eine bestimmte Qualifizierende Lizenz zum 1. Dezember 2012 sind nach Freigabe von SharePoint Server 2013 berechtigt, unter der Zusätzlichen Lizenz auf die Software SharePoint 2013 upzugraden und sie anstelle der entsprechenden lizenzierten Kopie der 2010-Software zu verwenden.</w:t>
      </w:r>
      <w:r w:rsidR="009E4976" w:rsidRPr="00BB5519">
        <w:rPr>
          <w:rFonts w:cs="Tahoma"/>
          <w:color w:val="000000"/>
          <w:szCs w:val="18"/>
          <w:lang w:val="de-DE"/>
        </w:rPr>
        <w:t xml:space="preserve"> </w:t>
      </w:r>
    </w:p>
    <w:p w:rsidR="002F7FB8" w:rsidRPr="00BB5519" w:rsidRDefault="002F7FB8" w:rsidP="000754C4">
      <w:pPr>
        <w:numPr>
          <w:ilvl w:val="0"/>
          <w:numId w:val="124"/>
        </w:numPr>
        <w:spacing w:after="60"/>
        <w:ind w:left="1440"/>
        <w:rPr>
          <w:lang w:val="de-DE"/>
        </w:rPr>
      </w:pPr>
      <w:r w:rsidRPr="00BB5519">
        <w:rPr>
          <w:rFonts w:cs="Tahoma"/>
          <w:color w:val="000000"/>
          <w:szCs w:val="18"/>
          <w:u w:val="single"/>
          <w:lang w:val="de-DE"/>
        </w:rPr>
        <w:t>Nutzungsrechte</w:t>
      </w:r>
      <w:r w:rsidRPr="000754C4">
        <w:rPr>
          <w:rFonts w:cs="Tahoma"/>
          <w:color w:val="000000"/>
          <w:szCs w:val="18"/>
          <w:lang w:val="de-DE"/>
        </w:rPr>
        <w:t xml:space="preserve">: </w:t>
      </w:r>
      <w:r w:rsidRPr="00BB5519">
        <w:rPr>
          <w:rFonts w:cs="Tahoma"/>
          <w:color w:val="000000"/>
          <w:szCs w:val="18"/>
          <w:lang w:val="de-DE"/>
        </w:rPr>
        <w:t>Das Recht zur Nutzung der Software unter der Zusätzlichen Lizenz unter diesem Angebot gilt bis zum Ablauf des Rechts zur Nutzung der Software unter der Qualifizierenden Lizenz.</w:t>
      </w:r>
      <w:r w:rsidR="000754C4">
        <w:rPr>
          <w:rFonts w:cs="Tahoma"/>
          <w:color w:val="000000"/>
          <w:szCs w:val="18"/>
          <w:lang w:val="de-DE"/>
        </w:rPr>
        <w:t> </w:t>
      </w:r>
      <w:r w:rsidRPr="00BB5519">
        <w:rPr>
          <w:rFonts w:cs="Tahoma"/>
          <w:color w:val="000000"/>
          <w:szCs w:val="18"/>
          <w:lang w:val="de-DE"/>
        </w:rPr>
        <w:t>Die Nutzung dieser Software unterliegt den Nutzungsrechten für die Software sowie den</w:t>
      </w:r>
      <w:r w:rsidR="000754C4">
        <w:rPr>
          <w:rFonts w:cs="Tahoma"/>
          <w:color w:val="000000"/>
          <w:szCs w:val="18"/>
          <w:lang w:val="de-DE"/>
        </w:rPr>
        <w:t> </w:t>
      </w:r>
      <w:r w:rsidRPr="00BB5519">
        <w:rPr>
          <w:rFonts w:cs="Tahoma"/>
          <w:color w:val="000000"/>
          <w:szCs w:val="18"/>
          <w:lang w:val="de-DE"/>
        </w:rPr>
        <w:t>Bestimmungen des Volumenlizenzvertrages des Kunden.</w:t>
      </w:r>
      <w:r w:rsidR="009E4976" w:rsidRPr="00BB5519">
        <w:rPr>
          <w:rFonts w:cs="Tahoma"/>
          <w:color w:val="000000"/>
          <w:szCs w:val="18"/>
          <w:lang w:val="de-DE"/>
        </w:rPr>
        <w:t xml:space="preserve"> </w:t>
      </w:r>
      <w:r w:rsidRPr="00BB5519">
        <w:rPr>
          <w:rFonts w:cs="Tahoma"/>
          <w:color w:val="000000"/>
          <w:szCs w:val="18"/>
          <w:lang w:val="de-DE"/>
        </w:rPr>
        <w:t>Dieser Hinweis auf die Produktbedingungen und der Nachweis des Kunden über die entsprechende Qualifizierende Lizenz</w:t>
      </w:r>
      <w:r w:rsidR="000754C4">
        <w:rPr>
          <w:rFonts w:cs="Tahoma"/>
          <w:color w:val="000000"/>
          <w:szCs w:val="18"/>
          <w:lang w:val="de-DE"/>
        </w:rPr>
        <w:t> </w:t>
      </w:r>
      <w:r w:rsidRPr="00BB5519">
        <w:rPr>
          <w:rFonts w:cs="Tahoma"/>
          <w:color w:val="000000"/>
          <w:szCs w:val="18"/>
          <w:lang w:val="de-DE"/>
        </w:rPr>
        <w:t>und Software Assurance belegen zusammen das Recht zur Nutzung der Software unter der</w:t>
      </w:r>
      <w:r w:rsidR="000754C4">
        <w:rPr>
          <w:rFonts w:cs="Tahoma"/>
          <w:color w:val="000000"/>
          <w:szCs w:val="18"/>
          <w:lang w:val="de-DE"/>
        </w:rPr>
        <w:t> </w:t>
      </w:r>
      <w:r w:rsidRPr="00BB5519">
        <w:rPr>
          <w:rFonts w:cs="Tahoma"/>
          <w:color w:val="000000"/>
          <w:szCs w:val="18"/>
          <w:lang w:val="de-DE"/>
        </w:rPr>
        <w:t xml:space="preserve">Zusätzlichen Lizenz unter diesem Angebot. </w:t>
      </w:r>
    </w:p>
    <w:p w:rsidR="002F7FB8" w:rsidRPr="00BB5519" w:rsidRDefault="002F7FB8" w:rsidP="000754C4">
      <w:pPr>
        <w:numPr>
          <w:ilvl w:val="0"/>
          <w:numId w:val="8"/>
        </w:numPr>
        <w:spacing w:after="60"/>
        <w:ind w:left="1440"/>
        <w:rPr>
          <w:lang w:val="de-DE"/>
        </w:rPr>
      </w:pPr>
      <w:r w:rsidRPr="00BB5519">
        <w:rPr>
          <w:rFonts w:cs="Tahoma"/>
          <w:color w:val="000000"/>
          <w:szCs w:val="18"/>
          <w:u w:val="single"/>
          <w:lang w:val="de-DE"/>
        </w:rPr>
        <w:t>Lizenz und Software Assurance</w:t>
      </w:r>
      <w:r w:rsidRPr="00BB5519">
        <w:rPr>
          <w:rFonts w:cs="Tahoma"/>
          <w:color w:val="000000"/>
          <w:szCs w:val="18"/>
          <w:lang w:val="de-DE"/>
        </w:rPr>
        <w:t>: Die Zusätzliche Lizenz enthält Software Assurance.</w:t>
      </w:r>
      <w:r w:rsidR="009E4976" w:rsidRPr="00BB5519">
        <w:rPr>
          <w:rFonts w:cs="Tahoma"/>
          <w:color w:val="000000"/>
          <w:szCs w:val="18"/>
          <w:lang w:val="de-DE"/>
        </w:rPr>
        <w:t xml:space="preserve"> </w:t>
      </w:r>
      <w:r w:rsidRPr="00BB5519">
        <w:rPr>
          <w:rFonts w:cs="Tahoma"/>
          <w:color w:val="000000"/>
          <w:szCs w:val="18"/>
          <w:lang w:val="de-DE"/>
        </w:rPr>
        <w:t>Software Assurance für die Zusätzliche Lizenz gilt bis zum Ablauf der Software Assurance für die Qualifizierende Lizenz.</w:t>
      </w:r>
      <w:r w:rsidR="009E4976" w:rsidRPr="00BB5519">
        <w:rPr>
          <w:rFonts w:cs="Tahoma"/>
          <w:color w:val="000000"/>
          <w:szCs w:val="18"/>
          <w:lang w:val="de-DE"/>
        </w:rPr>
        <w:t xml:space="preserve"> </w:t>
      </w:r>
      <w:r w:rsidRPr="00BB5519">
        <w:rPr>
          <w:rFonts w:cs="Tahoma"/>
          <w:color w:val="000000"/>
          <w:szCs w:val="18"/>
          <w:lang w:val="de-DE"/>
        </w:rPr>
        <w:t>Nach Ablauf von Software Assurance für die Qualifizierende Lizenz kann der</w:t>
      </w:r>
      <w:r w:rsidR="000754C4">
        <w:rPr>
          <w:rFonts w:cs="Tahoma"/>
          <w:color w:val="000000"/>
          <w:szCs w:val="18"/>
          <w:lang w:val="de-DE"/>
        </w:rPr>
        <w:t> </w:t>
      </w:r>
      <w:r w:rsidRPr="00BB5519">
        <w:rPr>
          <w:rFonts w:cs="Tahoma"/>
          <w:color w:val="000000"/>
          <w:szCs w:val="18"/>
          <w:lang w:val="de-DE"/>
        </w:rPr>
        <w:t>Kunde Software Assurance für die Zusätzliche Lizenz verlängern, ohne separat eine neue Lizenz erwerben zu müssen.</w:t>
      </w:r>
    </w:p>
    <w:p w:rsidR="002F7FB8" w:rsidRPr="00A8247A" w:rsidRDefault="002F7FB8" w:rsidP="007B699C">
      <w:pPr>
        <w:numPr>
          <w:ilvl w:val="0"/>
          <w:numId w:val="125"/>
        </w:numPr>
        <w:spacing w:after="60"/>
        <w:ind w:left="1440"/>
        <w:rPr>
          <w:lang w:val="de-DE"/>
        </w:rPr>
      </w:pPr>
      <w:r w:rsidRPr="00BB5519">
        <w:rPr>
          <w:rFonts w:eastAsia="Calibri" w:cs="Tahoma"/>
          <w:color w:val="000000"/>
          <w:szCs w:val="18"/>
          <w:u w:val="single"/>
          <w:lang w:val="de-DE"/>
        </w:rPr>
        <w:t>True Ups</w:t>
      </w:r>
      <w:r w:rsidRPr="00BB5519">
        <w:rPr>
          <w:rFonts w:eastAsia="Calibri" w:cs="Tahoma"/>
          <w:bCs/>
          <w:color w:val="000000"/>
          <w:szCs w:val="18"/>
          <w:lang w:val="de-DE"/>
        </w:rPr>
        <w:t>.</w:t>
      </w:r>
      <w:r w:rsidR="009E4976" w:rsidRPr="00BB5519">
        <w:rPr>
          <w:rFonts w:eastAsia="Calibri" w:cs="Tahoma"/>
          <w:color w:val="000000"/>
          <w:szCs w:val="18"/>
          <w:lang w:val="de-DE"/>
        </w:rPr>
        <w:t xml:space="preserve"> </w:t>
      </w:r>
      <w:r w:rsidRPr="00BB5519">
        <w:rPr>
          <w:rFonts w:eastAsia="Calibri" w:cs="Tahoma"/>
          <w:color w:val="000000"/>
          <w:szCs w:val="18"/>
          <w:lang w:val="de-DE"/>
        </w:rPr>
        <w:t xml:space="preserve">Bei Kunden mit Konzernvertrag, die zu diesen oben beschriebenen Zusätzlichen Lizenzen und Rechten berechtigt sind, gelten Lizenzen für SharePoint Server 2010 for Internet Sites Enterprise, SharePoint Server 2010 for Internet Sites Standard </w:t>
      </w:r>
      <w:r w:rsidRPr="00BB5519">
        <w:rPr>
          <w:rFonts w:cs="Tahoma"/>
          <w:color w:val="000000"/>
          <w:szCs w:val="20"/>
          <w:lang w:val="de-DE"/>
        </w:rPr>
        <w:t xml:space="preserve">und FAST Search Server 2010 for SharePoint Server, </w:t>
      </w:r>
      <w:r w:rsidRPr="00BB5519">
        <w:rPr>
          <w:rFonts w:eastAsia="Calibri" w:cs="Tahoma"/>
          <w:color w:val="000000"/>
          <w:szCs w:val="18"/>
          <w:lang w:val="de-DE"/>
        </w:rPr>
        <w:t xml:space="preserve">die unter dem jährlichen True Up-Prozess erworben wurden, </w:t>
      </w:r>
      <w:r w:rsidRPr="00BB5519">
        <w:rPr>
          <w:rFonts w:cs="Tahoma"/>
          <w:color w:val="000000"/>
          <w:szCs w:val="18"/>
          <w:lang w:val="de-DE"/>
        </w:rPr>
        <w:t>ebenfall</w:t>
      </w:r>
      <w:r w:rsidR="00A8247A">
        <w:rPr>
          <w:rFonts w:cs="Tahoma"/>
          <w:color w:val="000000"/>
          <w:szCs w:val="18"/>
          <w:lang w:val="de-DE"/>
        </w:rPr>
        <w:t>s als Qualifizierende Lizenzen.</w:t>
      </w:r>
    </w:p>
    <w:p w:rsidR="00A8247A" w:rsidRDefault="00A8247A" w:rsidP="00A8247A">
      <w:pPr>
        <w:spacing w:after="60"/>
        <w:rPr>
          <w:lang w:val="de-DE"/>
        </w:rPr>
      </w:pPr>
    </w:p>
    <w:p w:rsidR="00A8247A" w:rsidRPr="00BB5519" w:rsidRDefault="00A8247A" w:rsidP="00A8247A">
      <w:pPr>
        <w:spacing w:after="60"/>
        <w:rPr>
          <w:lang w:val="de-DE"/>
        </w:rPr>
      </w:pPr>
    </w:p>
    <w:p w:rsidR="002F7FB8" w:rsidRPr="00BB5519" w:rsidRDefault="002F7FB8" w:rsidP="00CE5A9D">
      <w:pPr>
        <w:numPr>
          <w:ilvl w:val="0"/>
          <w:numId w:val="125"/>
        </w:numPr>
        <w:spacing w:after="40"/>
        <w:ind w:left="1440"/>
        <w:rPr>
          <w:lang w:val="de-DE"/>
        </w:rPr>
      </w:pPr>
      <w:r w:rsidRPr="00BB5519">
        <w:rPr>
          <w:rFonts w:cs="Tahoma"/>
          <w:color w:val="000000"/>
          <w:szCs w:val="18"/>
          <w:u w:val="single"/>
          <w:lang w:val="de-DE"/>
        </w:rPr>
        <w:lastRenderedPageBreak/>
        <w:t>Abonnement-Verträge</w:t>
      </w:r>
      <w:r w:rsidRPr="00BB5519">
        <w:rPr>
          <w:rFonts w:cs="Tahoma"/>
          <w:color w:val="000000"/>
          <w:szCs w:val="18"/>
          <w:lang w:val="de-DE"/>
        </w:rPr>
        <w:t>.</w:t>
      </w:r>
      <w:r w:rsidR="009E4976" w:rsidRPr="00BB5519">
        <w:rPr>
          <w:rFonts w:cs="Tahoma"/>
          <w:color w:val="000000"/>
          <w:szCs w:val="18"/>
          <w:lang w:val="de-DE"/>
        </w:rPr>
        <w:t xml:space="preserve"> </w:t>
      </w:r>
      <w:r w:rsidRPr="00BB5519">
        <w:rPr>
          <w:rFonts w:cs="Tahoma"/>
          <w:color w:val="000000"/>
          <w:szCs w:val="18"/>
          <w:lang w:val="de-DE"/>
        </w:rPr>
        <w:t xml:space="preserve">Für Konzern-Abonnement-Verträge, </w:t>
      </w:r>
      <w:r w:rsidRPr="00BB5519">
        <w:rPr>
          <w:rFonts w:cs="Tahoma"/>
          <w:szCs w:val="18"/>
          <w:lang w:val="de-DE"/>
        </w:rPr>
        <w:t>Open Value Subscription-Verträge, Campus- und School-Verträge, Beitritt für Bildungslösungen und Open Value Subscription – Bildungslösungen-Verträge werden vorübergehend unter denselben Bedingungen</w:t>
      </w:r>
      <w:r w:rsidRPr="00BB5519">
        <w:rPr>
          <w:rFonts w:cs="Tahoma"/>
          <w:color w:val="000000"/>
          <w:szCs w:val="18"/>
          <w:lang w:val="de-DE"/>
        </w:rPr>
        <w:t xml:space="preserve"> bis zum Ende der</w:t>
      </w:r>
      <w:r w:rsidR="000754C4">
        <w:rPr>
          <w:rFonts w:cs="Tahoma"/>
          <w:color w:val="000000"/>
          <w:szCs w:val="18"/>
          <w:lang w:val="de-DE"/>
        </w:rPr>
        <w:t> </w:t>
      </w:r>
      <w:r w:rsidRPr="00BB5519">
        <w:rPr>
          <w:rFonts w:cs="Tahoma"/>
          <w:color w:val="000000"/>
          <w:szCs w:val="18"/>
          <w:lang w:val="de-DE"/>
        </w:rPr>
        <w:t>aktuellen Beitrittslaufzeit (bzw. Vertragslaufzeit im Falle von Open Value) die gleichen Rechte gewährt.</w:t>
      </w:r>
      <w:r w:rsidR="009E4976" w:rsidRPr="00BB5519">
        <w:rPr>
          <w:rFonts w:cs="Tahoma"/>
          <w:color w:val="000000"/>
          <w:szCs w:val="18"/>
          <w:lang w:val="de-DE"/>
        </w:rPr>
        <w:t xml:space="preserve"> </w:t>
      </w:r>
      <w:r w:rsidRPr="00BB5519">
        <w:rPr>
          <w:rFonts w:cs="Tahoma"/>
          <w:color w:val="000000"/>
          <w:szCs w:val="18"/>
          <w:lang w:val="de-DE"/>
        </w:rPr>
        <w:t>Der Kunde muss das Abonnement ununterbrochen aufrechterhalten.</w:t>
      </w:r>
      <w:r w:rsidR="009E4976" w:rsidRPr="00BB5519">
        <w:rPr>
          <w:rFonts w:cs="Tahoma"/>
          <w:color w:val="000000"/>
          <w:szCs w:val="18"/>
          <w:lang w:val="de-DE"/>
        </w:rPr>
        <w:t xml:space="preserve"> </w:t>
      </w:r>
      <w:r w:rsidRPr="00BB5519">
        <w:rPr>
          <w:rFonts w:cs="Tahoma"/>
          <w:color w:val="000000"/>
          <w:szCs w:val="18"/>
          <w:lang w:val="de-DE"/>
        </w:rPr>
        <w:t>Diese Rechte werden erst nach Ausübung der Buy-Out-Option zeitlich unbeschränkt und unterliegen weiterhin allen Bestimmungen des Lizenzvertrages des Kunden.</w:t>
      </w:r>
    </w:p>
    <w:p w:rsidR="002F7FB8" w:rsidRPr="00BB5519" w:rsidRDefault="002F7FB8" w:rsidP="00CE5A9D">
      <w:pPr>
        <w:numPr>
          <w:ilvl w:val="0"/>
          <w:numId w:val="126"/>
        </w:numPr>
        <w:spacing w:after="40"/>
        <w:ind w:left="1440"/>
        <w:rPr>
          <w:lang w:val="de-DE"/>
        </w:rPr>
      </w:pPr>
      <w:r w:rsidRPr="00BB5519">
        <w:rPr>
          <w:rFonts w:cs="Tahoma"/>
          <w:szCs w:val="18"/>
          <w:u w:val="single"/>
          <w:lang w:val="de-DE"/>
        </w:rPr>
        <w:t>Übergänge für Campus- und School-Verträge</w:t>
      </w:r>
      <w:r w:rsidRPr="00BB5519">
        <w:rPr>
          <w:rFonts w:cs="Tahoma"/>
          <w:szCs w:val="18"/>
          <w:lang w:val="de-DE"/>
        </w:rPr>
        <w:t>. Für Kunden, die während der Laufzeit einen Übergang von Campus- und School-Verträgen auf Beitritt für Bildungslösungen oder Open Value Subscription – Bildungslösungen durchführen und gleichzeitig das Abonnement ununterbrochen aufrechterhalten, gilt Folgendes:</w:t>
      </w:r>
    </w:p>
    <w:p w:rsidR="002F7FB8" w:rsidRPr="00BB5519" w:rsidRDefault="002F7FB8" w:rsidP="000754C4">
      <w:pPr>
        <w:pStyle w:val="ListParagraph"/>
        <w:numPr>
          <w:ilvl w:val="0"/>
          <w:numId w:val="105"/>
        </w:numPr>
        <w:spacing w:after="60"/>
        <w:ind w:left="1800"/>
        <w:rPr>
          <w:lang w:val="de-DE"/>
        </w:rPr>
      </w:pPr>
      <w:r w:rsidRPr="00BB5519">
        <w:rPr>
          <w:rFonts w:ascii="Tahoma" w:hAnsi="Tahoma" w:cs="Tahoma"/>
          <w:sz w:val="18"/>
          <w:szCs w:val="18"/>
          <w:lang w:val="de-DE"/>
        </w:rPr>
        <w:t>Bis zum Ende des Beitritts für Bildungslösungen bzw. des Open Value Subscription – Bildungslösungen-Vertrages werden vorübergehend unter denselben Bedingungen die gleichen</w:t>
      </w:r>
      <w:r w:rsidR="000754C4">
        <w:rPr>
          <w:rFonts w:ascii="Tahoma" w:hAnsi="Tahoma" w:cs="Tahoma"/>
          <w:sz w:val="18"/>
          <w:szCs w:val="18"/>
          <w:lang w:val="de-DE"/>
        </w:rPr>
        <w:t> </w:t>
      </w:r>
      <w:r w:rsidRPr="00BB5519">
        <w:rPr>
          <w:rFonts w:ascii="Tahoma" w:hAnsi="Tahoma" w:cs="Tahoma"/>
          <w:sz w:val="18"/>
          <w:szCs w:val="18"/>
          <w:lang w:val="de-DE"/>
        </w:rPr>
        <w:t xml:space="preserve">Rechte gewährt. </w:t>
      </w:r>
    </w:p>
    <w:p w:rsidR="002512D3" w:rsidRPr="00BB5519" w:rsidRDefault="002F7FB8" w:rsidP="003165D6">
      <w:pPr>
        <w:pStyle w:val="ListParagraph"/>
        <w:numPr>
          <w:ilvl w:val="0"/>
          <w:numId w:val="105"/>
        </w:numPr>
        <w:spacing w:after="60"/>
        <w:ind w:left="1800"/>
        <w:rPr>
          <w:lang w:val="de-DE"/>
        </w:rPr>
      </w:pPr>
      <w:r w:rsidRPr="00BB5519">
        <w:rPr>
          <w:rFonts w:ascii="Tahoma" w:hAnsi="Tahoma" w:cs="Tahoma"/>
          <w:sz w:val="18"/>
          <w:szCs w:val="18"/>
          <w:lang w:val="de-DE"/>
        </w:rPr>
        <w:t>Diese Rechte werden erst nach Ausübung der Buy-Out-Option zeitlich unbeschränkt und unterliegen weiterhin allen Bestimmungen des Lizenzvertrages des Kunden.</w:t>
      </w:r>
    </w:p>
    <w:p w:rsidR="00F1020A" w:rsidRPr="00CE5A9D" w:rsidRDefault="00F1020A">
      <w:pPr>
        <w:rPr>
          <w:sz w:val="16"/>
          <w:szCs w:val="16"/>
          <w:lang w:val="de-DE"/>
        </w:rPr>
      </w:pPr>
    </w:p>
    <w:p w:rsidR="002F7FB8" w:rsidRPr="00BB5519" w:rsidRDefault="002F7FB8" w:rsidP="00CE5A9D">
      <w:pPr>
        <w:spacing w:after="40"/>
        <w:ind w:left="720"/>
        <w:rPr>
          <w:lang w:val="de-DE"/>
        </w:rPr>
      </w:pPr>
      <w:r w:rsidRPr="00BB5519">
        <w:rPr>
          <w:rFonts w:cs="Tahoma"/>
          <w:b/>
          <w:color w:val="000000"/>
          <w:szCs w:val="18"/>
          <w:lang w:val="de-DE"/>
        </w:rPr>
        <w:t>Besondere Downgraderechte für Office SharePoint Server 2013</w:t>
      </w:r>
    </w:p>
    <w:p w:rsidR="002F7FB8" w:rsidRPr="00BB5519" w:rsidRDefault="002F7FB8" w:rsidP="002F7FB8">
      <w:pPr>
        <w:ind w:left="720"/>
        <w:rPr>
          <w:lang w:val="de-DE"/>
        </w:rPr>
      </w:pPr>
      <w:r w:rsidRPr="00BB5519">
        <w:rPr>
          <w:rFonts w:cs="Tahoma"/>
          <w:szCs w:val="18"/>
          <w:lang w:val="de-DE"/>
        </w:rPr>
        <w:t>Kunden mit Lizenzen für SharePoint 2013 dürfen anstelle von Produkten, die in der Tabelle unten aufgeführt sind, SharePoint 2013 wie folgt nutzen und darauf zugreifen:</w:t>
      </w:r>
    </w:p>
    <w:p w:rsidR="002F7FB8" w:rsidRPr="00CE5A9D" w:rsidRDefault="002F7FB8" w:rsidP="002F7FB8">
      <w:pPr>
        <w:ind w:left="810"/>
        <w:rPr>
          <w:sz w:val="16"/>
          <w:szCs w:val="16"/>
          <w:lang w:val="de-DE"/>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BB5519"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BB5519" w:rsidRDefault="00BD1A6A" w:rsidP="00CE5A9D">
            <w:pPr>
              <w:spacing w:before="40" w:after="40"/>
              <w:ind w:left="162"/>
              <w:rPr>
                <w:rFonts w:cs="Tahoma"/>
                <w:b/>
                <w:bCs/>
                <w:color w:val="000000"/>
                <w:szCs w:val="18"/>
              </w:rPr>
            </w:pPr>
            <w:r w:rsidRPr="00BB5519">
              <w:rPr>
                <w:rFonts w:cs="Tahoma"/>
                <w:b/>
                <w:bCs/>
                <w:color w:val="000000"/>
                <w:szCs w:val="18"/>
              </w:rPr>
              <w:t>Lizenzen für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BB5519" w:rsidRDefault="00BD1A6A" w:rsidP="00CE5A9D">
            <w:pPr>
              <w:spacing w:before="40" w:after="40"/>
              <w:ind w:left="180"/>
              <w:rPr>
                <w:rFonts w:cs="Tahoma"/>
                <w:b/>
                <w:bCs/>
                <w:color w:val="000000"/>
                <w:szCs w:val="18"/>
              </w:rPr>
            </w:pPr>
            <w:r w:rsidRPr="00BB5519">
              <w:rPr>
                <w:rFonts w:cs="Tahoma"/>
                <w:b/>
                <w:bCs/>
                <w:color w:val="000000"/>
                <w:szCs w:val="18"/>
              </w:rPr>
              <w:t>Downgrade auf</w:t>
            </w:r>
          </w:p>
        </w:tc>
      </w:tr>
      <w:tr w:rsidR="00BD1A6A" w:rsidRPr="00BB5519"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BB5519" w:rsidRDefault="00BD1A6A" w:rsidP="00722522">
            <w:pPr>
              <w:ind w:left="162"/>
              <w:rPr>
                <w:rFonts w:cs="Tahoma"/>
                <w:color w:val="000000"/>
                <w:szCs w:val="18"/>
              </w:rPr>
            </w:pPr>
            <w:r w:rsidRPr="00BB5519">
              <w:rPr>
                <w:rFonts w:cs="Tahoma"/>
                <w:color w:val="000000"/>
                <w:szCs w:val="18"/>
              </w:rPr>
              <w:t>Lizenz für SharePoint Server 2013</w:t>
            </w:r>
          </w:p>
        </w:tc>
        <w:tc>
          <w:tcPr>
            <w:tcW w:w="4296" w:type="dxa"/>
            <w:tcBorders>
              <w:top w:val="nil"/>
              <w:left w:val="nil"/>
              <w:bottom w:val="single" w:sz="8" w:space="0" w:color="000000"/>
              <w:right w:val="single" w:sz="8" w:space="0" w:color="000000"/>
            </w:tcBorders>
          </w:tcPr>
          <w:p w:rsidR="00BD1A6A" w:rsidRPr="00BB5519" w:rsidRDefault="00BD1A6A" w:rsidP="00F249BF">
            <w:pPr>
              <w:ind w:left="162" w:right="180"/>
            </w:pPr>
            <w:r w:rsidRPr="00BB5519">
              <w:rPr>
                <w:rFonts w:cs="Tahoma"/>
                <w:color w:val="000000"/>
                <w:szCs w:val="18"/>
              </w:rPr>
              <w:t xml:space="preserve">SharePoint Server 2010 </w:t>
            </w:r>
            <w:r w:rsidRPr="00BB5519">
              <w:rPr>
                <w:rFonts w:cs="Tahoma"/>
                <w:b/>
                <w:color w:val="000000"/>
                <w:szCs w:val="18"/>
              </w:rPr>
              <w:t>oder</w:t>
            </w:r>
          </w:p>
          <w:p w:rsidR="00BD1A6A" w:rsidRPr="00BB5519" w:rsidRDefault="00BD1A6A" w:rsidP="002C3AB1">
            <w:pPr>
              <w:ind w:left="162" w:right="180"/>
              <w:rPr>
                <w:rFonts w:cs="Tahoma"/>
                <w:color w:val="000000"/>
                <w:szCs w:val="18"/>
              </w:rPr>
            </w:pPr>
            <w:r w:rsidRPr="00BB5519">
              <w:rPr>
                <w:rFonts w:cs="Tahoma"/>
                <w:color w:val="000000"/>
                <w:szCs w:val="18"/>
              </w:rPr>
              <w:t xml:space="preserve">FAST Search Server 2010 for SharePoint Server </w:t>
            </w:r>
          </w:p>
        </w:tc>
      </w:tr>
    </w:tbl>
    <w:p w:rsidR="002F7FB8" w:rsidRPr="00CE5A9D" w:rsidRDefault="002F7FB8" w:rsidP="002F7FB8">
      <w:pPr>
        <w:ind w:left="810"/>
        <w:rPr>
          <w:sz w:val="16"/>
          <w:szCs w:val="16"/>
        </w:rPr>
      </w:pPr>
    </w:p>
    <w:p w:rsidR="002F7FB8" w:rsidRPr="00BB5519" w:rsidRDefault="002F7FB8" w:rsidP="002F7FB8">
      <w:pPr>
        <w:ind w:left="720"/>
        <w:rPr>
          <w:lang w:val="de-DE"/>
        </w:rPr>
      </w:pPr>
      <w:r w:rsidRPr="00BB5519">
        <w:rPr>
          <w:rFonts w:cs="Tahoma"/>
          <w:color w:val="000000"/>
          <w:szCs w:val="18"/>
          <w:lang w:val="de-DE"/>
        </w:rPr>
        <w:t>Das Recht eines Kunden, auf Kopien von SharePoint Server 2010 oder FAST Search Server 2010 for SharePoint Server zuzugreifen und sie anstelle von lizenzierten Kopien von SharePoint Server 2013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rsidR="002F7FB8" w:rsidRPr="00BB5519" w:rsidRDefault="002F7FB8" w:rsidP="002F7FB8">
      <w:pPr>
        <w:ind w:left="720"/>
        <w:rPr>
          <w:lang w:val="de-DE"/>
        </w:rPr>
      </w:pPr>
    </w:p>
    <w:p w:rsidR="002F7FB8" w:rsidRPr="00BB5519" w:rsidRDefault="002F7FB8" w:rsidP="00CE5A9D">
      <w:pPr>
        <w:keepNext/>
        <w:keepLines/>
        <w:spacing w:after="40"/>
        <w:ind w:left="720"/>
        <w:rPr>
          <w:lang w:val="de-DE"/>
        </w:rPr>
      </w:pPr>
      <w:r w:rsidRPr="00BB5519">
        <w:rPr>
          <w:rFonts w:cs="Tahoma"/>
          <w:b/>
          <w:color w:val="000000"/>
          <w:szCs w:val="18"/>
          <w:lang w:val="de-DE"/>
        </w:rPr>
        <w:t xml:space="preserve">Verlängerung von Rechten für Selbst Gehostete Anwendungen im Rahmen von Software Assurance für Kunden mit SharePoint Server </w:t>
      </w:r>
      <w:bookmarkStart w:id="1410" w:name="Srv_65SharepointSvr10IntSites"/>
      <w:bookmarkStart w:id="1411" w:name="_Toc336338336"/>
      <w:bookmarkStart w:id="1412" w:name="Srv_66SharepointSvr10IntSites"/>
      <w:bookmarkStart w:id="1413" w:name="Srv_63SharepointSvr07IntSites"/>
      <w:bookmarkStart w:id="1414" w:name="Srv_64SharepointSvr07IntSites"/>
      <w:r w:rsidRPr="00BB5519">
        <w:rPr>
          <w:rFonts w:cs="Tahoma"/>
          <w:b/>
          <w:color w:val="000000"/>
          <w:szCs w:val="18"/>
          <w:lang w:val="de-DE"/>
        </w:rPr>
        <w:t>for Internet Sites Enterprise</w:t>
      </w:r>
      <w:bookmarkEnd w:id="1410"/>
      <w:bookmarkEnd w:id="1411"/>
      <w:bookmarkEnd w:id="1412"/>
      <w:bookmarkEnd w:id="1413"/>
    </w:p>
    <w:bookmarkEnd w:id="1414"/>
    <w:p w:rsidR="002F7FB8" w:rsidRPr="00BB5519" w:rsidRDefault="002F7FB8" w:rsidP="00021BF7">
      <w:pPr>
        <w:keepNext/>
        <w:keepLines/>
        <w:ind w:left="720"/>
        <w:rPr>
          <w:lang w:val="de-DE"/>
        </w:rPr>
      </w:pPr>
      <w:r w:rsidRPr="00BB5519">
        <w:rPr>
          <w:rFonts w:cs="Tahoma"/>
          <w:color w:val="000000"/>
          <w:szCs w:val="18"/>
          <w:lang w:val="de-DE"/>
        </w:rPr>
        <w:t>Kunden mit SharePoint Server 2010 for Internet Sites Enterprise, denen über die oben dargelegte Lizenzgewährung Lizenzen für SharePoint Server 2013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Produktbenutzungsrechte zu verwenden. Sofern Kunden Software Assurance für ihre zusätzlichen SharePoint Server 2013-Lizenzen aufrechterhalten, gilt das Recht zur Verwendung von SharePoint Server 2013 auf diese Weise, bis die Folgeversion von SharePoint Server 2013 verfügbar ist.</w:t>
      </w:r>
      <w:r w:rsidR="009E4976" w:rsidRPr="00BB5519">
        <w:rPr>
          <w:rFonts w:cs="Tahoma"/>
          <w:color w:val="000000"/>
          <w:szCs w:val="18"/>
          <w:lang w:val="de-DE"/>
        </w:rPr>
        <w:t xml:space="preserve"> </w:t>
      </w:r>
    </w:p>
    <w:p w:rsidR="000D76F0" w:rsidRPr="00CE5A9D" w:rsidRDefault="000D76F0" w:rsidP="00031ABF">
      <w:pPr>
        <w:rPr>
          <w:sz w:val="16"/>
          <w:szCs w:val="16"/>
          <w:lang w:val="de-DE"/>
        </w:rPr>
      </w:pPr>
    </w:p>
    <w:p w:rsidR="00023FE7" w:rsidRPr="00CE5A9D" w:rsidRDefault="00023FE7" w:rsidP="00697E59">
      <w:pPr>
        <w:pStyle w:val="EndnoteText"/>
        <w:ind w:left="0"/>
        <w:rPr>
          <w:sz w:val="16"/>
          <w:szCs w:val="16"/>
          <w:lang w:val="de-DE"/>
        </w:rPr>
      </w:pPr>
      <w:bookmarkStart w:id="1415" w:name="_78_SharePoint™_Server"/>
      <w:bookmarkStart w:id="1416" w:name="_Toc336338339"/>
      <w:bookmarkStart w:id="1417" w:name="Srv_81SQLSvr08R2DataCenter"/>
      <w:bookmarkEnd w:id="1415"/>
    </w:p>
    <w:p w:rsidR="00A81E83" w:rsidRPr="00BB5519" w:rsidRDefault="00F66FB0" w:rsidP="00A81E83">
      <w:pPr>
        <w:pStyle w:val="Heading3"/>
        <w:rPr>
          <w:lang w:val="de-DE"/>
        </w:rPr>
      </w:pPr>
      <w:bookmarkStart w:id="1418" w:name="_75_73_SQL"/>
      <w:bookmarkStart w:id="1419" w:name="_Toc354055029"/>
      <w:bookmarkStart w:id="1420" w:name="Srv_69SQLSvr08EntandEntProc"/>
      <w:bookmarkStart w:id="1421" w:name="Srv_70SQLSvr08EntandEntProc"/>
      <w:bookmarkStart w:id="1422" w:name="Srv_72SQLSvr08R2developer"/>
      <w:bookmarkStart w:id="1423" w:name="Srv_72SQLSvr08R2DataCenter"/>
      <w:bookmarkEnd w:id="1418"/>
      <w:r w:rsidRPr="00BB5519">
        <w:rPr>
          <w:rFonts w:ascii="Tahoma" w:hAnsi="Tahoma"/>
          <w:caps/>
          <w:color w:val="F66400"/>
          <w:sz w:val="22"/>
          <w:vertAlign w:val="superscript"/>
          <w:lang w:val="de-DE"/>
        </w:rPr>
        <w:t>74</w:t>
      </w:r>
      <w:r w:rsidRPr="00BB5519">
        <w:rPr>
          <w:rFonts w:ascii="Tahoma" w:hAnsi="Tahoma"/>
          <w:color w:val="F66400"/>
          <w:sz w:val="22"/>
          <w:lang w:val="de-DE"/>
        </w:rPr>
        <w:t xml:space="preserve"> SQL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2008 R2 Datacenter</w:t>
      </w:r>
      <w:bookmarkEnd w:id="1416"/>
      <w:bookmarkEnd w:id="1419"/>
    </w:p>
    <w:bookmarkEnd w:id="1417"/>
    <w:p w:rsidR="00A81E83" w:rsidRPr="00CE5A9D" w:rsidRDefault="00A81E83" w:rsidP="00031ABF">
      <w:pPr>
        <w:rPr>
          <w:sz w:val="16"/>
          <w:szCs w:val="16"/>
          <w:lang w:val="de-DE"/>
        </w:rPr>
      </w:pPr>
    </w:p>
    <w:p w:rsidR="00031ABF" w:rsidRPr="00BB5519" w:rsidRDefault="00A81E83" w:rsidP="00CE5A9D">
      <w:pPr>
        <w:spacing w:after="40"/>
        <w:ind w:left="720"/>
        <w:rPr>
          <w:lang w:val="de-DE"/>
        </w:rPr>
      </w:pPr>
      <w:r w:rsidRPr="00BB5519">
        <w:rPr>
          <w:rFonts w:cs="Tahoma"/>
          <w:b/>
          <w:color w:val="000000"/>
          <w:szCs w:val="18"/>
          <w:lang w:val="de-DE"/>
        </w:rPr>
        <w:t>Lizenzgewährungen im Zusammenhang mit der Änderung des Lizenzmodells und dem Ende der Lebensdauer von SQL Server Datacenter</w:t>
      </w:r>
    </w:p>
    <w:p w:rsidR="00A81E83" w:rsidRPr="00BB5519" w:rsidRDefault="00A81E83" w:rsidP="00031ABF">
      <w:pPr>
        <w:ind w:left="720"/>
        <w:rPr>
          <w:lang w:val="de-DE"/>
        </w:rPr>
      </w:pPr>
      <w:r w:rsidRPr="00BB5519">
        <w:rPr>
          <w:color w:val="000000"/>
          <w:lang w:val="de-DE"/>
        </w:rPr>
        <w:t>SQL Server 2008 R2 ist die letzte Version von SQL Server, die unter dem Pro-Prozessor-Lizenzmodell lizenziert wird, und die letzte Version von SQL Server Datacenter.</w:t>
      </w:r>
      <w:r w:rsidR="009E4976" w:rsidRPr="00BB5519">
        <w:rPr>
          <w:color w:val="000000"/>
          <w:lang w:val="de-DE"/>
        </w:rPr>
        <w:t xml:space="preserve"> </w:t>
      </w:r>
      <w:r w:rsidRPr="00BB5519">
        <w:rPr>
          <w:color w:val="000000"/>
          <w:lang w:val="de-DE"/>
        </w:rPr>
        <w:t>Als Ausnahme erhalten Volumenlizenzkunden, die am 1. April 2012 über aktive Software Assurance für SQL Server 2008 R2 Datacenter-Prozessorlizenzen („qualifizierende Lizenzen“) verfügen, die folgenden Optionen. SQL Server 2008 R2 Datacenter-Prozessor</w:t>
      </w:r>
      <w:r w:rsidRPr="00BB5519">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9E4976" w:rsidRPr="00BB5519">
        <w:rPr>
          <w:rFonts w:cs="Tahoma"/>
          <w:bCs/>
          <w:color w:val="000000"/>
          <w:szCs w:val="18"/>
          <w:lang w:val="de-DE"/>
        </w:rPr>
        <w:t xml:space="preserve"> </w:t>
      </w:r>
      <w:r w:rsidRPr="00BB5519">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031ABF" w:rsidRPr="00BB5519" w:rsidRDefault="00031ABF" w:rsidP="00031ABF">
      <w:pPr>
        <w:ind w:left="720"/>
        <w:rPr>
          <w:lang w:val="de-DE"/>
        </w:rPr>
      </w:pPr>
    </w:p>
    <w:p w:rsidR="00031ABF" w:rsidRPr="00BB5519" w:rsidRDefault="00031ABF" w:rsidP="00031ABF">
      <w:pPr>
        <w:spacing w:after="60"/>
        <w:ind w:left="720"/>
        <w:rPr>
          <w:lang w:val="de-DE"/>
        </w:rPr>
      </w:pPr>
      <w:r w:rsidRPr="00BB5519">
        <w:rPr>
          <w:rFonts w:cs="Tahoma"/>
          <w:b/>
          <w:color w:val="000000"/>
          <w:szCs w:val="18"/>
          <w:lang w:val="de-DE"/>
        </w:rPr>
        <w:lastRenderedPageBreak/>
        <w:t>Aktuelle Laufzeit</w:t>
      </w:r>
    </w:p>
    <w:p w:rsidR="00A81E83" w:rsidRPr="00BB5519" w:rsidRDefault="00A81E83" w:rsidP="00031ABF">
      <w:pPr>
        <w:ind w:left="720"/>
        <w:contextualSpacing/>
        <w:rPr>
          <w:lang w:val="de-DE"/>
        </w:rPr>
      </w:pPr>
      <w:r w:rsidRPr="00BB5519">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 anstelle von SQL Server 2008 R2 Datacenter upzugraden und diese zu verwenden. Diese Kunden verfügen ebenfalls über die „Unbegrenzte Virtualisierung“-Nutzungsrechte, wie in den Produkthinweisen zu SQL Server 2012 Enterprise in dieser Produktliste beschrieben.</w:t>
      </w:r>
    </w:p>
    <w:p w:rsidR="00031ABF" w:rsidRPr="00BB5519" w:rsidRDefault="00031ABF" w:rsidP="00031ABF">
      <w:pPr>
        <w:ind w:left="720"/>
        <w:contextualSpacing/>
        <w:rPr>
          <w:lang w:val="de-DE"/>
        </w:rPr>
      </w:pPr>
    </w:p>
    <w:p w:rsidR="00031ABF" w:rsidRPr="00BB5519" w:rsidRDefault="00A81E83" w:rsidP="00031ABF">
      <w:pPr>
        <w:spacing w:after="60"/>
        <w:ind w:left="720"/>
        <w:rPr>
          <w:lang w:val="de-DE"/>
        </w:rPr>
      </w:pPr>
      <w:r w:rsidRPr="00BB5519">
        <w:rPr>
          <w:rFonts w:cs="Tahoma"/>
          <w:b/>
          <w:color w:val="000000"/>
          <w:szCs w:val="18"/>
          <w:lang w:val="de-DE"/>
        </w:rPr>
        <w:t>Erster Verlängerungszeitraum (vor dem 1. April 2015)</w:t>
      </w:r>
    </w:p>
    <w:p w:rsidR="00A81E83" w:rsidRPr="00BB5519" w:rsidRDefault="00A81E83" w:rsidP="00031ABF">
      <w:pPr>
        <w:tabs>
          <w:tab w:val="left" w:pos="720"/>
        </w:tabs>
        <w:ind w:left="720"/>
        <w:contextualSpacing/>
        <w:rPr>
          <w:lang w:val="de-DE"/>
        </w:rPr>
      </w:pPr>
      <w:r w:rsidRPr="00BB5519">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A81E83" w:rsidRPr="00BB5519" w:rsidRDefault="00A81E83" w:rsidP="000754C4">
      <w:pPr>
        <w:numPr>
          <w:ilvl w:val="1"/>
          <w:numId w:val="64"/>
        </w:numPr>
        <w:tabs>
          <w:tab w:val="left" w:pos="1440"/>
        </w:tabs>
        <w:contextualSpacing/>
        <w:rPr>
          <w:lang w:val="de-DE"/>
        </w:rPr>
      </w:pPr>
      <w:r w:rsidRPr="00BB5519">
        <w:rPr>
          <w:rFonts w:eastAsia="Calibri" w:cs="Tahoma"/>
          <w:szCs w:val="18"/>
          <w:lang w:val="de-DE"/>
        </w:rPr>
        <w:t>eine Anzahl, die der Anzahl von dem Server zugewiesenen qualifizierenden Lizenzen oder der Gesamtzahl von physischen Prozessoren auf dem Server entspricht, multipliziert mit dem größeren</w:t>
      </w:r>
      <w:r w:rsidR="000754C4">
        <w:rPr>
          <w:rFonts w:eastAsia="Calibri" w:cs="Tahoma"/>
          <w:szCs w:val="18"/>
          <w:lang w:val="de-DE"/>
        </w:rPr>
        <w:t> </w:t>
      </w:r>
      <w:r w:rsidRPr="00BB5519">
        <w:rPr>
          <w:rFonts w:eastAsia="Calibri" w:cs="Tahoma"/>
          <w:szCs w:val="18"/>
          <w:lang w:val="de-DE"/>
        </w:rPr>
        <w:t xml:space="preserve">Wert folgender Zahlen, wobei die kleinere Zahl maßgeblich ist: </w:t>
      </w:r>
    </w:p>
    <w:p w:rsidR="00A81E83" w:rsidRPr="00BB5519" w:rsidRDefault="00A81E83" w:rsidP="00031ABF">
      <w:pPr>
        <w:numPr>
          <w:ilvl w:val="2"/>
          <w:numId w:val="68"/>
        </w:numPr>
        <w:tabs>
          <w:tab w:val="left" w:pos="1800"/>
        </w:tabs>
        <w:ind w:left="1800" w:hanging="360"/>
        <w:contextualSpacing/>
      </w:pPr>
      <w:r w:rsidRPr="00BB5519">
        <w:rPr>
          <w:rFonts w:eastAsia="Calibri" w:cs="Tahoma"/>
          <w:szCs w:val="18"/>
        </w:rPr>
        <w:t>acht oder</w:t>
      </w:r>
    </w:p>
    <w:p w:rsidR="00A81E83" w:rsidRPr="00BB5519" w:rsidRDefault="00A81E83" w:rsidP="00031ABF">
      <w:pPr>
        <w:numPr>
          <w:ilvl w:val="2"/>
          <w:numId w:val="68"/>
        </w:numPr>
        <w:tabs>
          <w:tab w:val="left" w:pos="1800"/>
        </w:tabs>
        <w:ind w:left="1800" w:hanging="360"/>
        <w:contextualSpacing/>
        <w:rPr>
          <w:lang w:val="de-DE"/>
        </w:rPr>
      </w:pPr>
      <w:r w:rsidRPr="00BB5519">
        <w:rPr>
          <w:rFonts w:eastAsia="Calibri" w:cs="Tahoma"/>
          <w:szCs w:val="18"/>
          <w:lang w:val="de-DE"/>
        </w:rPr>
        <w:t>der tatsächlichen Anzahl von Cores pro physischem Prozessor multipliziert mit dem entsprechenden Core-Faktor.</w:t>
      </w:r>
      <w:r w:rsidR="009E4976" w:rsidRPr="00BB5519">
        <w:rPr>
          <w:rFonts w:eastAsia="Calibri" w:cs="Tahoma"/>
          <w:szCs w:val="18"/>
          <w:lang w:val="de-DE"/>
        </w:rPr>
        <w:t xml:space="preserve"> </w:t>
      </w:r>
      <w:r w:rsidRPr="00BB5519">
        <w:rPr>
          <w:rFonts w:eastAsia="Calibri" w:cs="Tahoma"/>
          <w:szCs w:val="18"/>
          <w:lang w:val="de-DE"/>
        </w:rPr>
        <w:t xml:space="preserve">(Wenn die tatsächliche Anzahl von Cores pro physischem Prozessor mehr als acht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BB5519" w:rsidRDefault="00A81E83" w:rsidP="00031ABF">
      <w:pPr>
        <w:numPr>
          <w:ilvl w:val="1"/>
          <w:numId w:val="64"/>
        </w:numPr>
        <w:tabs>
          <w:tab w:val="left" w:pos="1440"/>
          <w:tab w:val="left" w:pos="2970"/>
        </w:tabs>
        <w:contextualSpacing/>
        <w:rPr>
          <w:lang w:val="de-DE"/>
        </w:rPr>
      </w:pPr>
      <w:r w:rsidRPr="00BB5519">
        <w:rPr>
          <w:rFonts w:eastAsia="Calibri" w:cs="Tahoma"/>
          <w:szCs w:val="18"/>
          <w:lang w:val="de-DE"/>
        </w:rPr>
        <w:t>eine Anzahl, die der Anzahl von dem Server zugewiesenen qualifizierenden Lizenzen entspricht, die die tatsächliche Anzahl physischer Prozessoren auf dem Server übersteigen, multipliziert mit acht.</w:t>
      </w:r>
    </w:p>
    <w:p w:rsidR="00031ABF" w:rsidRPr="00BB5519" w:rsidRDefault="00031ABF" w:rsidP="00031ABF">
      <w:pPr>
        <w:ind w:left="720"/>
        <w:contextualSpacing/>
        <w:rPr>
          <w:lang w:val="de-DE"/>
        </w:rPr>
      </w:pPr>
    </w:p>
    <w:p w:rsidR="00031ABF" w:rsidRPr="00BB5519" w:rsidRDefault="00A81E83" w:rsidP="000754C4">
      <w:pPr>
        <w:keepNext/>
        <w:keepLines/>
        <w:spacing w:after="60"/>
        <w:ind w:left="720"/>
        <w:rPr>
          <w:lang w:val="de-DE"/>
        </w:rPr>
      </w:pPr>
      <w:r w:rsidRPr="00BB5519">
        <w:rPr>
          <w:rFonts w:eastAsia="Calibri" w:cs="Tahoma"/>
          <w:b/>
          <w:szCs w:val="18"/>
          <w:lang w:val="de-DE"/>
        </w:rPr>
        <w:t>Erster Verlängerungszeitraum (am oder nach dem 1. April 2015)</w:t>
      </w:r>
    </w:p>
    <w:p w:rsidR="00A81E83" w:rsidRPr="00BB5519" w:rsidRDefault="00A81E83" w:rsidP="000754C4">
      <w:pPr>
        <w:ind w:left="720"/>
        <w:contextualSpacing/>
        <w:rPr>
          <w:lang w:val="de-DE"/>
        </w:rPr>
      </w:pPr>
      <w:r w:rsidRPr="00BB5519">
        <w:rPr>
          <w:rFonts w:eastAsia="Calibri" w:cs="Tahoma"/>
          <w:color w:val="000000"/>
          <w:szCs w:val="18"/>
          <w:lang w:val="de-DE"/>
        </w:rPr>
        <w:t>Kunden, die Software Assurance am oder nach dem 1. April 2015</w:t>
      </w:r>
      <w:r w:rsidRPr="00BB5519">
        <w:rPr>
          <w:rFonts w:eastAsia="Calibri" w:cs="Tahoma"/>
          <w:szCs w:val="18"/>
          <w:lang w:val="de-DE"/>
        </w:rPr>
        <w:t xml:space="preserve"> erstmals verlängern, sind berechtigt, für</w:t>
      </w:r>
      <w:r w:rsidR="000754C4">
        <w:rPr>
          <w:rFonts w:eastAsia="Calibri" w:cs="Tahoma"/>
          <w:szCs w:val="18"/>
          <w:lang w:val="de-DE"/>
        </w:rPr>
        <w:t> </w:t>
      </w:r>
      <w:r w:rsidRPr="00BB5519">
        <w:rPr>
          <w:rFonts w:eastAsia="Calibri" w:cs="Tahoma"/>
          <w:szCs w:val="18"/>
          <w:lang w:val="de-DE"/>
        </w:rPr>
        <w:t>jeden Server, der unter Produktbenutzungsrechten für SQL Server 2008 R2-Prozessorlizenzen ordnungsgemäß lizenziert ist, Software Assurance wie folgt zu erwerben:</w:t>
      </w:r>
    </w:p>
    <w:p w:rsidR="00031ABF" w:rsidRPr="00BB5519" w:rsidRDefault="00031ABF" w:rsidP="00031ABF">
      <w:pPr>
        <w:ind w:left="720"/>
        <w:contextualSpacing/>
        <w:rPr>
          <w:lang w:val="de-DE"/>
        </w:rPr>
      </w:pPr>
    </w:p>
    <w:p w:rsidR="00A81E83" w:rsidRPr="00BB5519" w:rsidRDefault="00A81E83" w:rsidP="00031ABF">
      <w:pPr>
        <w:numPr>
          <w:ilvl w:val="2"/>
          <w:numId w:val="64"/>
        </w:numPr>
        <w:spacing w:after="60"/>
        <w:ind w:left="1440"/>
      </w:pPr>
      <w:r w:rsidRPr="00BB551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BB5519">
        <w:rPr>
          <w:rFonts w:eastAsia="Calibri" w:cs="Tahoma"/>
          <w:szCs w:val="18"/>
        </w:rPr>
        <w:t xml:space="preserve">April 2015)“ zu verlängern, und </w:t>
      </w:r>
    </w:p>
    <w:p w:rsidR="00A81E83" w:rsidRPr="00BB5519" w:rsidRDefault="00A81E83" w:rsidP="000754C4">
      <w:pPr>
        <w:numPr>
          <w:ilvl w:val="2"/>
          <w:numId w:val="64"/>
        </w:numPr>
        <w:spacing w:after="60"/>
        <w:ind w:left="1440"/>
        <w:rPr>
          <w:lang w:val="de-DE"/>
        </w:rPr>
      </w:pPr>
      <w:r w:rsidRPr="00BB5519">
        <w:rPr>
          <w:rFonts w:eastAsia="Calibri" w:cs="Tahoma"/>
          <w:szCs w:val="18"/>
          <w:lang w:val="de-DE"/>
        </w:rPr>
        <w:t>für Lizenzen, die nach dem 1. April 2015 erworben wurden, sind Kunden berechtigt, Software Assurance für acht SQL Server Enterprise-Core-Lizenzen zu verlängern, ohne die zugrunde liegenden Core-Lizenzen für jede SQL Server 2008 R2 Datacenter-Prozessorlizenz zu erwerben. Für</w:t>
      </w:r>
      <w:r w:rsidR="000754C4">
        <w:rPr>
          <w:rFonts w:eastAsia="Calibri" w:cs="Tahoma"/>
          <w:szCs w:val="18"/>
          <w:lang w:val="de-DE"/>
        </w:rPr>
        <w:t> </w:t>
      </w:r>
      <w:r w:rsidRPr="00BB5519">
        <w:rPr>
          <w:rFonts w:eastAsia="Calibri" w:cs="Tahoma"/>
          <w:szCs w:val="18"/>
          <w:lang w:val="de-DE"/>
        </w:rPr>
        <w:t>die kontinuierliche Verwendung von SQL Server 2012 auf Prozessoren, die mehr als acht Core-Lizenzen pro Prozessor erfordern, muss der Kunde die zusätzlichen Core-Lizenzen erwerben.</w:t>
      </w:r>
    </w:p>
    <w:p w:rsidR="00031ABF" w:rsidRPr="00BB5519" w:rsidRDefault="00031ABF" w:rsidP="00031ABF">
      <w:pPr>
        <w:ind w:left="1440"/>
        <w:contextualSpacing/>
        <w:rPr>
          <w:lang w:val="de-DE"/>
        </w:rPr>
      </w:pPr>
    </w:p>
    <w:p w:rsidR="00A81E83" w:rsidRPr="00BB5519" w:rsidRDefault="00A81E83" w:rsidP="00031ABF">
      <w:pPr>
        <w:ind w:left="720"/>
        <w:contextualSpacing/>
        <w:rPr>
          <w:lang w:val="de-DE"/>
        </w:rPr>
      </w:pPr>
      <w:r w:rsidRPr="00BB5519">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031ABF" w:rsidRPr="00BB5519" w:rsidRDefault="00031ABF" w:rsidP="00031ABF">
      <w:pPr>
        <w:tabs>
          <w:tab w:val="left" w:pos="720"/>
        </w:tabs>
        <w:ind w:left="720"/>
        <w:contextualSpacing/>
        <w:rPr>
          <w:lang w:val="de-DE"/>
        </w:rPr>
      </w:pPr>
    </w:p>
    <w:p w:rsidR="00031ABF" w:rsidRPr="00BB5519" w:rsidRDefault="00A81E83" w:rsidP="00031ABF">
      <w:pPr>
        <w:tabs>
          <w:tab w:val="left" w:pos="720"/>
        </w:tabs>
        <w:spacing w:after="60"/>
        <w:ind w:left="720"/>
        <w:rPr>
          <w:lang w:val="de-DE"/>
        </w:rPr>
      </w:pPr>
      <w:r w:rsidRPr="00BB5519">
        <w:rPr>
          <w:rFonts w:eastAsia="Calibri" w:cs="Tahoma"/>
          <w:b/>
          <w:szCs w:val="18"/>
          <w:lang w:val="de-DE"/>
        </w:rPr>
        <w:t>Für Kunden mit Software Assurance, die vor dem 1. April 2015 abläuft, die sich gegen eine Verlängerung entscheiden</w:t>
      </w:r>
    </w:p>
    <w:p w:rsidR="00A81E83" w:rsidRPr="00BB5519" w:rsidRDefault="00A81E83" w:rsidP="00031ABF">
      <w:pPr>
        <w:tabs>
          <w:tab w:val="left" w:pos="720"/>
        </w:tabs>
        <w:ind w:left="720"/>
        <w:contextualSpacing/>
        <w:rPr>
          <w:lang w:val="de-DE"/>
        </w:rPr>
      </w:pPr>
      <w:r w:rsidRPr="00BB5519">
        <w:rPr>
          <w:rFonts w:eastAsia="Calibri" w:cs="Tahoma"/>
          <w:szCs w:val="18"/>
          <w:lang w:val="de-DE"/>
        </w:rPr>
        <w:t xml:space="preserve">Konzern-Abonnement- </w:t>
      </w:r>
      <w:r w:rsidRPr="00BB5519">
        <w:rPr>
          <w:rFonts w:cs="Tahoma"/>
          <w:bCs/>
          <w:color w:val="000000"/>
          <w:szCs w:val="18"/>
          <w:lang w:val="de-DE"/>
        </w:rPr>
        <w:t>und Open Value Subscription-</w:t>
      </w:r>
      <w:r w:rsidRPr="00BB5519">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CA0E2D" w:rsidRPr="00BB5519" w:rsidRDefault="00CA0E2D" w:rsidP="00031ABF">
      <w:pPr>
        <w:tabs>
          <w:tab w:val="left" w:pos="720"/>
        </w:tabs>
        <w:ind w:left="720"/>
        <w:contextualSpacing/>
        <w:rPr>
          <w:lang w:val="de-DE"/>
        </w:rPr>
      </w:pPr>
    </w:p>
    <w:p w:rsidR="00A81E83" w:rsidRPr="00BB5519" w:rsidRDefault="00A81E83" w:rsidP="0043378A">
      <w:pPr>
        <w:numPr>
          <w:ilvl w:val="0"/>
          <w:numId w:val="65"/>
        </w:numPr>
        <w:tabs>
          <w:tab w:val="left" w:pos="1440"/>
        </w:tabs>
        <w:spacing w:after="40"/>
        <w:rPr>
          <w:lang w:val="de-DE"/>
        </w:rPr>
      </w:pPr>
      <w:r w:rsidRPr="00BB5519">
        <w:rPr>
          <w:rFonts w:eastAsia="Calibri" w:cs="Tahoma"/>
          <w:b/>
          <w:szCs w:val="18"/>
          <w:lang w:val="de-DE"/>
        </w:rPr>
        <w:lastRenderedPageBreak/>
        <w:t>SQL Server 2008 R2 Datacenter:</w:t>
      </w:r>
      <w:r w:rsidRPr="00BB5519">
        <w:rPr>
          <w:rFonts w:eastAsia="Calibri" w:cs="Tahoma"/>
          <w:szCs w:val="18"/>
          <w:lang w:val="de-DE"/>
        </w:rPr>
        <w:t xml:space="preserve"> Die kontinuierliche Verwendung dieser Version der Software unterliegt den Produktbenutzungsrechten für SQL Server 2008 R2 Datacenter-Prozessorlizenzen. </w:t>
      </w:r>
    </w:p>
    <w:p w:rsidR="00A81E83" w:rsidRPr="00BB5519" w:rsidRDefault="00A81E83" w:rsidP="0043378A">
      <w:pPr>
        <w:numPr>
          <w:ilvl w:val="0"/>
          <w:numId w:val="65"/>
        </w:numPr>
        <w:tabs>
          <w:tab w:val="left" w:pos="1440"/>
          <w:tab w:val="left" w:pos="2970"/>
        </w:tabs>
        <w:spacing w:after="40"/>
        <w:rPr>
          <w:lang w:val="de-DE"/>
        </w:rPr>
      </w:pPr>
      <w:r w:rsidRPr="00BB5519">
        <w:rPr>
          <w:rFonts w:eastAsia="Calibri" w:cs="Tahoma"/>
          <w:b/>
          <w:szCs w:val="18"/>
          <w:lang w:val="de-DE"/>
        </w:rPr>
        <w:t>SQL Server 2012 Enterprise Core:</w:t>
      </w:r>
      <w:r w:rsidRPr="000754C4">
        <w:rPr>
          <w:rFonts w:eastAsia="Calibri" w:cs="Tahoma"/>
          <w:bCs/>
          <w:szCs w:val="18"/>
          <w:lang w:val="de-DE"/>
        </w:rPr>
        <w:t xml:space="preserve"> </w:t>
      </w:r>
      <w:r w:rsidRPr="00BB5519">
        <w:rPr>
          <w:rFonts w:eastAsia="Calibri" w:cs="Tahoma"/>
          <w:szCs w:val="18"/>
          <w:lang w:val="de-DE"/>
        </w:rPr>
        <w:t xml:space="preserve">Die Verwendung dieser Version der Software unterliegt den Produktbenutzungsrechten für SQL Server 2008 R2 Enterprise-Prozessorlizenzen, jedoch mit folgenden Einschränkungen: </w:t>
      </w:r>
    </w:p>
    <w:p w:rsidR="00A81E83" w:rsidRPr="00BB5519" w:rsidRDefault="00A81E83" w:rsidP="0043378A">
      <w:pPr>
        <w:numPr>
          <w:ilvl w:val="1"/>
          <w:numId w:val="65"/>
        </w:numPr>
        <w:tabs>
          <w:tab w:val="left" w:pos="1800"/>
        </w:tabs>
        <w:spacing w:after="40"/>
        <w:ind w:left="1800"/>
        <w:rPr>
          <w:lang w:val="de-DE"/>
        </w:rPr>
      </w:pPr>
      <w:r w:rsidRPr="00BB5519">
        <w:rPr>
          <w:rFonts w:eastAsia="Calibri" w:cs="Tahoma"/>
          <w:szCs w:val="18"/>
          <w:lang w:val="de-DE"/>
        </w:rPr>
        <w:t>Kunden verfügen nicht mehr über Nutzungsrechte für Unbegrenzte Virtualisierung, Lizenzmobilität innerhalb von Serverfarmen oder Lizenzmobilität durch Software Assurance,</w:t>
      </w:r>
      <w:r w:rsidR="000754C4">
        <w:rPr>
          <w:rFonts w:eastAsia="Calibri" w:cs="Tahoma"/>
          <w:szCs w:val="18"/>
          <w:lang w:val="de-DE"/>
        </w:rPr>
        <w:t> </w:t>
      </w:r>
      <w:r w:rsidRPr="00BB5519">
        <w:rPr>
          <w:rFonts w:eastAsia="Calibri" w:cs="Tahoma"/>
          <w:szCs w:val="18"/>
          <w:lang w:val="de-DE"/>
        </w:rPr>
        <w:t xml:space="preserve">und </w:t>
      </w:r>
    </w:p>
    <w:p w:rsidR="00A81E83" w:rsidRPr="00BB5519" w:rsidRDefault="00A81E83" w:rsidP="0043378A">
      <w:pPr>
        <w:numPr>
          <w:ilvl w:val="1"/>
          <w:numId w:val="65"/>
        </w:numPr>
        <w:tabs>
          <w:tab w:val="left" w:pos="1800"/>
        </w:tabs>
        <w:spacing w:after="40"/>
        <w:ind w:left="1800"/>
      </w:pPr>
      <w:r w:rsidRPr="00BB5519">
        <w:rPr>
          <w:rFonts w:eastAsia="Calibri" w:cs="Tahoma"/>
          <w:szCs w:val="18"/>
          <w:lang w:val="de-DE"/>
        </w:rPr>
        <w:t xml:space="preserve">Neuzuweisungen von Lizenzen unterliegen den Beschränkungen unten unter (i) und (ii) in Bezug auf ihre „Core-Lizenzäquivalenz“. </w:t>
      </w:r>
      <w:r w:rsidRPr="00BB5519">
        <w:rPr>
          <w:rFonts w:eastAsia="Calibri" w:cs="Tahoma"/>
          <w:szCs w:val="18"/>
        </w:rPr>
        <w:t xml:space="preserve">Die Core-Lizenzäquivalenz wird wie folgt bestimmt. </w:t>
      </w:r>
    </w:p>
    <w:p w:rsidR="00A81E83" w:rsidRPr="00BB5519" w:rsidRDefault="00A81E83" w:rsidP="0043378A">
      <w:pPr>
        <w:numPr>
          <w:ilvl w:val="2"/>
          <w:numId w:val="65"/>
        </w:numPr>
        <w:tabs>
          <w:tab w:val="left" w:pos="2160"/>
        </w:tabs>
        <w:spacing w:after="40"/>
        <w:ind w:left="2160" w:hanging="360"/>
        <w:rPr>
          <w:lang w:val="de-DE"/>
        </w:rPr>
      </w:pPr>
      <w:r w:rsidRPr="00BB5519">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BB5519" w:rsidRDefault="00A81E83" w:rsidP="0043378A">
      <w:pPr>
        <w:numPr>
          <w:ilvl w:val="4"/>
          <w:numId w:val="64"/>
        </w:numPr>
        <w:tabs>
          <w:tab w:val="left" w:pos="2520"/>
        </w:tabs>
        <w:spacing w:after="40"/>
        <w:ind w:left="2520"/>
      </w:pPr>
      <w:r w:rsidRPr="00BB5519">
        <w:rPr>
          <w:rFonts w:eastAsia="Calibri" w:cs="Tahoma"/>
          <w:szCs w:val="18"/>
        </w:rPr>
        <w:t xml:space="preserve">acht Cores pro Prozessorlizenz ODER </w:t>
      </w:r>
    </w:p>
    <w:p w:rsidR="00A81E83" w:rsidRPr="00BB5519" w:rsidRDefault="00A81E83" w:rsidP="0043378A">
      <w:pPr>
        <w:numPr>
          <w:ilvl w:val="4"/>
          <w:numId w:val="64"/>
        </w:numPr>
        <w:tabs>
          <w:tab w:val="left" w:pos="2520"/>
        </w:tabs>
        <w:spacing w:after="40"/>
        <w:ind w:left="2520"/>
        <w:rPr>
          <w:lang w:val="de-DE"/>
        </w:rPr>
      </w:pPr>
      <w:r w:rsidRPr="00BB5519">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acht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BB5519" w:rsidRDefault="00A81E83" w:rsidP="0043378A">
      <w:pPr>
        <w:numPr>
          <w:ilvl w:val="2"/>
          <w:numId w:val="65"/>
        </w:numPr>
        <w:tabs>
          <w:tab w:val="left" w:pos="2160"/>
        </w:tabs>
        <w:spacing w:after="40"/>
        <w:ind w:left="2160" w:hanging="360"/>
        <w:rPr>
          <w:lang w:val="de-DE"/>
        </w:rPr>
      </w:pPr>
      <w:r w:rsidRPr="00BB5519">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acht Cores pro Prozessorlizenz.</w:t>
      </w:r>
    </w:p>
    <w:p w:rsidR="00A81E83" w:rsidRPr="00BB5519" w:rsidRDefault="00A81E83" w:rsidP="0043378A">
      <w:pPr>
        <w:numPr>
          <w:ilvl w:val="1"/>
          <w:numId w:val="65"/>
        </w:numPr>
        <w:tabs>
          <w:tab w:val="left" w:pos="1800"/>
          <w:tab w:val="left" w:pos="2970"/>
        </w:tabs>
        <w:spacing w:after="40"/>
        <w:ind w:left="1800"/>
        <w:rPr>
          <w:lang w:val="de-DE"/>
        </w:rPr>
      </w:pPr>
      <w:r w:rsidRPr="00BB5519">
        <w:rPr>
          <w:rFonts w:eastAsia="Calibri" w:cs="Tahoma"/>
          <w:szCs w:val="18"/>
          <w:lang w:val="de-DE"/>
        </w:rPr>
        <w:t>Kunden sind berechtigt, Lizenzen einem anderen Server neu zuzuweisen. Wenn der Kunde jedoch eine Lizenz einem anderen Server neu zuweist, muss der Kunde die Nutzungsrechte für</w:t>
      </w:r>
      <w:r w:rsidR="000754C4">
        <w:rPr>
          <w:rFonts w:eastAsia="Calibri" w:cs="Tahoma"/>
          <w:szCs w:val="18"/>
          <w:lang w:val="de-DE"/>
        </w:rPr>
        <w:t> </w:t>
      </w:r>
      <w:r w:rsidRPr="00BB5519">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r w:rsidR="009E4976" w:rsidRPr="00BB5519">
        <w:rPr>
          <w:rFonts w:eastAsia="Calibri" w:cs="Tahoma"/>
          <w:szCs w:val="18"/>
          <w:lang w:val="de-DE"/>
        </w:rPr>
        <w:t xml:space="preserve"> </w:t>
      </w:r>
    </w:p>
    <w:p w:rsidR="00A81E83" w:rsidRPr="00BB5519" w:rsidRDefault="00A81E83" w:rsidP="0043378A">
      <w:pPr>
        <w:numPr>
          <w:ilvl w:val="1"/>
          <w:numId w:val="65"/>
        </w:numPr>
        <w:tabs>
          <w:tab w:val="left" w:pos="1800"/>
        </w:tabs>
        <w:spacing w:after="40"/>
        <w:ind w:left="1800"/>
        <w:rPr>
          <w:lang w:val="de-DE"/>
        </w:rPr>
      </w:pPr>
      <w:r w:rsidRPr="00BB5519">
        <w:rPr>
          <w:rFonts w:eastAsia="Calibri" w:cs="Tahoma"/>
          <w:szCs w:val="18"/>
          <w:lang w:val="de-DE"/>
        </w:rPr>
        <w:t>Die angenommene Core-Lizenzäquivalenz der Kunden impliziert nicht, dass sie berechtigt sind, eine einzelne Prozessorlizenz Cores auf zwei oder mehr Prozessoren zuzuweisen.</w:t>
      </w:r>
    </w:p>
    <w:p w:rsidR="00CA0E2D" w:rsidRPr="0043378A" w:rsidRDefault="00CA0E2D" w:rsidP="00CA0E2D">
      <w:pPr>
        <w:tabs>
          <w:tab w:val="left" w:pos="720"/>
        </w:tabs>
        <w:ind w:left="720"/>
        <w:contextualSpacing/>
        <w:rPr>
          <w:sz w:val="16"/>
          <w:szCs w:val="16"/>
          <w:lang w:val="de-DE"/>
        </w:rPr>
      </w:pPr>
    </w:p>
    <w:p w:rsidR="00CA0E2D" w:rsidRPr="00BB5519" w:rsidRDefault="00A81E83" w:rsidP="00CA0E2D">
      <w:pPr>
        <w:tabs>
          <w:tab w:val="left" w:pos="720"/>
        </w:tabs>
        <w:spacing w:after="60"/>
        <w:ind w:left="720"/>
        <w:rPr>
          <w:lang w:val="de-DE"/>
        </w:rPr>
      </w:pPr>
      <w:r w:rsidRPr="00BB5519">
        <w:rPr>
          <w:rFonts w:eastAsia="Calibri" w:cs="Tahoma"/>
          <w:b/>
          <w:szCs w:val="18"/>
          <w:lang w:val="de-DE"/>
        </w:rPr>
        <w:t>Für Kunden mit Software Assurance, die am oder nach dem 1. April 2015 abläuft, die sich gegen eine Verlängerung entscheiden</w:t>
      </w:r>
    </w:p>
    <w:p w:rsidR="00A81E83" w:rsidRPr="00BB5519" w:rsidRDefault="00A81E83" w:rsidP="00CA0E2D">
      <w:pPr>
        <w:tabs>
          <w:tab w:val="left" w:pos="720"/>
        </w:tabs>
        <w:ind w:left="720"/>
        <w:contextualSpacing/>
        <w:rPr>
          <w:lang w:val="de-DE"/>
        </w:rPr>
      </w:pPr>
      <w:r w:rsidRPr="00BB5519">
        <w:rPr>
          <w:rFonts w:eastAsia="Calibri" w:cs="Tahoma"/>
          <w:color w:val="000000"/>
          <w:szCs w:val="18"/>
          <w:lang w:val="de-DE"/>
        </w:rPr>
        <w:t xml:space="preserve">Konzern-Abonnement- </w:t>
      </w:r>
      <w:r w:rsidRPr="00BB5519">
        <w:rPr>
          <w:rFonts w:cs="Tahoma"/>
          <w:bCs/>
          <w:color w:val="000000"/>
          <w:szCs w:val="18"/>
          <w:lang w:val="de-DE"/>
        </w:rPr>
        <w:t>und Open Value Subscription-</w:t>
      </w:r>
      <w:r w:rsidRPr="00BB551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CA0E2D" w:rsidRPr="0043378A" w:rsidRDefault="00CA0E2D" w:rsidP="00CA0E2D">
      <w:pPr>
        <w:tabs>
          <w:tab w:val="left" w:pos="720"/>
        </w:tabs>
        <w:ind w:left="720"/>
        <w:contextualSpacing/>
        <w:rPr>
          <w:sz w:val="16"/>
          <w:szCs w:val="16"/>
          <w:lang w:val="de-DE"/>
        </w:rPr>
      </w:pPr>
    </w:p>
    <w:p w:rsidR="00A81E83" w:rsidRPr="00BB5519" w:rsidRDefault="00A81E83" w:rsidP="0043378A">
      <w:pPr>
        <w:numPr>
          <w:ilvl w:val="2"/>
          <w:numId w:val="64"/>
        </w:numPr>
        <w:tabs>
          <w:tab w:val="left" w:pos="1440"/>
        </w:tabs>
        <w:spacing w:after="40"/>
        <w:ind w:left="1440"/>
        <w:rPr>
          <w:lang w:val="de-DE"/>
        </w:rPr>
      </w:pPr>
      <w:r w:rsidRPr="00BB5519">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0754C4">
        <w:rPr>
          <w:rFonts w:eastAsia="Calibri" w:cs="Tahoma"/>
          <w:szCs w:val="18"/>
          <w:lang w:val="de-DE"/>
        </w:rPr>
        <w:t> </w:t>
      </w:r>
      <w:r w:rsidRPr="00BB5519">
        <w:rPr>
          <w:rFonts w:eastAsia="Calibri" w:cs="Tahoma"/>
          <w:szCs w:val="18"/>
          <w:lang w:val="de-DE"/>
        </w:rPr>
        <w:t xml:space="preserve">Software Assurance, die vor dem 1. April 2015 abläuft, die sich gegen eine Verlängerung entscheiden“ weiterhin zu verwenden, und </w:t>
      </w:r>
    </w:p>
    <w:p w:rsidR="00A81E83" w:rsidRPr="00BB5519" w:rsidRDefault="00A81E83" w:rsidP="0043378A">
      <w:pPr>
        <w:numPr>
          <w:ilvl w:val="2"/>
          <w:numId w:val="64"/>
        </w:numPr>
        <w:tabs>
          <w:tab w:val="left" w:pos="1440"/>
        </w:tabs>
        <w:spacing w:after="40"/>
        <w:ind w:left="1440"/>
        <w:rPr>
          <w:lang w:val="de-DE"/>
        </w:rPr>
      </w:pPr>
      <w:r w:rsidRPr="00BB5519">
        <w:rPr>
          <w:rFonts w:eastAsia="Calibri" w:cs="Tahoma"/>
          <w:szCs w:val="18"/>
          <w:lang w:val="de-DE"/>
        </w:rPr>
        <w:t>für Lizenzen, die nach dem 1. April 2015 erworben wurden, verfügt die Prozessorlizenz von Kunden</w:t>
      </w:r>
      <w:r w:rsidR="000754C4">
        <w:rPr>
          <w:rFonts w:eastAsia="Calibri" w:cs="Tahoma"/>
          <w:szCs w:val="18"/>
          <w:lang w:val="de-DE"/>
        </w:rPr>
        <w:t> </w:t>
      </w:r>
      <w:r w:rsidRPr="00BB5519">
        <w:rPr>
          <w:rFonts w:eastAsia="Calibri" w:cs="Tahoma"/>
          <w:szCs w:val="18"/>
          <w:lang w:val="de-DE"/>
        </w:rPr>
        <w:t>über eine Core-Äquivalenz von acht Core-Lizenzen für SQL Server 2012 Enterprise. Für die</w:t>
      </w:r>
      <w:r w:rsidR="000754C4">
        <w:rPr>
          <w:rFonts w:eastAsia="Calibri" w:cs="Tahoma"/>
          <w:szCs w:val="18"/>
          <w:lang w:val="de-DE"/>
        </w:rPr>
        <w:t> </w:t>
      </w:r>
      <w:r w:rsidRPr="00BB5519">
        <w:rPr>
          <w:rFonts w:eastAsia="Calibri" w:cs="Tahoma"/>
          <w:szCs w:val="18"/>
          <w:lang w:val="de-DE"/>
        </w:rPr>
        <w:t>kontinuierliche Verwendung von SQL Server 2012 auf Prozessoren, die mehr als acht Core-Lizenzen pro Prozessor erfordern, muss der Kunde die zusätzlichen Core-Lizenzen erwerben.</w:t>
      </w:r>
    </w:p>
    <w:p w:rsidR="00CA0E2D" w:rsidRPr="0043378A" w:rsidRDefault="00CA0E2D" w:rsidP="00CA0E2D">
      <w:pPr>
        <w:tabs>
          <w:tab w:val="left" w:pos="1440"/>
        </w:tabs>
        <w:ind w:left="1440"/>
        <w:contextualSpacing/>
        <w:rPr>
          <w:sz w:val="16"/>
          <w:szCs w:val="16"/>
          <w:lang w:val="de-DE"/>
        </w:rPr>
      </w:pPr>
    </w:p>
    <w:p w:rsidR="00CA0E2D" w:rsidRPr="00BB5519" w:rsidRDefault="00A81E83" w:rsidP="00CA0E2D">
      <w:pPr>
        <w:tabs>
          <w:tab w:val="left" w:pos="720"/>
        </w:tabs>
        <w:spacing w:after="60"/>
        <w:ind w:left="720"/>
        <w:rPr>
          <w:lang w:val="de-DE"/>
        </w:rPr>
      </w:pPr>
      <w:r w:rsidRPr="00BB5519">
        <w:rPr>
          <w:rFonts w:eastAsia="Calibri" w:cs="Tahoma"/>
          <w:b/>
          <w:szCs w:val="18"/>
          <w:lang w:val="de-DE"/>
        </w:rPr>
        <w:t>Für Kunden in der Volksrepublik China, die dort Prozessorlizenzen und Software Assurance für SQL Server 2008 R2 erwerben</w:t>
      </w:r>
    </w:p>
    <w:p w:rsidR="00A81E83" w:rsidRPr="00BB5519" w:rsidRDefault="00A81E83" w:rsidP="00CA0E2D">
      <w:pPr>
        <w:tabs>
          <w:tab w:val="left" w:pos="720"/>
        </w:tabs>
        <w:ind w:left="720"/>
        <w:contextualSpacing/>
        <w:rPr>
          <w:lang w:val="de-DE"/>
        </w:rPr>
      </w:pPr>
      <w:r w:rsidRPr="00BB5519">
        <w:rPr>
          <w:lang w:val="de-DE"/>
        </w:rPr>
        <w:t>Die Verweise auf den 1. April 2012 und den 1. April 2015 in dieser Produktliste sind nicht anwendbar. Die anwendbaren Daten für diese Kunden sind der 1. Juli 2012 bzw. der 1. Juli 2015.</w:t>
      </w:r>
    </w:p>
    <w:p w:rsidR="00A81E83" w:rsidRPr="00BB5519" w:rsidRDefault="00F66FB0" w:rsidP="00A81E83">
      <w:pPr>
        <w:pStyle w:val="Heading3"/>
        <w:rPr>
          <w:lang w:val="de-DE"/>
        </w:rPr>
      </w:pPr>
      <w:bookmarkStart w:id="1424" w:name="_76_74_SQL"/>
      <w:bookmarkStart w:id="1425" w:name="_75_SQL_Server®"/>
      <w:bookmarkStart w:id="1426" w:name="_Toc336338341"/>
      <w:bookmarkStart w:id="1427" w:name="_Toc354055030"/>
      <w:bookmarkStart w:id="1428" w:name="Srv_83SQL2008R2Smallbiz"/>
      <w:bookmarkEnd w:id="1424"/>
      <w:bookmarkEnd w:id="1425"/>
      <w:r w:rsidRPr="00BB5519">
        <w:rPr>
          <w:rFonts w:ascii="Tahoma" w:hAnsi="Tahoma" w:cs="Tahoma"/>
          <w:caps/>
          <w:color w:val="FE6700"/>
          <w:sz w:val="22"/>
          <w:vertAlign w:val="superscript"/>
          <w:lang w:val="de-DE"/>
        </w:rPr>
        <w:lastRenderedPageBreak/>
        <w:t xml:space="preserve">75 </w:t>
      </w:r>
      <w:r w:rsidRPr="00BB5519">
        <w:rPr>
          <w:rFonts w:ascii="Tahoma" w:hAnsi="Tahoma" w:cs="Tahoma"/>
          <w:color w:val="FE6700"/>
          <w:sz w:val="22"/>
          <w:lang w:val="de-DE"/>
        </w:rPr>
        <w:t>SQL Server</w:t>
      </w:r>
      <w:r w:rsidRPr="00BB5519">
        <w:rPr>
          <w:rFonts w:ascii="Tahoma" w:hAnsi="Tahoma" w:cs="Tahoma"/>
          <w:color w:val="FE6700"/>
          <w:sz w:val="22"/>
          <w:vertAlign w:val="superscript"/>
          <w:lang w:val="de-DE"/>
        </w:rPr>
        <w:t>®</w:t>
      </w:r>
      <w:r w:rsidRPr="00BB5519">
        <w:rPr>
          <w:rFonts w:ascii="Tahoma" w:hAnsi="Tahoma" w:cs="Tahoma"/>
          <w:color w:val="FE6700"/>
          <w:sz w:val="22"/>
          <w:lang w:val="de-DE"/>
        </w:rPr>
        <w:t xml:space="preserve"> 2008 R2 Small Business</w:t>
      </w:r>
      <w:bookmarkEnd w:id="1426"/>
      <w:bookmarkEnd w:id="1427"/>
    </w:p>
    <w:bookmarkEnd w:id="1428"/>
    <w:p w:rsidR="00A81E83" w:rsidRPr="00BB5519" w:rsidRDefault="00A81E83" w:rsidP="00BD4B91">
      <w:pPr>
        <w:rPr>
          <w:lang w:val="de-DE"/>
        </w:rPr>
      </w:pPr>
    </w:p>
    <w:p w:rsidR="00CA0E2D" w:rsidRPr="00BB5519" w:rsidRDefault="00A81E83" w:rsidP="00CA0E2D">
      <w:pPr>
        <w:spacing w:after="60" w:line="276" w:lineRule="auto"/>
        <w:ind w:left="720"/>
        <w:rPr>
          <w:lang w:val="de-DE"/>
        </w:rPr>
      </w:pPr>
      <w:r w:rsidRPr="00BB5519">
        <w:rPr>
          <w:rFonts w:eastAsia="Calibri" w:cs="Tahoma"/>
          <w:b/>
          <w:szCs w:val="18"/>
          <w:lang w:val="de-DE"/>
        </w:rPr>
        <w:t>Lizenzgewährungen im Zusammenhang mit dem Ende der Lebensdauer von SQL Server Small Business Edition</w:t>
      </w:r>
    </w:p>
    <w:p w:rsidR="00A81E83" w:rsidRPr="00BB5519" w:rsidRDefault="00A81E83" w:rsidP="00CA0E2D">
      <w:pPr>
        <w:spacing w:after="200"/>
        <w:ind w:left="720"/>
        <w:rPr>
          <w:lang w:val="de-DE"/>
        </w:rPr>
      </w:pPr>
      <w:r w:rsidRPr="00BB5519">
        <w:rPr>
          <w:rFonts w:eastAsia="Calibri" w:cs="Tahoma"/>
          <w:szCs w:val="18"/>
          <w:lang w:val="de-DE"/>
        </w:rPr>
        <w:t>SQL Server 2008 R2 für Small Business ist die letzte Version von SQL Server für Small Business Edition.</w:t>
      </w:r>
      <w:r w:rsidR="009E4976" w:rsidRPr="00BB5519">
        <w:rPr>
          <w:rFonts w:eastAsia="Calibri" w:cs="Tahoma"/>
          <w:szCs w:val="18"/>
          <w:lang w:val="de-DE"/>
        </w:rPr>
        <w:t xml:space="preserve"> </w:t>
      </w:r>
      <w:r w:rsidRPr="00BB5519">
        <w:rPr>
          <w:rFonts w:eastAsia="Calibri" w:cs="Tahoma"/>
          <w:szCs w:val="18"/>
          <w:lang w:val="de-DE"/>
        </w:rPr>
        <w:t>Als Ausnahme sind Volumenlizenzkunden, die am 1. April 2012 über aktive Software Assurance für SQL Server 2008 R2 für Small Business-Lizenzen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für Small Business verfügen, berechtigt, auf CALs für SQL Server 2012 (oder eine spätere Version dieser CAL, die während des Software Assurance-Zeitraums verfügbar gemacht wird) anstelle von CAL für SQL Server Small Business upzugraden und diese zu verwenden sowie Software Assurance für CAL für SQL Server zu erwerben, wenn die aktuelle Software Assurance abläuft.</w:t>
      </w:r>
      <w:r w:rsidR="009E4976" w:rsidRPr="00BB5519">
        <w:rPr>
          <w:rFonts w:eastAsia="Calibri" w:cs="Tahoma"/>
          <w:szCs w:val="18"/>
          <w:lang w:val="de-DE"/>
        </w:rPr>
        <w:t xml:space="preserve"> </w:t>
      </w:r>
      <w:r w:rsidRPr="00BB5519">
        <w:rPr>
          <w:rFonts w:eastAsia="Calibri" w:cs="Tahoma"/>
          <w:szCs w:val="18"/>
          <w:lang w:val="de-DE"/>
        </w:rPr>
        <w:t>Die SQL Server Small Business-Lizenzen des Kunden sind bei Erwerb von Software Assurance für SQL Server Standard unter diesem Angebot nicht mehr gültig.</w:t>
      </w:r>
    </w:p>
    <w:p w:rsidR="00CA0E2D" w:rsidRPr="00BB5519" w:rsidRDefault="00A81E83" w:rsidP="00CA0E2D">
      <w:pPr>
        <w:spacing w:after="60" w:line="276" w:lineRule="auto"/>
        <w:ind w:left="720"/>
        <w:rPr>
          <w:lang w:val="de-DE"/>
        </w:rPr>
      </w:pPr>
      <w:r w:rsidRPr="00BB5519">
        <w:rPr>
          <w:b/>
          <w:lang w:val="de-DE"/>
        </w:rPr>
        <w:t>Für Kunden in der Volksrepublik</w:t>
      </w:r>
      <w:r w:rsidRPr="00BB5519">
        <w:rPr>
          <w:lang w:val="de-DE"/>
        </w:rPr>
        <w:t xml:space="preserve"> </w:t>
      </w:r>
      <w:r w:rsidRPr="00BB5519">
        <w:rPr>
          <w:b/>
          <w:lang w:val="de-DE"/>
        </w:rPr>
        <w:t>China, die dort Lizenzen und Software Assurance für SQL Server 2008 R2 erwerben</w:t>
      </w:r>
    </w:p>
    <w:p w:rsidR="00CA0E2D" w:rsidRPr="00BB5519" w:rsidRDefault="00A81E83" w:rsidP="00CA0E2D">
      <w:pPr>
        <w:ind w:left="720"/>
        <w:rPr>
          <w:lang w:val="de-DE"/>
        </w:rPr>
      </w:pPr>
      <w:r w:rsidRPr="00BB5519">
        <w:rPr>
          <w:lang w:val="de-DE"/>
        </w:rPr>
        <w:t>Die Verweise auf den 1. April 2012 in dieser Produktliste sind nicht anwendbar. Das anwendbare Datum für diese Kunden ist der 1. Juli 2012.</w:t>
      </w:r>
    </w:p>
    <w:p w:rsidR="00CA0E2D" w:rsidRPr="00BB5519" w:rsidRDefault="00CA0E2D" w:rsidP="00096925">
      <w:pPr>
        <w:rPr>
          <w:lang w:val="de-DE"/>
        </w:rPr>
      </w:pPr>
    </w:p>
    <w:p w:rsidR="002512D3" w:rsidRPr="00BB5519" w:rsidRDefault="002512D3" w:rsidP="00096925">
      <w:pPr>
        <w:rPr>
          <w:lang w:val="de-DE"/>
        </w:rPr>
      </w:pPr>
      <w:bookmarkStart w:id="1429" w:name="_Toc336338342"/>
      <w:bookmarkStart w:id="1430" w:name="Srv_84SQL2008R2Webproc"/>
    </w:p>
    <w:p w:rsidR="00A81E83" w:rsidRPr="00BB5519" w:rsidRDefault="00F66FB0" w:rsidP="00096925">
      <w:pPr>
        <w:pStyle w:val="Heading3"/>
        <w:rPr>
          <w:lang w:val="de-DE"/>
        </w:rPr>
      </w:pPr>
      <w:bookmarkStart w:id="1431" w:name="_77_75_SQL"/>
      <w:bookmarkStart w:id="1432" w:name="_76_SQL_Server®"/>
      <w:bookmarkStart w:id="1433" w:name="_Toc354055031"/>
      <w:bookmarkEnd w:id="1431"/>
      <w:bookmarkEnd w:id="1432"/>
      <w:r w:rsidRPr="00BB5519">
        <w:rPr>
          <w:rFonts w:ascii="Tahoma" w:hAnsi="Tahoma" w:cs="Tahoma"/>
          <w:caps/>
          <w:color w:val="F66400"/>
          <w:sz w:val="22"/>
          <w:vertAlign w:val="superscript"/>
          <w:lang w:val="de-DE"/>
        </w:rPr>
        <w:t>76</w:t>
      </w:r>
      <w:r w:rsidRPr="00BB5519">
        <w:rPr>
          <w:rFonts w:ascii="Tahoma" w:hAnsi="Tahoma" w:cs="Tahoma"/>
          <w:color w:val="F66400"/>
          <w:sz w:val="22"/>
          <w:lang w:val="de-DE"/>
        </w:rPr>
        <w:t xml:space="preserve"> SQL Server</w:t>
      </w:r>
      <w:r w:rsidRPr="00BB5519">
        <w:rPr>
          <w:rFonts w:ascii="Tahoma" w:hAnsi="Tahoma" w:cs="Tahoma"/>
          <w:color w:val="F66400"/>
          <w:sz w:val="22"/>
          <w:vertAlign w:val="superscript"/>
          <w:lang w:val="de-DE"/>
        </w:rPr>
        <w:t>®</w:t>
      </w:r>
      <w:r w:rsidRPr="00BB5519">
        <w:rPr>
          <w:rFonts w:ascii="Tahoma" w:hAnsi="Tahoma" w:cs="Tahoma"/>
          <w:color w:val="F66400"/>
          <w:sz w:val="22"/>
          <w:lang w:val="de-DE"/>
        </w:rPr>
        <w:t xml:space="preserve"> 2008 R2 Web-Prozessor</w:t>
      </w:r>
      <w:bookmarkEnd w:id="1429"/>
      <w:bookmarkEnd w:id="1433"/>
    </w:p>
    <w:bookmarkEnd w:id="1430"/>
    <w:p w:rsidR="00A81E83" w:rsidRPr="00BB5519" w:rsidRDefault="00A81E83" w:rsidP="00096925">
      <w:pPr>
        <w:rPr>
          <w:lang w:val="de-DE"/>
        </w:rPr>
      </w:pPr>
    </w:p>
    <w:p w:rsidR="008558DC" w:rsidRPr="00BB5519" w:rsidRDefault="00A81E83" w:rsidP="00096925">
      <w:pPr>
        <w:spacing w:after="60"/>
        <w:ind w:left="720"/>
        <w:rPr>
          <w:lang w:val="de-DE"/>
        </w:rPr>
      </w:pPr>
      <w:r w:rsidRPr="00BB5519">
        <w:rPr>
          <w:rFonts w:eastAsia="Calibri" w:cs="Tahoma"/>
          <w:b/>
          <w:szCs w:val="18"/>
          <w:lang w:val="de-DE"/>
        </w:rPr>
        <w:t>Lizenzgewährungen im Zusammenhang mit der Änderung des Lizenzmodells</w:t>
      </w:r>
    </w:p>
    <w:p w:rsidR="00A81E83" w:rsidRPr="00BB5519" w:rsidRDefault="00A81E83" w:rsidP="00096925">
      <w:pPr>
        <w:ind w:left="720"/>
        <w:rPr>
          <w:lang w:val="de-DE"/>
        </w:rPr>
      </w:pPr>
      <w:r w:rsidRPr="00BB5519">
        <w:rPr>
          <w:rFonts w:eastAsia="Calibri" w:cs="Tahoma"/>
          <w:szCs w:val="18"/>
          <w:lang w:val="de-DE"/>
        </w:rPr>
        <w:t>SQL Server 2008 R2 ist die letzte Version von SQL Server, die unter dem Pro-Prozessor-Lizenzmodell</w:t>
      </w:r>
      <w:r w:rsidR="000754C4">
        <w:rPr>
          <w:rFonts w:eastAsia="Calibri" w:cs="Tahoma"/>
          <w:szCs w:val="18"/>
          <w:lang w:val="de-DE"/>
        </w:rPr>
        <w:t> </w:t>
      </w:r>
      <w:r w:rsidRPr="00BB5519">
        <w:rPr>
          <w:rFonts w:eastAsia="Calibri" w:cs="Tahoma"/>
          <w:szCs w:val="18"/>
          <w:lang w:val="de-DE"/>
        </w:rPr>
        <w:t>lizenziert wird, und die letzte Version von SQL Server Web Edition unter Volumenlizenz-Endbenutzerprogrammen.</w:t>
      </w:r>
      <w:r w:rsidR="009E4976" w:rsidRPr="00BB5519">
        <w:rPr>
          <w:rFonts w:eastAsia="Calibri" w:cs="Tahoma"/>
          <w:szCs w:val="18"/>
          <w:lang w:val="de-DE"/>
        </w:rPr>
        <w:t xml:space="preserve"> </w:t>
      </w:r>
      <w:r w:rsidRPr="00BB5519">
        <w:rPr>
          <w:rFonts w:eastAsia="Calibri" w:cs="Tahoma"/>
          <w:szCs w:val="18"/>
          <w:lang w:val="de-DE"/>
        </w:rPr>
        <w:t xml:space="preserve">Als Ausnahme erhalten Volumenlizenzkunden, die am 1. April 2012 über aktive Software Assurance für SQL Server 2008 R2 Web-Prozessorlizenzen („qualifizierende Lizenzen“) verfügen, die folgenden Optionen. </w:t>
      </w:r>
      <w:r w:rsidRPr="00BB5519">
        <w:rPr>
          <w:lang w:val="de-DE"/>
        </w:rPr>
        <w:t>SQL Server 2008 R2 Web-Prozessor</w:t>
      </w:r>
      <w:r w:rsidRPr="00BB5519">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9E4976" w:rsidRPr="00BB5519">
        <w:rPr>
          <w:rFonts w:cs="Tahoma"/>
          <w:bCs/>
          <w:color w:val="000000"/>
          <w:szCs w:val="18"/>
          <w:lang w:val="de-DE"/>
        </w:rPr>
        <w:t xml:space="preserve"> </w:t>
      </w:r>
      <w:r w:rsidRPr="00BB5519">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8558DC" w:rsidRPr="00BB5519" w:rsidRDefault="008558DC" w:rsidP="00096925">
      <w:pPr>
        <w:ind w:left="720"/>
        <w:rPr>
          <w:lang w:val="de-DE"/>
        </w:rPr>
      </w:pPr>
    </w:p>
    <w:p w:rsidR="008558DC" w:rsidRPr="00BB5519" w:rsidRDefault="008558DC" w:rsidP="008558DC">
      <w:pPr>
        <w:spacing w:after="60"/>
        <w:ind w:left="720"/>
        <w:rPr>
          <w:lang w:val="de-DE"/>
        </w:rPr>
      </w:pPr>
      <w:r w:rsidRPr="00BB5519">
        <w:rPr>
          <w:rFonts w:eastAsia="Calibri" w:cs="Tahoma"/>
          <w:b/>
          <w:szCs w:val="18"/>
          <w:lang w:val="de-DE"/>
        </w:rPr>
        <w:t>Aktuelle Laufzeit</w:t>
      </w:r>
    </w:p>
    <w:p w:rsidR="008558DC" w:rsidRPr="00BB5519" w:rsidRDefault="00A81E83" w:rsidP="008558DC">
      <w:pPr>
        <w:ind w:left="720"/>
        <w:rPr>
          <w:lang w:val="de-DE"/>
        </w:rPr>
      </w:pPr>
      <w:r w:rsidRPr="00BB5519">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Web upzugraden und diese zu verwenden. Zusätzlich werden Kunden Rechte unter Lizenzmobilität durch Software Assurance und Lizenzmobilität innerhalb von Serverfarmen gewährt.</w:t>
      </w:r>
      <w:r w:rsidR="009E4976" w:rsidRPr="00BB5519">
        <w:rPr>
          <w:rFonts w:eastAsia="Calibri" w:cs="Tahoma"/>
          <w:szCs w:val="18"/>
          <w:lang w:val="de-DE"/>
        </w:rPr>
        <w:t xml:space="preserve"> </w:t>
      </w:r>
      <w:r w:rsidRPr="00BB5519">
        <w:rPr>
          <w:rFonts w:eastAsia="Calibri" w:cs="Tahoma"/>
          <w:szCs w:val="18"/>
          <w:lang w:val="de-DE"/>
        </w:rPr>
        <w:t>Die Lizenzbestimmungen für Lizenzmobilität finden Kunden in den Produktbenutzungsrechten für SQL Server 2012 Standard Core.</w:t>
      </w:r>
    </w:p>
    <w:p w:rsidR="008558DC" w:rsidRDefault="008558DC" w:rsidP="008558DC">
      <w:pPr>
        <w:ind w:left="720"/>
        <w:rPr>
          <w:lang w:val="de-DE"/>
        </w:rPr>
      </w:pPr>
    </w:p>
    <w:p w:rsidR="00096925" w:rsidRDefault="00096925" w:rsidP="008558DC">
      <w:pPr>
        <w:ind w:left="720"/>
        <w:rPr>
          <w:lang w:val="de-DE"/>
        </w:rPr>
      </w:pPr>
    </w:p>
    <w:p w:rsidR="00096925" w:rsidRDefault="00096925" w:rsidP="008558DC">
      <w:pPr>
        <w:ind w:left="720"/>
        <w:rPr>
          <w:lang w:val="de-DE"/>
        </w:rPr>
      </w:pPr>
    </w:p>
    <w:p w:rsidR="00096925" w:rsidRDefault="00096925" w:rsidP="008558DC">
      <w:pPr>
        <w:ind w:left="720"/>
        <w:rPr>
          <w:lang w:val="de-DE"/>
        </w:rPr>
      </w:pPr>
    </w:p>
    <w:p w:rsidR="00096925" w:rsidRDefault="00096925" w:rsidP="008558DC">
      <w:pPr>
        <w:ind w:left="720"/>
        <w:rPr>
          <w:lang w:val="de-DE"/>
        </w:rPr>
      </w:pPr>
    </w:p>
    <w:p w:rsidR="00096925" w:rsidRDefault="00096925" w:rsidP="008558DC">
      <w:pPr>
        <w:ind w:left="720"/>
        <w:rPr>
          <w:lang w:val="de-DE"/>
        </w:rPr>
      </w:pPr>
    </w:p>
    <w:p w:rsidR="00096925" w:rsidRDefault="00096925" w:rsidP="008558DC">
      <w:pPr>
        <w:ind w:left="720"/>
        <w:rPr>
          <w:lang w:val="de-DE"/>
        </w:rPr>
      </w:pPr>
    </w:p>
    <w:p w:rsidR="00096925" w:rsidRDefault="00096925" w:rsidP="008558DC">
      <w:pPr>
        <w:ind w:left="720"/>
        <w:rPr>
          <w:lang w:val="de-DE"/>
        </w:rPr>
      </w:pPr>
    </w:p>
    <w:p w:rsidR="00096925" w:rsidRPr="00BB5519" w:rsidRDefault="00096925" w:rsidP="008558DC">
      <w:pPr>
        <w:ind w:left="720"/>
        <w:rPr>
          <w:lang w:val="de-DE"/>
        </w:rPr>
      </w:pPr>
    </w:p>
    <w:p w:rsidR="008558DC" w:rsidRPr="00BB5519" w:rsidRDefault="00A81E83" w:rsidP="00096925">
      <w:pPr>
        <w:spacing w:after="40"/>
        <w:ind w:left="720"/>
        <w:rPr>
          <w:lang w:val="de-DE"/>
        </w:rPr>
      </w:pPr>
      <w:r w:rsidRPr="00BB5519">
        <w:rPr>
          <w:rFonts w:eastAsia="Calibri" w:cs="Tahoma"/>
          <w:b/>
          <w:szCs w:val="18"/>
          <w:lang w:val="de-DE"/>
        </w:rPr>
        <w:lastRenderedPageBreak/>
        <w:t>Erster Verlängerungszeitraum (vor dem 1. April 2015)</w:t>
      </w:r>
    </w:p>
    <w:p w:rsidR="00A81E83" w:rsidRPr="00BB5519" w:rsidRDefault="00A81E83" w:rsidP="00096925">
      <w:pPr>
        <w:ind w:left="720"/>
        <w:rPr>
          <w:lang w:val="de-DE"/>
        </w:rPr>
      </w:pPr>
      <w:r w:rsidRPr="00BB5519">
        <w:rPr>
          <w:rFonts w:eastAsia="Calibri" w:cs="Tahoma"/>
          <w:szCs w:val="18"/>
          <w:lang w:val="de-DE"/>
        </w:rPr>
        <w:t>Bei der ersten Software Assurance-Verlängerung am oder nach dem 1. April 2012 (jedoch vor dem</w:t>
      </w:r>
      <w:r w:rsidR="000754C4">
        <w:rPr>
          <w:rFonts w:eastAsia="Calibri" w:cs="Tahoma"/>
          <w:szCs w:val="18"/>
          <w:lang w:val="de-DE"/>
        </w:rPr>
        <w:t> </w:t>
      </w:r>
      <w:r w:rsidRPr="00BB5519">
        <w:rPr>
          <w:rFonts w:eastAsia="Calibri" w:cs="Tahoma"/>
          <w:szCs w:val="18"/>
          <w:lang w:val="de-DE"/>
        </w:rPr>
        <w:t>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w:t>
      </w:r>
      <w:r w:rsidR="00096925">
        <w:rPr>
          <w:rFonts w:eastAsia="Calibri" w:cs="Tahoma"/>
          <w:szCs w:val="18"/>
          <w:lang w:val="de-DE"/>
        </w:rPr>
        <w:t> </w:t>
      </w:r>
      <w:r w:rsidRPr="00BB5519">
        <w:rPr>
          <w:rFonts w:eastAsia="Calibri" w:cs="Tahoma"/>
          <w:szCs w:val="18"/>
          <w:lang w:val="de-DE"/>
        </w:rPr>
        <w:t>Core-Lizenzen für die Anzahl der Core-Lizenzen erwerben zu müssen, die der Summe von (a) und (b) entspricht:</w:t>
      </w:r>
    </w:p>
    <w:p w:rsidR="00A81E83" w:rsidRPr="00BB5519" w:rsidRDefault="00A81E83" w:rsidP="00096925">
      <w:pPr>
        <w:numPr>
          <w:ilvl w:val="0"/>
          <w:numId w:val="142"/>
        </w:numPr>
        <w:tabs>
          <w:tab w:val="left" w:pos="1800"/>
        </w:tabs>
        <w:spacing w:after="40"/>
        <w:rPr>
          <w:lang w:val="de-DE"/>
        </w:rPr>
      </w:pPr>
      <w:r w:rsidRPr="00BB5519">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BB5519" w:rsidRDefault="00A81E83" w:rsidP="00096925">
      <w:pPr>
        <w:numPr>
          <w:ilvl w:val="3"/>
          <w:numId w:val="69"/>
        </w:numPr>
        <w:spacing w:after="40"/>
        <w:ind w:left="2160"/>
      </w:pPr>
      <w:r w:rsidRPr="00BB5519">
        <w:rPr>
          <w:rFonts w:eastAsia="Calibri" w:cs="Tahoma"/>
          <w:szCs w:val="18"/>
        </w:rPr>
        <w:t>vier ODER</w:t>
      </w:r>
    </w:p>
    <w:p w:rsidR="00A81E83" w:rsidRPr="00096925" w:rsidRDefault="00A81E83" w:rsidP="00096925">
      <w:pPr>
        <w:numPr>
          <w:ilvl w:val="3"/>
          <w:numId w:val="69"/>
        </w:numPr>
        <w:spacing w:after="40"/>
        <w:ind w:left="2160"/>
        <w:rPr>
          <w:spacing w:val="-2"/>
          <w:lang w:val="de-DE"/>
        </w:rPr>
      </w:pPr>
      <w:r w:rsidRPr="00096925">
        <w:rPr>
          <w:rFonts w:eastAsia="Calibri" w:cs="Tahoma"/>
          <w:spacing w:val="-2"/>
          <w:szCs w:val="18"/>
          <w:lang w:val="de-DE"/>
        </w:rPr>
        <w:t>der tatsächlichen Anzahl von Cores pro physischem Prozessor multipliziert mit dem entsprechenden Core-Faktor.</w:t>
      </w:r>
      <w:r w:rsidR="009E4976" w:rsidRPr="00096925">
        <w:rPr>
          <w:rFonts w:eastAsia="Calibri" w:cs="Tahoma"/>
          <w:spacing w:val="-2"/>
          <w:szCs w:val="18"/>
          <w:lang w:val="de-DE"/>
        </w:rPr>
        <w:t xml:space="preserve"> </w:t>
      </w:r>
      <w:r w:rsidRPr="00096925">
        <w:rPr>
          <w:rFonts w:eastAsia="Calibri" w:cs="Tahoma"/>
          <w:spacing w:val="-2"/>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558DC" w:rsidRPr="00BB5519" w:rsidRDefault="00A81E83" w:rsidP="00096925">
      <w:pPr>
        <w:numPr>
          <w:ilvl w:val="0"/>
          <w:numId w:val="142"/>
        </w:numPr>
        <w:tabs>
          <w:tab w:val="left" w:pos="1800"/>
        </w:tabs>
        <w:spacing w:after="40"/>
        <w:rPr>
          <w:lang w:val="de-DE"/>
        </w:rPr>
      </w:pPr>
      <w:r w:rsidRPr="00BB5519">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E5029B" w:rsidRPr="00096925" w:rsidRDefault="00E5029B">
      <w:pPr>
        <w:rPr>
          <w:sz w:val="16"/>
          <w:szCs w:val="16"/>
          <w:lang w:val="de-DE"/>
        </w:rPr>
      </w:pPr>
    </w:p>
    <w:p w:rsidR="008558DC" w:rsidRPr="00BB5519" w:rsidRDefault="00A81E83" w:rsidP="008558DC">
      <w:pPr>
        <w:spacing w:after="60"/>
        <w:ind w:left="720"/>
        <w:rPr>
          <w:lang w:val="de-DE"/>
        </w:rPr>
      </w:pPr>
      <w:r w:rsidRPr="00BB5519">
        <w:rPr>
          <w:rFonts w:eastAsia="Calibri" w:cs="Tahoma"/>
          <w:b/>
          <w:szCs w:val="18"/>
          <w:lang w:val="de-DE"/>
        </w:rPr>
        <w:t>Erster Verlängerungszeitraum (am oder nach dem 1. April 2015)</w:t>
      </w:r>
    </w:p>
    <w:p w:rsidR="00A81E83" w:rsidRPr="00BB5519" w:rsidRDefault="00A81E83" w:rsidP="008558DC">
      <w:pPr>
        <w:ind w:left="720"/>
        <w:contextualSpacing/>
        <w:rPr>
          <w:lang w:val="de-DE"/>
        </w:rPr>
      </w:pPr>
      <w:r w:rsidRPr="00BB5519">
        <w:rPr>
          <w:rFonts w:eastAsia="Calibri" w:cs="Tahoma"/>
          <w:color w:val="000000"/>
          <w:szCs w:val="18"/>
          <w:lang w:val="de-DE"/>
        </w:rPr>
        <w:t>Kunden, die Software Assurance am oder nach dem 1. April 2015</w:t>
      </w:r>
      <w:r w:rsidRPr="00BB5519">
        <w:rPr>
          <w:rFonts w:eastAsia="Calibri" w:cs="Tahoma"/>
          <w:szCs w:val="18"/>
          <w:lang w:val="de-DE"/>
        </w:rPr>
        <w:t xml:space="preserve"> erstmals verlängern, sind berechtigt, für jeden Server, der unter Produktbenutzungsrechten für SQL Server 2008 R2-Prozessorlizenzen ordnungsgemäß lizenziert ist, Software Assurance wie folgt zu erwerben:</w:t>
      </w:r>
    </w:p>
    <w:p w:rsidR="008558DC" w:rsidRPr="00096925" w:rsidRDefault="008558DC" w:rsidP="008558DC">
      <w:pPr>
        <w:ind w:left="720"/>
        <w:contextualSpacing/>
        <w:rPr>
          <w:sz w:val="16"/>
          <w:szCs w:val="16"/>
          <w:lang w:val="de-DE"/>
        </w:rPr>
      </w:pPr>
    </w:p>
    <w:p w:rsidR="00A81E83" w:rsidRPr="00BB5519" w:rsidRDefault="00A81E83" w:rsidP="00096925">
      <w:pPr>
        <w:numPr>
          <w:ilvl w:val="3"/>
          <w:numId w:val="107"/>
        </w:numPr>
        <w:spacing w:after="40"/>
        <w:ind w:left="1440"/>
      </w:pPr>
      <w:r w:rsidRPr="00BB551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BB5519">
        <w:rPr>
          <w:rFonts w:eastAsia="Calibri" w:cs="Tahoma"/>
          <w:szCs w:val="18"/>
        </w:rPr>
        <w:t xml:space="preserve">April 2015)“ zu verlängern, und </w:t>
      </w:r>
    </w:p>
    <w:p w:rsidR="00A81E83" w:rsidRPr="00BB5519" w:rsidRDefault="00A81E83" w:rsidP="00096925">
      <w:pPr>
        <w:numPr>
          <w:ilvl w:val="3"/>
          <w:numId w:val="107"/>
        </w:numPr>
        <w:spacing w:after="40"/>
        <w:ind w:left="1440"/>
        <w:rPr>
          <w:lang w:val="de-DE"/>
        </w:rPr>
      </w:pPr>
      <w:r w:rsidRPr="00BB5519">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Web-Prozessorlizenz zu erwerben. Für die kontinuierliche Verwendung von SQL Server 2012 auf Prozessoren, die mehr als vier Core-Lizenzen pro Prozessor erfordern, muss der Kunde die zusätzlichen Core-Lizenzen erwerben.</w:t>
      </w:r>
    </w:p>
    <w:p w:rsidR="00A81E83" w:rsidRPr="00BB5519" w:rsidRDefault="00A81E83" w:rsidP="00096925">
      <w:pPr>
        <w:numPr>
          <w:ilvl w:val="0"/>
          <w:numId w:val="64"/>
        </w:numPr>
        <w:spacing w:after="40"/>
        <w:ind w:left="1440"/>
        <w:rPr>
          <w:lang w:val="de-DE"/>
        </w:rPr>
      </w:pPr>
      <w:r w:rsidRPr="00BB5519">
        <w:rPr>
          <w:rFonts w:eastAsia="Calibri" w:cs="Tahoma"/>
          <w:szCs w:val="18"/>
          <w:lang w:val="de-DE"/>
        </w:rPr>
        <w:t>Die Prozessorlizenzen des Kunden sind bei Erwerb von Software Assurance für Core-Lizenzen unter diesem Angebot nicht mehr gültig. Die Option zum Erwerb von Core-Lizenzen für Software Assurance für SQL Server ist nicht auf die Software Assurance-Verlängerung unter Abonnementprogrammen anwendbar.</w:t>
      </w:r>
    </w:p>
    <w:p w:rsidR="008558DC" w:rsidRPr="00096925" w:rsidRDefault="008558DC" w:rsidP="008558DC">
      <w:pPr>
        <w:ind w:left="720"/>
        <w:contextualSpacing/>
        <w:rPr>
          <w:sz w:val="16"/>
          <w:szCs w:val="16"/>
          <w:lang w:val="de-DE"/>
        </w:rPr>
      </w:pPr>
    </w:p>
    <w:p w:rsidR="008558DC" w:rsidRPr="00BB5519" w:rsidRDefault="00A81E83" w:rsidP="008558DC">
      <w:pPr>
        <w:spacing w:after="60"/>
        <w:ind w:left="720"/>
        <w:rPr>
          <w:lang w:val="de-DE"/>
        </w:rPr>
      </w:pPr>
      <w:r w:rsidRPr="00BB5519">
        <w:rPr>
          <w:rFonts w:eastAsia="Calibri" w:cs="Tahoma"/>
          <w:b/>
          <w:szCs w:val="18"/>
          <w:lang w:val="de-DE"/>
        </w:rPr>
        <w:t>Für Kunden mit Software Assurance, die vor dem 1. April 2015 abläuft, die sich gegen eine Verlängerung entscheiden</w:t>
      </w:r>
    </w:p>
    <w:p w:rsidR="00A81E83" w:rsidRPr="00BB5519" w:rsidRDefault="00A81E83" w:rsidP="008558DC">
      <w:pPr>
        <w:ind w:left="720"/>
        <w:contextualSpacing/>
        <w:rPr>
          <w:lang w:val="de-DE"/>
        </w:rPr>
      </w:pPr>
      <w:r w:rsidRPr="00BB5519">
        <w:rPr>
          <w:rFonts w:eastAsia="Calibri" w:cs="Tahoma"/>
          <w:szCs w:val="18"/>
          <w:lang w:val="de-DE"/>
        </w:rPr>
        <w:t xml:space="preserve">Konzern-Abonnement- </w:t>
      </w:r>
      <w:r w:rsidRPr="00BB5519">
        <w:rPr>
          <w:rFonts w:cs="Tahoma"/>
          <w:bCs/>
          <w:color w:val="000000"/>
          <w:szCs w:val="18"/>
          <w:lang w:val="de-DE"/>
        </w:rPr>
        <w:t>und Open Value Subscription-</w:t>
      </w:r>
      <w:r w:rsidRPr="00BB5519">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A81E83" w:rsidRPr="00BB5519" w:rsidRDefault="00A81E83" w:rsidP="00096925">
      <w:pPr>
        <w:numPr>
          <w:ilvl w:val="0"/>
          <w:numId w:val="108"/>
        </w:numPr>
        <w:tabs>
          <w:tab w:val="left" w:pos="1800"/>
        </w:tabs>
        <w:spacing w:after="40"/>
        <w:ind w:left="1800"/>
        <w:rPr>
          <w:lang w:val="de-DE"/>
        </w:rPr>
      </w:pPr>
      <w:r w:rsidRPr="00BB5519">
        <w:rPr>
          <w:rFonts w:eastAsia="Calibri" w:cs="Tahoma"/>
          <w:b/>
          <w:szCs w:val="18"/>
          <w:lang w:val="de-DE"/>
        </w:rPr>
        <w:t>SQL Server 2008 R2 Web:</w:t>
      </w:r>
      <w:r w:rsidRPr="00BB5519">
        <w:rPr>
          <w:rFonts w:eastAsia="Calibri" w:cs="Tahoma"/>
          <w:szCs w:val="18"/>
          <w:lang w:val="de-DE"/>
        </w:rPr>
        <w:t xml:space="preserve"> Die kontinuierliche Verwendung dieser Version der Software unterliegt den Produktbenutzungsrechten für SQL Server 2008 R2 Web-Prozessorlizenzen. Kunden verfügen nicht mehr über Rechte unter Lizenzmobilität innerhalb von Serverfarmen oder Lizenzmobilität durch Software Assurance. </w:t>
      </w:r>
    </w:p>
    <w:p w:rsidR="00A81E83" w:rsidRPr="00BB5519" w:rsidRDefault="00A81E83" w:rsidP="00096925">
      <w:pPr>
        <w:numPr>
          <w:ilvl w:val="0"/>
          <w:numId w:val="108"/>
        </w:numPr>
        <w:tabs>
          <w:tab w:val="left" w:pos="1800"/>
        </w:tabs>
        <w:spacing w:after="40"/>
        <w:ind w:left="1800"/>
        <w:rPr>
          <w:lang w:val="de-DE"/>
        </w:rPr>
      </w:pPr>
      <w:r w:rsidRPr="00BB5519">
        <w:rPr>
          <w:rFonts w:eastAsia="Calibri" w:cs="Tahoma"/>
          <w:b/>
          <w:szCs w:val="18"/>
          <w:lang w:val="de-DE"/>
        </w:rPr>
        <w:t>SQL Server 2012 Standard Core:</w:t>
      </w:r>
      <w:r w:rsidRPr="00B46560">
        <w:rPr>
          <w:rFonts w:eastAsia="Calibri" w:cs="Tahoma"/>
          <w:bCs/>
          <w:szCs w:val="18"/>
          <w:lang w:val="de-DE"/>
        </w:rPr>
        <w:t xml:space="preserve"> </w:t>
      </w:r>
      <w:r w:rsidRPr="00BB5519">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BB5519" w:rsidRDefault="00A81E83" w:rsidP="00B06AAC">
      <w:pPr>
        <w:numPr>
          <w:ilvl w:val="1"/>
          <w:numId w:val="66"/>
        </w:numPr>
        <w:tabs>
          <w:tab w:val="left" w:pos="2160"/>
        </w:tabs>
        <w:spacing w:after="60"/>
        <w:ind w:left="2160"/>
        <w:rPr>
          <w:lang w:val="de-DE"/>
        </w:rPr>
      </w:pPr>
      <w:r w:rsidRPr="00BB5519">
        <w:rPr>
          <w:rFonts w:eastAsia="Calibri" w:cs="Tahoma"/>
          <w:szCs w:val="18"/>
          <w:lang w:val="de-DE"/>
        </w:rPr>
        <w:t xml:space="preserve">Kunden verfügen nicht mehr über Rechte unter Lizenzmobilität innerhalb von Serverfarmen oder Lizenzmobilität durch Software Assurance, und </w:t>
      </w:r>
    </w:p>
    <w:p w:rsidR="00A81E83" w:rsidRPr="00B46560" w:rsidRDefault="00A81E83" w:rsidP="00B46560">
      <w:pPr>
        <w:numPr>
          <w:ilvl w:val="1"/>
          <w:numId w:val="66"/>
        </w:numPr>
        <w:tabs>
          <w:tab w:val="left" w:pos="2160"/>
        </w:tabs>
        <w:spacing w:after="60"/>
        <w:ind w:left="2160"/>
        <w:rPr>
          <w:lang w:val="de-DE"/>
        </w:rPr>
      </w:pPr>
      <w:r w:rsidRPr="00BB5519">
        <w:rPr>
          <w:rFonts w:eastAsia="Calibri" w:cs="Tahoma"/>
          <w:szCs w:val="18"/>
          <w:lang w:val="de-DE"/>
        </w:rPr>
        <w:lastRenderedPageBreak/>
        <w:t>Neuzuweisungen von Lizenzen unterliegen den Beschränkungen unten unter (i) und (ii) in</w:t>
      </w:r>
      <w:r w:rsidR="00B46560">
        <w:rPr>
          <w:rFonts w:eastAsia="Calibri" w:cs="Tahoma"/>
          <w:szCs w:val="18"/>
          <w:lang w:val="de-DE"/>
        </w:rPr>
        <w:t> </w:t>
      </w:r>
      <w:r w:rsidRPr="00BB5519">
        <w:rPr>
          <w:rFonts w:eastAsia="Calibri" w:cs="Tahoma"/>
          <w:szCs w:val="18"/>
          <w:lang w:val="de-DE"/>
        </w:rPr>
        <w:t xml:space="preserve">Bezug auf ihre „Core-Lizenzäquivalenz“. </w:t>
      </w:r>
      <w:r w:rsidRPr="00B46560">
        <w:rPr>
          <w:rFonts w:eastAsia="Calibri" w:cs="Tahoma"/>
          <w:szCs w:val="18"/>
          <w:lang w:val="de-DE"/>
        </w:rPr>
        <w:t xml:space="preserve">Die Core-Lizenzäquivalenz wird wie folgt bestimmt. </w:t>
      </w:r>
    </w:p>
    <w:p w:rsidR="00A81E83" w:rsidRPr="00BB5519" w:rsidRDefault="00A81E83" w:rsidP="00B06AAC">
      <w:pPr>
        <w:numPr>
          <w:ilvl w:val="2"/>
          <w:numId w:val="66"/>
        </w:numPr>
        <w:tabs>
          <w:tab w:val="left" w:pos="2520"/>
        </w:tabs>
        <w:spacing w:after="60"/>
        <w:ind w:left="2520"/>
        <w:rPr>
          <w:lang w:val="de-DE"/>
        </w:rPr>
      </w:pPr>
      <w:r w:rsidRPr="00BB5519">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w:t>
      </w:r>
      <w:r w:rsidR="00B46560">
        <w:rPr>
          <w:rFonts w:eastAsia="Calibri" w:cs="Tahoma"/>
          <w:szCs w:val="18"/>
          <w:lang w:val="de-DE"/>
        </w:rPr>
        <w:br/>
      </w:r>
      <w:r w:rsidRPr="00BB5519">
        <w:rPr>
          <w:rFonts w:eastAsia="Calibri" w:cs="Tahoma"/>
          <w:szCs w:val="18"/>
          <w:lang w:val="de-DE"/>
        </w:rPr>
        <w:t xml:space="preserve">Core-Lizenzäquivalenz dem größeren Wert folgender Zahlen: </w:t>
      </w:r>
    </w:p>
    <w:p w:rsidR="00A81E83" w:rsidRPr="00BB5519" w:rsidRDefault="00A81E83" w:rsidP="00B06AAC">
      <w:pPr>
        <w:numPr>
          <w:ilvl w:val="4"/>
          <w:numId w:val="64"/>
        </w:numPr>
        <w:tabs>
          <w:tab w:val="left" w:pos="2880"/>
        </w:tabs>
        <w:spacing w:after="60"/>
        <w:ind w:left="2880"/>
      </w:pPr>
      <w:r w:rsidRPr="00BB5519">
        <w:rPr>
          <w:rFonts w:eastAsia="Calibri" w:cs="Tahoma"/>
          <w:szCs w:val="18"/>
        </w:rPr>
        <w:t xml:space="preserve">vier Cores pro Prozessorlizenz ODER </w:t>
      </w:r>
    </w:p>
    <w:p w:rsidR="00A81E83" w:rsidRPr="00BB5519" w:rsidRDefault="00A81E83" w:rsidP="00B06AAC">
      <w:pPr>
        <w:numPr>
          <w:ilvl w:val="4"/>
          <w:numId w:val="64"/>
        </w:numPr>
        <w:tabs>
          <w:tab w:val="left" w:pos="2880"/>
        </w:tabs>
        <w:spacing w:after="60"/>
        <w:ind w:left="2880"/>
        <w:rPr>
          <w:lang w:val="de-DE"/>
        </w:rPr>
      </w:pPr>
      <w:r w:rsidRPr="00BB5519">
        <w:rPr>
          <w:rFonts w:eastAsia="Calibri" w:cs="Tahoma"/>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8558DC" w:rsidRPr="00BB5519" w:rsidRDefault="00A81E83" w:rsidP="00B06AAC">
      <w:pPr>
        <w:numPr>
          <w:ilvl w:val="2"/>
          <w:numId w:val="66"/>
        </w:numPr>
        <w:tabs>
          <w:tab w:val="left" w:pos="2520"/>
        </w:tabs>
        <w:spacing w:after="60"/>
        <w:ind w:left="2520"/>
        <w:rPr>
          <w:lang w:val="de-DE"/>
        </w:rPr>
      </w:pPr>
      <w:r w:rsidRPr="00BB5519">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BB5519" w:rsidRDefault="00A81E83" w:rsidP="00B46560">
      <w:pPr>
        <w:numPr>
          <w:ilvl w:val="1"/>
          <w:numId w:val="66"/>
        </w:numPr>
        <w:tabs>
          <w:tab w:val="left" w:pos="2160"/>
        </w:tabs>
        <w:spacing w:after="60"/>
        <w:ind w:left="2160"/>
        <w:rPr>
          <w:lang w:val="de-DE"/>
        </w:rPr>
      </w:pPr>
      <w:r w:rsidRPr="00BB5519">
        <w:rPr>
          <w:rFonts w:eastAsia="Calibri" w:cs="Tahoma"/>
          <w:szCs w:val="18"/>
          <w:lang w:val="de-DE"/>
        </w:rPr>
        <w:t>Kunden sind berechtigt, Lizenzen einem anderen Server neu zuzuweisen. Wenn der Kunde</w:t>
      </w:r>
      <w:r w:rsidR="00B46560">
        <w:rPr>
          <w:rFonts w:eastAsia="Calibri" w:cs="Tahoma"/>
          <w:szCs w:val="18"/>
          <w:lang w:val="de-DE"/>
        </w:rPr>
        <w:t> </w:t>
      </w:r>
      <w:r w:rsidRPr="00BB5519">
        <w:rPr>
          <w:rFonts w:eastAsia="Calibri" w:cs="Tahoma"/>
          <w:szCs w:val="18"/>
          <w:lang w:val="de-DE"/>
        </w:rPr>
        <w:t>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w:t>
      </w:r>
      <w:r w:rsidR="00B46560">
        <w:rPr>
          <w:rFonts w:eastAsia="Calibri" w:cs="Tahoma"/>
          <w:szCs w:val="18"/>
          <w:lang w:val="de-DE"/>
        </w:rPr>
        <w:t> </w:t>
      </w:r>
      <w:r w:rsidRPr="00BB5519">
        <w:rPr>
          <w:rFonts w:eastAsia="Calibri" w:cs="Tahoma"/>
          <w:szCs w:val="18"/>
          <w:lang w:val="de-DE"/>
        </w:rPr>
        <w:t>Server</w:t>
      </w:r>
      <w:r w:rsidR="00B46560">
        <w:rPr>
          <w:rFonts w:eastAsia="Calibri" w:cs="Tahoma"/>
          <w:szCs w:val="18"/>
          <w:lang w:val="de-DE"/>
        </w:rPr>
        <w:t> </w:t>
      </w:r>
      <w:r w:rsidRPr="00BB5519">
        <w:rPr>
          <w:rFonts w:eastAsia="Calibri" w:cs="Tahoma"/>
          <w:szCs w:val="18"/>
          <w:lang w:val="de-DE"/>
        </w:rPr>
        <w:t>2012 zu kombinieren.</w:t>
      </w:r>
    </w:p>
    <w:p w:rsidR="00A81E83" w:rsidRPr="00BB5519" w:rsidRDefault="00A81E83" w:rsidP="00B06AAC">
      <w:pPr>
        <w:numPr>
          <w:ilvl w:val="1"/>
          <w:numId w:val="66"/>
        </w:numPr>
        <w:tabs>
          <w:tab w:val="left" w:pos="2160"/>
        </w:tabs>
        <w:spacing w:after="60"/>
        <w:ind w:left="2160"/>
        <w:rPr>
          <w:lang w:val="de-DE"/>
        </w:rPr>
      </w:pPr>
      <w:r w:rsidRPr="00BB5519">
        <w:rPr>
          <w:rFonts w:eastAsia="Calibri" w:cs="Tahoma"/>
          <w:szCs w:val="18"/>
          <w:lang w:val="de-DE"/>
        </w:rPr>
        <w:t>Die angenommene Core-Lizenzäquivalenz der Kunden impliziert nicht, dass sie berechtigt sind, eine einzelne Prozessorlizenz Cores auf zwei oder mehr Prozessoren zuzuweisen.</w:t>
      </w:r>
    </w:p>
    <w:p w:rsidR="00B06AAC" w:rsidRPr="00BB5519" w:rsidRDefault="00B06AAC" w:rsidP="00B06AAC">
      <w:pPr>
        <w:tabs>
          <w:tab w:val="left" w:pos="2160"/>
        </w:tabs>
        <w:spacing w:after="60"/>
        <w:rPr>
          <w:lang w:val="de-DE"/>
        </w:rPr>
      </w:pPr>
    </w:p>
    <w:p w:rsidR="00B06AAC" w:rsidRPr="00BB5519" w:rsidRDefault="00A81E83" w:rsidP="00B06AAC">
      <w:pPr>
        <w:tabs>
          <w:tab w:val="left" w:pos="720"/>
        </w:tabs>
        <w:spacing w:after="60"/>
        <w:ind w:left="720"/>
        <w:rPr>
          <w:lang w:val="de-DE"/>
        </w:rPr>
      </w:pPr>
      <w:r w:rsidRPr="00BB5519">
        <w:rPr>
          <w:rFonts w:eastAsia="Calibri" w:cs="Tahoma"/>
          <w:b/>
          <w:szCs w:val="18"/>
          <w:lang w:val="de-DE"/>
        </w:rPr>
        <w:t>Für Kunden mit Software Assurance, die am oder nach dem 1. April 2015 abläuft, die sich gegen eine Verlängerung entscheiden</w:t>
      </w:r>
    </w:p>
    <w:p w:rsidR="00A81E83" w:rsidRPr="00BB5519" w:rsidRDefault="00A81E83" w:rsidP="00B46560">
      <w:pPr>
        <w:tabs>
          <w:tab w:val="left" w:pos="720"/>
        </w:tabs>
        <w:ind w:left="720"/>
        <w:contextualSpacing/>
        <w:rPr>
          <w:lang w:val="de-DE"/>
        </w:rPr>
      </w:pPr>
      <w:r w:rsidRPr="00BB5519">
        <w:rPr>
          <w:rFonts w:eastAsia="Calibri" w:cs="Tahoma"/>
          <w:color w:val="000000"/>
          <w:szCs w:val="18"/>
          <w:lang w:val="de-DE"/>
        </w:rPr>
        <w:t xml:space="preserve">Konzern-Abonnement- </w:t>
      </w:r>
      <w:r w:rsidRPr="00BB5519">
        <w:rPr>
          <w:rFonts w:cs="Tahoma"/>
          <w:bCs/>
          <w:color w:val="000000"/>
          <w:szCs w:val="18"/>
          <w:lang w:val="de-DE"/>
        </w:rPr>
        <w:t>und Open Value Subscription-</w:t>
      </w:r>
      <w:r w:rsidRPr="00BB5519">
        <w:rPr>
          <w:rFonts w:eastAsia="Calibri" w:cs="Tahoma"/>
          <w:color w:val="000000"/>
          <w:szCs w:val="18"/>
          <w:lang w:val="de-DE"/>
        </w:rPr>
        <w:t>Kunden mit Software Assurance, die am oder nach dem</w:t>
      </w:r>
      <w:r w:rsidR="00B46560">
        <w:rPr>
          <w:rFonts w:eastAsia="Calibri" w:cs="Tahoma"/>
          <w:color w:val="000000"/>
          <w:szCs w:val="18"/>
          <w:lang w:val="de-DE"/>
        </w:rPr>
        <w:t> </w:t>
      </w:r>
      <w:r w:rsidRPr="00BB5519">
        <w:rPr>
          <w:rFonts w:eastAsia="Calibri" w:cs="Tahoma"/>
          <w:color w:val="000000"/>
          <w:szCs w:val="18"/>
          <w:lang w:val="de-DE"/>
        </w:rPr>
        <w:t xml:space="preserve">1. April 2015 abläuft, die sich für ein Buy-Out von Prozessorlizenzen entscheiden, sowie sonstige Kunden, die zeitlich unbeschränkte Lizenzen unter ihrem Vertrag erwerben, haben folgende Optionen: </w:t>
      </w:r>
    </w:p>
    <w:p w:rsidR="00B06AAC" w:rsidRPr="00BB5519" w:rsidRDefault="00B06AAC" w:rsidP="00B06AAC">
      <w:pPr>
        <w:tabs>
          <w:tab w:val="left" w:pos="720"/>
        </w:tabs>
        <w:ind w:left="720"/>
        <w:contextualSpacing/>
        <w:rPr>
          <w:lang w:val="de-DE"/>
        </w:rPr>
      </w:pPr>
    </w:p>
    <w:p w:rsidR="00A81E83" w:rsidRPr="00BB5519" w:rsidRDefault="00A81E83" w:rsidP="00B06AAC">
      <w:pPr>
        <w:numPr>
          <w:ilvl w:val="2"/>
          <w:numId w:val="64"/>
        </w:numPr>
        <w:spacing w:after="60"/>
        <w:ind w:left="1440"/>
        <w:rPr>
          <w:lang w:val="de-DE"/>
        </w:rPr>
      </w:pPr>
      <w:r w:rsidRPr="00BB5519">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BB5519" w:rsidRDefault="00A81E83" w:rsidP="00B46560">
      <w:pPr>
        <w:numPr>
          <w:ilvl w:val="2"/>
          <w:numId w:val="64"/>
        </w:numPr>
        <w:spacing w:after="60"/>
        <w:ind w:left="1440"/>
        <w:rPr>
          <w:lang w:val="de-DE"/>
        </w:rPr>
      </w:pPr>
      <w:r w:rsidRPr="00BB5519">
        <w:rPr>
          <w:rFonts w:eastAsia="Calibri" w:cs="Tahoma"/>
          <w:szCs w:val="18"/>
          <w:lang w:val="de-DE"/>
        </w:rPr>
        <w:t>für Lizenzen, die nach dem 1. April 2015 erworben wurden, verfügt die Prozessorlizenz von Kunden</w:t>
      </w:r>
      <w:r w:rsidR="00B46560">
        <w:rPr>
          <w:rFonts w:eastAsia="Calibri" w:cs="Tahoma"/>
          <w:szCs w:val="18"/>
          <w:lang w:val="de-DE"/>
        </w:rPr>
        <w:t> </w:t>
      </w:r>
      <w:r w:rsidRPr="00BB5519">
        <w:rPr>
          <w:rFonts w:eastAsia="Calibri" w:cs="Tahoma"/>
          <w:szCs w:val="18"/>
          <w:lang w:val="de-DE"/>
        </w:rPr>
        <w:t>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2512D3" w:rsidRPr="00BB5519" w:rsidRDefault="002512D3">
      <w:pPr>
        <w:rPr>
          <w:lang w:val="de-DE"/>
        </w:rPr>
      </w:pPr>
    </w:p>
    <w:p w:rsidR="00B06AAC" w:rsidRPr="00BB5519" w:rsidRDefault="00A81E83" w:rsidP="00B46560">
      <w:pPr>
        <w:tabs>
          <w:tab w:val="left" w:pos="720"/>
        </w:tabs>
        <w:spacing w:after="60"/>
        <w:ind w:left="720"/>
        <w:rPr>
          <w:lang w:val="de-DE"/>
        </w:rPr>
      </w:pPr>
      <w:r w:rsidRPr="00BB5519">
        <w:rPr>
          <w:b/>
          <w:lang w:val="de-DE"/>
        </w:rPr>
        <w:t>Für Kunden in der Volksrepublik</w:t>
      </w:r>
      <w:r w:rsidRPr="00BB5519">
        <w:rPr>
          <w:lang w:val="de-DE"/>
        </w:rPr>
        <w:t xml:space="preserve"> </w:t>
      </w:r>
      <w:r w:rsidRPr="00BB5519">
        <w:rPr>
          <w:b/>
          <w:lang w:val="de-DE"/>
        </w:rPr>
        <w:t>China, die dort Prozessorlizenzen und Software Assurance für</w:t>
      </w:r>
      <w:r w:rsidR="00B46560">
        <w:rPr>
          <w:b/>
          <w:lang w:val="de-DE"/>
        </w:rPr>
        <w:t> </w:t>
      </w:r>
      <w:r w:rsidRPr="00BB5519">
        <w:rPr>
          <w:b/>
          <w:lang w:val="de-DE"/>
        </w:rPr>
        <w:t>SQL Server 2008 R2 erwerben</w:t>
      </w:r>
    </w:p>
    <w:p w:rsidR="00A81E83" w:rsidRPr="00BB5519" w:rsidRDefault="00A81E83" w:rsidP="00B46560">
      <w:pPr>
        <w:tabs>
          <w:tab w:val="left" w:pos="720"/>
        </w:tabs>
        <w:ind w:left="720"/>
        <w:contextualSpacing/>
        <w:rPr>
          <w:lang w:val="de-DE"/>
        </w:rPr>
      </w:pPr>
      <w:r w:rsidRPr="00BB5519">
        <w:rPr>
          <w:lang w:val="de-DE"/>
        </w:rPr>
        <w:t>Die Verweise auf den 1. April 2012 und den 1. April 2015 in dieser Produktliste sind nicht anwendbar. Die</w:t>
      </w:r>
      <w:r w:rsidR="00B46560">
        <w:rPr>
          <w:lang w:val="de-DE"/>
        </w:rPr>
        <w:t> </w:t>
      </w:r>
      <w:r w:rsidRPr="00BB5519">
        <w:rPr>
          <w:lang w:val="de-DE"/>
        </w:rPr>
        <w:t>anwendbaren Daten für diese Kunden sind der 1. Juli 2012 bzw. der 1. Juli 2015.</w:t>
      </w:r>
    </w:p>
    <w:p w:rsidR="00A81E83" w:rsidRPr="00BB5519" w:rsidRDefault="00A81E83" w:rsidP="008558DC">
      <w:pPr>
        <w:ind w:left="900"/>
        <w:rPr>
          <w:lang w:val="de-DE"/>
        </w:rPr>
      </w:pPr>
    </w:p>
    <w:p w:rsidR="00A81E83" w:rsidRDefault="00A81E83" w:rsidP="008558DC">
      <w:pPr>
        <w:rPr>
          <w:lang w:val="de-DE"/>
        </w:rPr>
      </w:pPr>
    </w:p>
    <w:p w:rsidR="00704961" w:rsidRDefault="00704961" w:rsidP="008558DC">
      <w:pPr>
        <w:rPr>
          <w:lang w:val="de-DE"/>
        </w:rPr>
      </w:pPr>
    </w:p>
    <w:p w:rsidR="00704961" w:rsidRDefault="00704961" w:rsidP="008558DC">
      <w:pPr>
        <w:rPr>
          <w:lang w:val="de-DE"/>
        </w:rPr>
      </w:pPr>
    </w:p>
    <w:p w:rsidR="00704961" w:rsidRDefault="00704961" w:rsidP="008558DC">
      <w:pPr>
        <w:rPr>
          <w:lang w:val="de-DE"/>
        </w:rPr>
      </w:pPr>
    </w:p>
    <w:p w:rsidR="00704961" w:rsidRPr="00BB5519" w:rsidRDefault="00704961" w:rsidP="008558DC">
      <w:pPr>
        <w:rPr>
          <w:lang w:val="de-DE"/>
        </w:rPr>
      </w:pPr>
    </w:p>
    <w:p w:rsidR="00A81E83" w:rsidRPr="00BB5519" w:rsidRDefault="00F66FB0" w:rsidP="00BD4B91">
      <w:pPr>
        <w:pStyle w:val="Heading3"/>
        <w:rPr>
          <w:lang w:val="de-DE"/>
        </w:rPr>
      </w:pPr>
      <w:bookmarkStart w:id="1434" w:name="_85_84_SQL"/>
      <w:bookmarkStart w:id="1435" w:name="_78_76_SQL"/>
      <w:bookmarkStart w:id="1436" w:name="Srv_85SQL2008R2Workgroup5ClientAddon"/>
      <w:bookmarkStart w:id="1437" w:name="_Toc336338343"/>
      <w:bookmarkStart w:id="1438" w:name="_Toc354055032"/>
      <w:bookmarkEnd w:id="1434"/>
      <w:bookmarkEnd w:id="1435"/>
      <w:r w:rsidRPr="00BB5519">
        <w:rPr>
          <w:rFonts w:ascii="Tahoma" w:hAnsi="Tahoma"/>
          <w:color w:val="F66400"/>
          <w:sz w:val="22"/>
          <w:vertAlign w:val="superscript"/>
          <w:lang w:val="de-DE"/>
        </w:rPr>
        <w:lastRenderedPageBreak/>
        <w:t>77</w:t>
      </w:r>
      <w:r w:rsidRPr="00BB5519">
        <w:rPr>
          <w:rFonts w:ascii="Tahoma" w:hAnsi="Tahoma"/>
          <w:color w:val="F66400"/>
          <w:sz w:val="22"/>
          <w:lang w:val="de-DE"/>
        </w:rPr>
        <w:t xml:space="preserve"> SQL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2008 R2 Workgroup (Add-On für 5 Clients)</w:t>
      </w:r>
      <w:bookmarkEnd w:id="1436"/>
      <w:bookmarkEnd w:id="1437"/>
      <w:bookmarkEnd w:id="1438"/>
    </w:p>
    <w:p w:rsidR="00A81E83" w:rsidRPr="00BB5519" w:rsidRDefault="00A81E83" w:rsidP="00DA46D5">
      <w:pPr>
        <w:pStyle w:val="EndnoteText"/>
        <w:ind w:left="0"/>
        <w:rPr>
          <w:lang w:val="de-DE"/>
        </w:rPr>
      </w:pPr>
    </w:p>
    <w:p w:rsidR="00DA46D5" w:rsidRPr="00BB5519" w:rsidRDefault="00A81E83" w:rsidP="00DA46D5">
      <w:pPr>
        <w:spacing w:after="60"/>
        <w:ind w:left="720"/>
        <w:rPr>
          <w:lang w:val="de-DE"/>
        </w:rPr>
      </w:pPr>
      <w:r w:rsidRPr="00BB5519">
        <w:rPr>
          <w:b/>
          <w:lang w:val="de-DE"/>
        </w:rPr>
        <w:t>Lizenzgewährungen im Zusammenhang mit dem Ende der Lebensdauer von SQL Server Workgroup Edition</w:t>
      </w:r>
    </w:p>
    <w:p w:rsidR="00A81E83" w:rsidRPr="00BB5519" w:rsidRDefault="00A81E83" w:rsidP="00B46560">
      <w:pPr>
        <w:ind w:left="720"/>
        <w:rPr>
          <w:lang w:val="de-DE"/>
        </w:rPr>
      </w:pPr>
      <w:r w:rsidRPr="00BB5519">
        <w:rPr>
          <w:rFonts w:eastAsia="Calibri" w:cs="Tahoma"/>
          <w:szCs w:val="18"/>
          <w:lang w:val="de-DE"/>
        </w:rPr>
        <w:t>SQL Server 2008 R2 Workgroup ist die letzte Version von SQL Server Workgroup Edition.</w:t>
      </w:r>
      <w:r w:rsidR="009E4976" w:rsidRPr="00BB5519">
        <w:rPr>
          <w:rFonts w:eastAsia="Calibri" w:cs="Tahoma"/>
          <w:szCs w:val="18"/>
          <w:lang w:val="de-DE"/>
        </w:rPr>
        <w:t xml:space="preserve"> </w:t>
      </w:r>
      <w:r w:rsidRPr="00BB5519">
        <w:rPr>
          <w:rFonts w:eastAsia="Calibri" w:cs="Tahoma"/>
          <w:szCs w:val="18"/>
          <w:lang w:val="de-DE"/>
        </w:rPr>
        <w:t>Als Ausnahme sind</w:t>
      </w:r>
      <w:r w:rsidR="00B46560">
        <w:rPr>
          <w:rFonts w:eastAsia="Calibri" w:cs="Tahoma"/>
          <w:szCs w:val="18"/>
          <w:lang w:val="de-DE"/>
        </w:rPr>
        <w:t> </w:t>
      </w:r>
      <w:r w:rsidRPr="00BB5519">
        <w:rPr>
          <w:rFonts w:eastAsia="Calibri" w:cs="Tahoma"/>
          <w:szCs w:val="18"/>
          <w:lang w:val="de-DE"/>
        </w:rPr>
        <w:t>Volumenlizenzkunden, die am 1. April 2012 über aktive Software Assurance für SQL Server 2008 R2 Workgroup Server-Lizenzen verfügen, berechtigt, auf SQL Server 2012 Standard Server (oder eine spätere Version dieses Produktes, die während des Software Assurance-Zeitraums verfügbar gemacht wird) anstelle von SQL Server Workgroup Edition upzugraden und diese zu verwenden sowie Software Assurance für SQL Server Standard zu erwerben, wenn die aktuelle Software Assurance abläuft. Außerdem sind Volumenlizenzkunden, die am 1. April 2012 über aktive Software Assurance für CALs für SQL Server 2008 R2 Workgroup verfügen, berechtigt, auf CALs für SQL Server 2012 (oder eine spätere Version dieser CAL, die während des Software Assurance-Zeitraums verfügbar gemacht wird) anstelle ihrer CALs für SQL Server Workgroup upzugraden und diese zu verwenden sowie bei ihrer nächsten Verlängerung Software Assurance für CAL für SQL Server zu erwerben.</w:t>
      </w:r>
      <w:r w:rsidR="009E4976" w:rsidRPr="00BB5519">
        <w:rPr>
          <w:rFonts w:eastAsia="Calibri" w:cs="Tahoma"/>
          <w:szCs w:val="18"/>
          <w:lang w:val="de-DE"/>
        </w:rPr>
        <w:t xml:space="preserve"> </w:t>
      </w:r>
      <w:r w:rsidRPr="00BB5519">
        <w:rPr>
          <w:rFonts w:eastAsia="Calibri" w:cs="Tahoma"/>
          <w:szCs w:val="18"/>
          <w:lang w:val="de-DE"/>
        </w:rPr>
        <w:t>Die SQL Server Workgroup-Lizenzen des Kunden sind bei Erwerb von Software Assurance für SQL Server Standard unter diesem Angebot nicht mehr gültig.</w:t>
      </w:r>
    </w:p>
    <w:p w:rsidR="000D5F24" w:rsidRPr="00BB5519" w:rsidRDefault="000D5F24">
      <w:pPr>
        <w:rPr>
          <w:lang w:val="de-DE"/>
        </w:rPr>
      </w:pPr>
    </w:p>
    <w:p w:rsidR="00DA46D5" w:rsidRPr="00BB5519" w:rsidRDefault="00A81E83" w:rsidP="00DA46D5">
      <w:pPr>
        <w:spacing w:after="60"/>
        <w:ind w:left="720"/>
        <w:rPr>
          <w:lang w:val="de-DE"/>
        </w:rPr>
      </w:pPr>
      <w:r w:rsidRPr="00BB5519">
        <w:rPr>
          <w:b/>
          <w:lang w:val="de-DE"/>
        </w:rPr>
        <w:t>Für Kunden in der Volksrepublik</w:t>
      </w:r>
      <w:r w:rsidRPr="00BB5519">
        <w:rPr>
          <w:lang w:val="de-DE"/>
        </w:rPr>
        <w:t xml:space="preserve"> </w:t>
      </w:r>
      <w:r w:rsidRPr="00BB5519">
        <w:rPr>
          <w:b/>
          <w:lang w:val="de-DE"/>
        </w:rPr>
        <w:t>China, die dort Lizenzen und Software Assurance für SQL Server 2008 R2 erwerben</w:t>
      </w:r>
    </w:p>
    <w:p w:rsidR="00A81E83" w:rsidRDefault="00A81E83" w:rsidP="00DA46D5">
      <w:pPr>
        <w:ind w:left="720"/>
        <w:rPr>
          <w:lang w:val="de-DE"/>
        </w:rPr>
      </w:pPr>
      <w:r w:rsidRPr="00BB5519">
        <w:rPr>
          <w:lang w:val="de-DE"/>
        </w:rPr>
        <w:t>Die Verweise auf den 1. April 2012 in dieser Produktliste sind nicht anwendbar. Das anwendbare Datum für diese Kunden ist der 1. Juli 2012.</w:t>
      </w:r>
    </w:p>
    <w:p w:rsidR="00021BF7" w:rsidRDefault="00021BF7" w:rsidP="00DA46D5">
      <w:pPr>
        <w:ind w:left="720"/>
        <w:rPr>
          <w:lang w:val="de-DE"/>
        </w:rPr>
      </w:pPr>
    </w:p>
    <w:p w:rsidR="00021BF7" w:rsidRPr="00BB5519" w:rsidRDefault="00021BF7" w:rsidP="00DA46D5">
      <w:pPr>
        <w:ind w:left="720"/>
        <w:rPr>
          <w:lang w:val="de-DE"/>
        </w:rPr>
      </w:pPr>
    </w:p>
    <w:p w:rsidR="00A81E83" w:rsidRPr="00BB5519" w:rsidRDefault="00F66FB0" w:rsidP="00B46560">
      <w:pPr>
        <w:pStyle w:val="Heading3"/>
        <w:keepNext/>
        <w:keepLines/>
        <w:ind w:left="720" w:hanging="720"/>
        <w:rPr>
          <w:lang w:val="de-DE"/>
        </w:rPr>
      </w:pPr>
      <w:bookmarkStart w:id="1439" w:name="_79_77_SQL"/>
      <w:bookmarkStart w:id="1440" w:name="_Toc336338344"/>
      <w:bookmarkStart w:id="1441" w:name="_Toc354055033"/>
      <w:bookmarkStart w:id="1442" w:name="Srv_72SQLSvr08R2WorkgroupProc"/>
      <w:bookmarkEnd w:id="1439"/>
      <w:r w:rsidRPr="00BB5519">
        <w:rPr>
          <w:rFonts w:ascii="Tahoma" w:hAnsi="Tahoma" w:cs="Tahoma"/>
          <w:color w:val="F66400"/>
          <w:sz w:val="22"/>
          <w:vertAlign w:val="superscript"/>
          <w:lang w:val="de-DE"/>
        </w:rPr>
        <w:t>78</w:t>
      </w:r>
      <w:r w:rsidRPr="00BB5519">
        <w:rPr>
          <w:rFonts w:ascii="Tahoma" w:hAnsi="Tahoma" w:cs="Tahoma"/>
          <w:color w:val="F66400"/>
          <w:sz w:val="22"/>
          <w:lang w:val="de-DE"/>
        </w:rPr>
        <w:t xml:space="preserve"> SQL Server</w:t>
      </w:r>
      <w:r w:rsidRPr="00BB5519">
        <w:rPr>
          <w:rFonts w:ascii="Tahoma" w:hAnsi="Tahoma" w:cs="Tahoma"/>
          <w:color w:val="F66400"/>
          <w:sz w:val="22"/>
          <w:vertAlign w:val="superscript"/>
          <w:lang w:val="de-DE"/>
        </w:rPr>
        <w:t>®</w:t>
      </w:r>
      <w:r w:rsidRPr="00BB5519">
        <w:rPr>
          <w:rFonts w:ascii="Tahoma" w:hAnsi="Tahoma" w:cs="Tahoma"/>
          <w:color w:val="F66400"/>
          <w:sz w:val="22"/>
          <w:lang w:val="de-DE"/>
        </w:rPr>
        <w:t xml:space="preserve"> 2008 R2 Workgroup Processor</w:t>
      </w:r>
      <w:bookmarkEnd w:id="1440"/>
      <w:bookmarkEnd w:id="1441"/>
    </w:p>
    <w:bookmarkEnd w:id="1442"/>
    <w:p w:rsidR="00A81E83" w:rsidRPr="00BB5519" w:rsidRDefault="00A81E83" w:rsidP="00B46560">
      <w:pPr>
        <w:keepNext/>
        <w:keepLines/>
        <w:ind w:left="720"/>
        <w:rPr>
          <w:lang w:val="de-DE"/>
        </w:rPr>
      </w:pPr>
    </w:p>
    <w:p w:rsidR="000C03F3" w:rsidRPr="00BB5519" w:rsidRDefault="00A81E83" w:rsidP="00B46560">
      <w:pPr>
        <w:keepNext/>
        <w:keepLines/>
        <w:spacing w:after="60"/>
        <w:ind w:left="720"/>
        <w:rPr>
          <w:lang w:val="de-DE"/>
        </w:rPr>
      </w:pPr>
      <w:r w:rsidRPr="00BB5519">
        <w:rPr>
          <w:rFonts w:eastAsia="Calibri" w:cs="Tahoma"/>
          <w:b/>
          <w:color w:val="000000"/>
          <w:szCs w:val="18"/>
          <w:lang w:val="de-DE"/>
        </w:rPr>
        <w:t>Lizenzgewährungen im Zusammenhang mit der Änderung des Lizenzmodells</w:t>
      </w:r>
    </w:p>
    <w:p w:rsidR="00A81E83" w:rsidRPr="00BB5519" w:rsidRDefault="00A81E83" w:rsidP="00B46560">
      <w:pPr>
        <w:keepNext/>
        <w:keepLines/>
        <w:ind w:left="720"/>
        <w:rPr>
          <w:lang w:val="de-DE"/>
        </w:rPr>
      </w:pPr>
      <w:r w:rsidRPr="00BB5519">
        <w:rPr>
          <w:rFonts w:eastAsia="Calibri" w:cs="Tahoma"/>
          <w:color w:val="000000"/>
          <w:szCs w:val="18"/>
          <w:lang w:val="de-DE"/>
        </w:rPr>
        <w:t>SQL Server 2008 R2 ist die letzte Version von SQL Server, die unter dem Pro-Prozessor-Lizenzmodell lizenziert wird, und die letzte Version von SQL Server Workgroup Edition.</w:t>
      </w:r>
      <w:r w:rsidR="009E4976" w:rsidRPr="00BB5519">
        <w:rPr>
          <w:rFonts w:eastAsia="Calibri" w:cs="Tahoma"/>
          <w:color w:val="000000"/>
          <w:szCs w:val="18"/>
          <w:lang w:val="de-DE"/>
        </w:rPr>
        <w:t xml:space="preserve"> </w:t>
      </w:r>
      <w:r w:rsidRPr="00BB5519">
        <w:rPr>
          <w:rFonts w:eastAsia="Calibri" w:cs="Tahoma"/>
          <w:color w:val="000000"/>
          <w:szCs w:val="18"/>
          <w:lang w:val="de-DE"/>
        </w:rPr>
        <w:t>Als Ausnahme erhalten Volumenlizenzkunden, die am 1. April 2012 über aktive Software Assurance für SQL Server 2008 R2 Workgroup-Prozessorlizenzen („qualifizierende Lizenzen“) verfügen, die folgenden Optionen. SQL Server 2008 R2 Workgroup-Prozessor</w:t>
      </w:r>
      <w:r w:rsidRPr="00BB5519">
        <w:rPr>
          <w:rFonts w:cs="Tahoma"/>
          <w:bCs/>
          <w:color w:val="000000"/>
          <w:szCs w:val="18"/>
          <w:lang w:val="de-DE"/>
        </w:rPr>
        <w:t>lizenzen, die danach unter derselben Beitrittslaufzeit, jedoch vor dem 1. April 2015 im Rahmen eines Konzern-, Konzern-Abonnement-, Open Value Subscription-Prozesses oder</w:t>
      </w:r>
      <w:r w:rsidR="00B46560">
        <w:rPr>
          <w:rFonts w:cs="Tahoma"/>
          <w:bCs/>
          <w:color w:val="000000"/>
          <w:szCs w:val="18"/>
          <w:lang w:val="de-DE"/>
        </w:rPr>
        <w:t> </w:t>
      </w:r>
      <w:r w:rsidRPr="00BB5519">
        <w:rPr>
          <w:rFonts w:cs="Tahoma"/>
          <w:bCs/>
          <w:color w:val="000000"/>
          <w:szCs w:val="18"/>
          <w:lang w:val="de-DE"/>
        </w:rPr>
        <w:t>des geplanten jährlichen True Up-Prozesses des EES-Kunden erworben werden, sind ebenfalls qualifizierende Lizenzen im Sinne dieser Optionen.</w:t>
      </w:r>
      <w:r w:rsidR="009E4976" w:rsidRPr="00BB5519">
        <w:rPr>
          <w:rFonts w:cs="Tahoma"/>
          <w:bCs/>
          <w:color w:val="000000"/>
          <w:szCs w:val="18"/>
          <w:lang w:val="de-DE"/>
        </w:rPr>
        <w:t xml:space="preserve"> </w:t>
      </w:r>
      <w:r w:rsidRPr="00BB5519">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0C03F3" w:rsidRPr="00BB5519" w:rsidRDefault="000C03F3" w:rsidP="000C03F3">
      <w:pPr>
        <w:ind w:left="720"/>
        <w:rPr>
          <w:lang w:val="de-DE"/>
        </w:rPr>
      </w:pPr>
    </w:p>
    <w:p w:rsidR="000C03F3" w:rsidRPr="00BB5519" w:rsidRDefault="000C03F3" w:rsidP="000C03F3">
      <w:pPr>
        <w:spacing w:after="60"/>
        <w:ind w:left="720"/>
        <w:rPr>
          <w:lang w:val="de-DE"/>
        </w:rPr>
      </w:pPr>
      <w:r w:rsidRPr="00BB5519">
        <w:rPr>
          <w:rFonts w:eastAsia="Calibri" w:cs="Tahoma"/>
          <w:b/>
          <w:color w:val="000000"/>
          <w:szCs w:val="18"/>
          <w:lang w:val="de-DE"/>
        </w:rPr>
        <w:t>Aktuelle Laufzeit</w:t>
      </w:r>
    </w:p>
    <w:p w:rsidR="00A81E83" w:rsidRPr="00BB5519" w:rsidRDefault="00A81E83" w:rsidP="000C03F3">
      <w:pPr>
        <w:tabs>
          <w:tab w:val="left" w:pos="720"/>
        </w:tabs>
        <w:ind w:left="720"/>
        <w:rPr>
          <w:lang w:val="de-DE"/>
        </w:rPr>
      </w:pPr>
      <w:r w:rsidRPr="00BB5519">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Workgroup upzugraden und diese zu verwenden. Zusätzlich werden Kunden Rechte unter Lizenzmobilität durch Software Assurance und Lizenzmobilität innerhalb von Serverfarmen gewährt. Die Lizenzbestimmungen für Lizenzmobilität finden Kunden in den Produktbenutzungsrechten für SQL Server 2012 Standard Core.</w:t>
      </w:r>
    </w:p>
    <w:p w:rsidR="000C03F3" w:rsidRPr="00BB5519" w:rsidRDefault="000C03F3" w:rsidP="000C03F3">
      <w:pPr>
        <w:tabs>
          <w:tab w:val="left" w:pos="720"/>
        </w:tabs>
        <w:ind w:left="720"/>
        <w:rPr>
          <w:lang w:val="de-DE"/>
        </w:rPr>
      </w:pPr>
    </w:p>
    <w:p w:rsidR="000C03F3" w:rsidRPr="00BB5519" w:rsidRDefault="00A81E83" w:rsidP="000C03F3">
      <w:pPr>
        <w:spacing w:after="60"/>
        <w:ind w:left="720"/>
        <w:rPr>
          <w:lang w:val="de-DE"/>
        </w:rPr>
      </w:pPr>
      <w:r w:rsidRPr="00BB5519">
        <w:rPr>
          <w:rFonts w:eastAsia="Calibri" w:cs="Tahoma"/>
          <w:b/>
          <w:color w:val="000000"/>
          <w:szCs w:val="18"/>
          <w:lang w:val="de-DE"/>
        </w:rPr>
        <w:t>Erster Verlängerungszeitraum (vor dem 1. April 2015)</w:t>
      </w:r>
    </w:p>
    <w:p w:rsidR="00A81E83" w:rsidRPr="00BB5519" w:rsidRDefault="00A81E83" w:rsidP="00B46560">
      <w:pPr>
        <w:tabs>
          <w:tab w:val="left" w:pos="720"/>
        </w:tabs>
        <w:ind w:left="720"/>
        <w:rPr>
          <w:lang w:val="de-DE"/>
        </w:rPr>
      </w:pPr>
      <w:r w:rsidRPr="00BB5519">
        <w:rPr>
          <w:rFonts w:eastAsia="Calibri" w:cs="Tahoma"/>
          <w:szCs w:val="18"/>
          <w:lang w:val="de-DE"/>
        </w:rPr>
        <w:t>Bei der ersten Software Assurance-Verlängerung am oder nach dem 1. April 2012 (jedoch vor dem</w:t>
      </w:r>
      <w:r w:rsidR="00B46560">
        <w:rPr>
          <w:rFonts w:eastAsia="Calibri" w:cs="Tahoma"/>
          <w:szCs w:val="18"/>
          <w:lang w:val="de-DE"/>
        </w:rPr>
        <w:t> </w:t>
      </w:r>
      <w:r w:rsidRPr="00BB5519">
        <w:rPr>
          <w:rFonts w:eastAsia="Calibri" w:cs="Tahoma"/>
          <w:szCs w:val="18"/>
          <w:lang w:val="de-DE"/>
        </w:rPr>
        <w:t>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A81E83" w:rsidRPr="00BB5519" w:rsidRDefault="00A81E83" w:rsidP="00B46560">
      <w:pPr>
        <w:numPr>
          <w:ilvl w:val="0"/>
          <w:numId w:val="143"/>
        </w:numPr>
        <w:tabs>
          <w:tab w:val="left" w:pos="1440"/>
        </w:tabs>
        <w:ind w:left="1440"/>
        <w:rPr>
          <w:lang w:val="de-DE"/>
        </w:rPr>
      </w:pPr>
      <w:r w:rsidRPr="00BB5519">
        <w:rPr>
          <w:rFonts w:eastAsia="Calibri" w:cs="Tahoma"/>
          <w:szCs w:val="18"/>
          <w:lang w:val="de-DE"/>
        </w:rPr>
        <w:t>eine Anzahl, die der Anzahl von dem Server zugewiesenen qualifizierenden Lizenzen oder der Gesamtzahl von physischen Prozessoren auf dem Server entspricht, multipliziert mit dem größeren</w:t>
      </w:r>
      <w:r w:rsidR="00B46560">
        <w:rPr>
          <w:rFonts w:eastAsia="Calibri" w:cs="Tahoma"/>
          <w:szCs w:val="18"/>
          <w:lang w:val="de-DE"/>
        </w:rPr>
        <w:t> </w:t>
      </w:r>
      <w:r w:rsidRPr="00BB5519">
        <w:rPr>
          <w:rFonts w:eastAsia="Calibri" w:cs="Tahoma"/>
          <w:szCs w:val="18"/>
          <w:lang w:val="de-DE"/>
        </w:rPr>
        <w:t xml:space="preserve">Wert folgender Zahlen, wobei die kleinere Zahl maßgeblich ist: </w:t>
      </w:r>
    </w:p>
    <w:p w:rsidR="00A81E83" w:rsidRPr="00BB5519" w:rsidRDefault="00A81E83" w:rsidP="000C03F3">
      <w:pPr>
        <w:numPr>
          <w:ilvl w:val="0"/>
          <w:numId w:val="110"/>
        </w:numPr>
        <w:tabs>
          <w:tab w:val="left" w:pos="1800"/>
        </w:tabs>
        <w:ind w:left="1800"/>
      </w:pPr>
      <w:r w:rsidRPr="00BB5519">
        <w:rPr>
          <w:rFonts w:eastAsia="Calibri" w:cs="Tahoma"/>
          <w:szCs w:val="18"/>
        </w:rPr>
        <w:lastRenderedPageBreak/>
        <w:t>vier ODER</w:t>
      </w:r>
    </w:p>
    <w:p w:rsidR="00A81E83" w:rsidRPr="00BB5519" w:rsidRDefault="00A81E83" w:rsidP="000C03F3">
      <w:pPr>
        <w:numPr>
          <w:ilvl w:val="0"/>
          <w:numId w:val="110"/>
        </w:numPr>
        <w:tabs>
          <w:tab w:val="left" w:pos="1800"/>
        </w:tabs>
        <w:ind w:left="1800"/>
        <w:rPr>
          <w:lang w:val="de-DE"/>
        </w:rPr>
      </w:pPr>
      <w:r w:rsidRPr="00BB5519">
        <w:rPr>
          <w:rFonts w:eastAsia="Calibri" w:cs="Tahoma"/>
          <w:szCs w:val="18"/>
          <w:lang w:val="de-DE"/>
        </w:rPr>
        <w:t>der tatsächlichen Anzahl von Cores pro physischem Prozessor multipliziert mit dem entsprechenden Core-Faktor.</w:t>
      </w:r>
      <w:r w:rsidR="009E4976" w:rsidRPr="00BB5519">
        <w:rPr>
          <w:rFonts w:eastAsia="Calibri" w:cs="Tahoma"/>
          <w:szCs w:val="18"/>
          <w:lang w:val="de-DE"/>
        </w:rPr>
        <w:t xml:space="preserve"> </w:t>
      </w:r>
      <w:r w:rsidRPr="00BB5519">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BB5519" w:rsidRDefault="00A81E83" w:rsidP="000C03F3">
      <w:pPr>
        <w:numPr>
          <w:ilvl w:val="0"/>
          <w:numId w:val="143"/>
        </w:numPr>
        <w:tabs>
          <w:tab w:val="left" w:pos="1440"/>
        </w:tabs>
        <w:ind w:left="1440"/>
        <w:rPr>
          <w:lang w:val="de-DE"/>
        </w:rPr>
      </w:pPr>
      <w:r w:rsidRPr="00BB5519">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0C03F3" w:rsidRPr="00BB5519" w:rsidRDefault="000C03F3" w:rsidP="000C03F3">
      <w:pPr>
        <w:tabs>
          <w:tab w:val="left" w:pos="1440"/>
        </w:tabs>
        <w:rPr>
          <w:lang w:val="de-DE"/>
        </w:rPr>
      </w:pPr>
    </w:p>
    <w:p w:rsidR="000C03F3" w:rsidRPr="00BB5519" w:rsidRDefault="00A81E83" w:rsidP="000C03F3">
      <w:pPr>
        <w:spacing w:after="60"/>
        <w:ind w:left="720"/>
        <w:rPr>
          <w:lang w:val="de-DE"/>
        </w:rPr>
      </w:pPr>
      <w:r w:rsidRPr="00BB5519">
        <w:rPr>
          <w:rFonts w:eastAsia="Calibri" w:cs="Tahoma"/>
          <w:b/>
          <w:szCs w:val="18"/>
          <w:lang w:val="de-DE"/>
        </w:rPr>
        <w:t>Erster Verlängerungszeitraum (am oder nach dem 1. April 2015)</w:t>
      </w:r>
    </w:p>
    <w:p w:rsidR="00A81E83" w:rsidRPr="00BB5519" w:rsidRDefault="00A81E83" w:rsidP="00B46560">
      <w:pPr>
        <w:ind w:left="720"/>
        <w:rPr>
          <w:lang w:val="de-DE"/>
        </w:rPr>
      </w:pPr>
      <w:r w:rsidRPr="00BB5519">
        <w:rPr>
          <w:rFonts w:eastAsia="Calibri" w:cs="Tahoma"/>
          <w:color w:val="000000"/>
          <w:szCs w:val="18"/>
          <w:lang w:val="de-DE"/>
        </w:rPr>
        <w:t>Kunden, die Software Assurance am oder nach dem 1. April 2015</w:t>
      </w:r>
      <w:r w:rsidRPr="00BB5519">
        <w:rPr>
          <w:rFonts w:eastAsia="Calibri" w:cs="Tahoma"/>
          <w:szCs w:val="18"/>
          <w:lang w:val="de-DE"/>
        </w:rPr>
        <w:t xml:space="preserve"> erstmals verlängern, sind berechtigt, für</w:t>
      </w:r>
      <w:r w:rsidR="00B46560">
        <w:rPr>
          <w:rFonts w:eastAsia="Calibri" w:cs="Tahoma"/>
          <w:szCs w:val="18"/>
          <w:lang w:val="de-DE"/>
        </w:rPr>
        <w:t> </w:t>
      </w:r>
      <w:r w:rsidRPr="00BB5519">
        <w:rPr>
          <w:rFonts w:eastAsia="Calibri" w:cs="Tahoma"/>
          <w:szCs w:val="18"/>
          <w:lang w:val="de-DE"/>
        </w:rPr>
        <w:t>jeden Server, der unter Produktbenutzungsrechten für SQL Server 2008 R2-Prozessorlizenzen ordnungsgemäß lizenziert ist, Software Assurance wie folgt zu erwerben:</w:t>
      </w:r>
    </w:p>
    <w:p w:rsidR="000C03F3" w:rsidRPr="00BB5519" w:rsidRDefault="000C03F3" w:rsidP="000C03F3">
      <w:pPr>
        <w:ind w:left="720"/>
        <w:rPr>
          <w:lang w:val="de-DE"/>
        </w:rPr>
      </w:pPr>
    </w:p>
    <w:p w:rsidR="00A81E83" w:rsidRPr="00BB5519" w:rsidRDefault="00A81E83" w:rsidP="000C03F3">
      <w:pPr>
        <w:numPr>
          <w:ilvl w:val="3"/>
          <w:numId w:val="111"/>
        </w:numPr>
        <w:tabs>
          <w:tab w:val="left" w:pos="1170"/>
        </w:tabs>
        <w:spacing w:after="60"/>
        <w:ind w:left="1440" w:hanging="360"/>
      </w:pPr>
      <w:r w:rsidRPr="00BB551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BB5519">
        <w:rPr>
          <w:rFonts w:eastAsia="Calibri" w:cs="Tahoma"/>
          <w:szCs w:val="18"/>
        </w:rPr>
        <w:t xml:space="preserve">April 2015)“ zu verlängern, und </w:t>
      </w:r>
    </w:p>
    <w:p w:rsidR="00A81E83" w:rsidRPr="00BB5519" w:rsidRDefault="00A81E83" w:rsidP="00021BF7">
      <w:pPr>
        <w:keepNext/>
        <w:keepLines/>
        <w:numPr>
          <w:ilvl w:val="3"/>
          <w:numId w:val="111"/>
        </w:numPr>
        <w:tabs>
          <w:tab w:val="left" w:pos="1170"/>
        </w:tabs>
        <w:spacing w:after="60"/>
        <w:ind w:left="1440" w:hanging="360"/>
        <w:rPr>
          <w:lang w:val="de-DE"/>
        </w:rPr>
      </w:pPr>
      <w:r w:rsidRPr="00BB5519">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Workgroup-Prozessorlizenz zu erwerben. Für die kontinuierliche Verwendung von SQL Server 2012 auf Prozessoren, die mehr als vier Core-Lizenzen</w:t>
      </w:r>
      <w:r w:rsidR="00B46560">
        <w:rPr>
          <w:rFonts w:eastAsia="Calibri" w:cs="Tahoma"/>
          <w:szCs w:val="18"/>
          <w:lang w:val="de-DE"/>
        </w:rPr>
        <w:t> </w:t>
      </w:r>
      <w:r w:rsidRPr="00BB5519">
        <w:rPr>
          <w:rFonts w:eastAsia="Calibri" w:cs="Tahoma"/>
          <w:szCs w:val="18"/>
          <w:lang w:val="de-DE"/>
        </w:rPr>
        <w:t>pro Prozessor erfordern, muss der Kunde die zusätzlichen Core-Lizenzen erwerben.</w:t>
      </w:r>
    </w:p>
    <w:p w:rsidR="00A81E83" w:rsidRPr="00BB5519" w:rsidRDefault="00A81E83" w:rsidP="00B46560">
      <w:pPr>
        <w:numPr>
          <w:ilvl w:val="0"/>
          <w:numId w:val="64"/>
        </w:numPr>
        <w:tabs>
          <w:tab w:val="left" w:pos="720"/>
          <w:tab w:val="left" w:pos="1170"/>
        </w:tabs>
        <w:spacing w:after="60"/>
        <w:ind w:left="1440"/>
        <w:rPr>
          <w:lang w:val="de-DE"/>
        </w:rPr>
      </w:pPr>
      <w:r w:rsidRPr="00BB5519">
        <w:rPr>
          <w:rFonts w:eastAsia="Calibri" w:cs="Tahoma"/>
          <w:szCs w:val="18"/>
          <w:lang w:val="de-DE"/>
        </w:rPr>
        <w:t>Die Prozessorlizenzen des Kunden sind bei Erwerb von Software Assurance für Core-Lizenzen unter</w:t>
      </w:r>
      <w:r w:rsidR="00B46560">
        <w:rPr>
          <w:rFonts w:eastAsia="Calibri" w:cs="Tahoma"/>
          <w:szCs w:val="18"/>
          <w:lang w:val="de-DE"/>
        </w:rPr>
        <w:t> </w:t>
      </w:r>
      <w:r w:rsidRPr="00BB5519">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r w:rsidR="009E4976" w:rsidRPr="00BB5519">
        <w:rPr>
          <w:rFonts w:eastAsia="Calibri" w:cs="Tahoma"/>
          <w:szCs w:val="18"/>
          <w:lang w:val="de-DE"/>
        </w:rPr>
        <w:t xml:space="preserve"> </w:t>
      </w:r>
    </w:p>
    <w:p w:rsidR="000C03F3" w:rsidRPr="00BB5519" w:rsidRDefault="000C03F3" w:rsidP="000C03F3">
      <w:pPr>
        <w:tabs>
          <w:tab w:val="left" w:pos="720"/>
        </w:tabs>
        <w:ind w:left="720"/>
        <w:rPr>
          <w:lang w:val="de-DE"/>
        </w:rPr>
      </w:pPr>
    </w:p>
    <w:p w:rsidR="000C03F3" w:rsidRPr="00BB5519" w:rsidRDefault="00A81E83" w:rsidP="000C03F3">
      <w:pPr>
        <w:tabs>
          <w:tab w:val="left" w:pos="720"/>
          <w:tab w:val="left" w:pos="1800"/>
        </w:tabs>
        <w:spacing w:after="60"/>
        <w:ind w:left="720"/>
        <w:rPr>
          <w:lang w:val="de-DE"/>
        </w:rPr>
      </w:pPr>
      <w:r w:rsidRPr="00BB5519">
        <w:rPr>
          <w:rFonts w:eastAsia="Calibri" w:cs="Tahoma"/>
          <w:b/>
          <w:szCs w:val="18"/>
          <w:lang w:val="de-DE"/>
        </w:rPr>
        <w:t>Für Kunden mit Software Assurance, die vor dem 1. April 2015 abläuft, die sich gegen eine Verlängerung entscheiden</w:t>
      </w:r>
    </w:p>
    <w:p w:rsidR="00A81E83" w:rsidRPr="00BB5519" w:rsidRDefault="00A81E83" w:rsidP="000C03F3">
      <w:pPr>
        <w:tabs>
          <w:tab w:val="left" w:pos="720"/>
          <w:tab w:val="left" w:pos="1800"/>
        </w:tabs>
        <w:ind w:left="720"/>
        <w:rPr>
          <w:lang w:val="de-DE"/>
        </w:rPr>
      </w:pPr>
      <w:r w:rsidRPr="00BB5519">
        <w:rPr>
          <w:rFonts w:eastAsia="Calibri" w:cs="Tahoma"/>
          <w:szCs w:val="18"/>
          <w:lang w:val="de-DE"/>
        </w:rPr>
        <w:t xml:space="preserve">Konzern-Abonnement- </w:t>
      </w:r>
      <w:r w:rsidRPr="00BB5519">
        <w:rPr>
          <w:rFonts w:cs="Tahoma"/>
          <w:bCs/>
          <w:color w:val="000000"/>
          <w:szCs w:val="18"/>
          <w:lang w:val="de-DE"/>
        </w:rPr>
        <w:t>und Open Value Subscription-</w:t>
      </w:r>
      <w:r w:rsidRPr="00BB5519">
        <w:rPr>
          <w:rFonts w:eastAsia="Calibri" w:cs="Tahoma"/>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0C03F3" w:rsidRPr="00BB5519" w:rsidRDefault="000C03F3" w:rsidP="000C03F3">
      <w:pPr>
        <w:tabs>
          <w:tab w:val="left" w:pos="720"/>
          <w:tab w:val="left" w:pos="1800"/>
        </w:tabs>
        <w:ind w:left="720"/>
        <w:rPr>
          <w:lang w:val="de-DE"/>
        </w:rPr>
      </w:pPr>
    </w:p>
    <w:p w:rsidR="00A81E83" w:rsidRPr="00BB5519" w:rsidRDefault="00A81E83" w:rsidP="000C03F3">
      <w:pPr>
        <w:numPr>
          <w:ilvl w:val="0"/>
          <w:numId w:val="73"/>
        </w:numPr>
        <w:tabs>
          <w:tab w:val="left" w:pos="1440"/>
        </w:tabs>
        <w:spacing w:after="60"/>
        <w:ind w:left="1440"/>
        <w:rPr>
          <w:lang w:val="de-DE"/>
        </w:rPr>
      </w:pPr>
      <w:r w:rsidRPr="00BB5519">
        <w:rPr>
          <w:rFonts w:eastAsia="Calibri" w:cs="Tahoma"/>
          <w:b/>
          <w:szCs w:val="18"/>
          <w:lang w:val="de-DE"/>
        </w:rPr>
        <w:t>SQL Server 2008 R2 Workgroup:</w:t>
      </w:r>
      <w:r w:rsidRPr="00BB5519">
        <w:rPr>
          <w:rFonts w:eastAsia="Calibri" w:cs="Tahoma"/>
          <w:szCs w:val="18"/>
          <w:lang w:val="de-DE"/>
        </w:rPr>
        <w:t xml:space="preserve"> Die kontinuierliche Verwendung dieser Version der Software unterliegt den Produktbenutzungsrechten für SQL Server 2008 R2 Workgroup-Prozessorlizenzen. Kunden verfügen nicht mehr über Rechte unter Lizenzmobilität innerhalb von Serverfarmen oder Lizenzmobilität durch Software Assurance. </w:t>
      </w:r>
    </w:p>
    <w:p w:rsidR="00A81E83" w:rsidRPr="00BB5519" w:rsidRDefault="00A81E83" w:rsidP="000C03F3">
      <w:pPr>
        <w:numPr>
          <w:ilvl w:val="0"/>
          <w:numId w:val="73"/>
        </w:numPr>
        <w:tabs>
          <w:tab w:val="left" w:pos="1440"/>
        </w:tabs>
        <w:spacing w:after="60"/>
        <w:ind w:left="1440"/>
        <w:rPr>
          <w:lang w:val="de-DE"/>
        </w:rPr>
      </w:pPr>
      <w:r w:rsidRPr="00BB5519">
        <w:rPr>
          <w:rFonts w:eastAsia="Calibri" w:cs="Tahoma"/>
          <w:b/>
          <w:szCs w:val="18"/>
          <w:lang w:val="de-DE"/>
        </w:rPr>
        <w:t>SQL Server 2012 Standard Core:</w:t>
      </w:r>
      <w:r w:rsidRPr="00B46560">
        <w:rPr>
          <w:rFonts w:eastAsia="Calibri" w:cs="Tahoma"/>
          <w:bCs/>
          <w:szCs w:val="18"/>
          <w:lang w:val="de-DE"/>
        </w:rPr>
        <w:t xml:space="preserve"> </w:t>
      </w:r>
      <w:r w:rsidRPr="00BB5519">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BB5519" w:rsidRDefault="00A81E83" w:rsidP="000C03F3">
      <w:pPr>
        <w:numPr>
          <w:ilvl w:val="1"/>
          <w:numId w:val="73"/>
        </w:numPr>
        <w:tabs>
          <w:tab w:val="left" w:pos="1800"/>
        </w:tabs>
        <w:spacing w:after="60"/>
        <w:ind w:left="1800"/>
        <w:rPr>
          <w:lang w:val="de-DE"/>
        </w:rPr>
      </w:pPr>
      <w:r w:rsidRPr="00BB5519">
        <w:rPr>
          <w:rFonts w:eastAsia="Calibri" w:cs="Tahoma"/>
          <w:szCs w:val="18"/>
          <w:lang w:val="de-DE"/>
        </w:rPr>
        <w:t xml:space="preserve">Kunden verfügen nicht mehr über Rechte unter Lizenzmobilität innerhalb von Serverfarmen oder Lizenzmobilität durch Software Assurance, und </w:t>
      </w:r>
    </w:p>
    <w:p w:rsidR="00A81E83" w:rsidRPr="00BB5519" w:rsidRDefault="00A81E83" w:rsidP="000C03F3">
      <w:pPr>
        <w:numPr>
          <w:ilvl w:val="1"/>
          <w:numId w:val="73"/>
        </w:numPr>
        <w:tabs>
          <w:tab w:val="left" w:pos="1800"/>
        </w:tabs>
        <w:spacing w:after="60"/>
        <w:ind w:left="1800"/>
      </w:pPr>
      <w:r w:rsidRPr="00BB5519">
        <w:rPr>
          <w:rFonts w:eastAsia="Calibri" w:cs="Tahoma"/>
          <w:szCs w:val="18"/>
          <w:lang w:val="de-DE"/>
        </w:rPr>
        <w:t xml:space="preserve">Neuzuweisungen von Lizenzen unterliegen den Beschränkungen unten unter (i) und (ii) in Bezug auf ihre „Core-Lizenzäquivalenz“. </w:t>
      </w:r>
      <w:r w:rsidRPr="00BB5519">
        <w:rPr>
          <w:rFonts w:eastAsia="Calibri" w:cs="Tahoma"/>
          <w:szCs w:val="18"/>
        </w:rPr>
        <w:t xml:space="preserve">Die Core-Lizenzäquivalenz wird wie folgt bestimmt. </w:t>
      </w:r>
    </w:p>
    <w:p w:rsidR="00A81E83" w:rsidRPr="00BB5519" w:rsidRDefault="00A81E83" w:rsidP="000C03F3">
      <w:pPr>
        <w:numPr>
          <w:ilvl w:val="2"/>
          <w:numId w:val="73"/>
        </w:numPr>
        <w:tabs>
          <w:tab w:val="left" w:pos="2160"/>
        </w:tabs>
        <w:spacing w:after="60"/>
        <w:rPr>
          <w:lang w:val="de-DE"/>
        </w:rPr>
      </w:pPr>
      <w:r w:rsidRPr="00BB5519">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BB5519" w:rsidRDefault="00A81E83" w:rsidP="000C03F3">
      <w:pPr>
        <w:numPr>
          <w:ilvl w:val="4"/>
          <w:numId w:val="64"/>
        </w:numPr>
        <w:tabs>
          <w:tab w:val="left" w:pos="2520"/>
        </w:tabs>
        <w:spacing w:after="60"/>
        <w:ind w:left="2520"/>
      </w:pPr>
      <w:r w:rsidRPr="00BB5519">
        <w:rPr>
          <w:rFonts w:eastAsia="Calibri" w:cs="Tahoma"/>
          <w:szCs w:val="18"/>
        </w:rPr>
        <w:t xml:space="preserve">vier Cores pro Prozessorlizenz ODER </w:t>
      </w:r>
    </w:p>
    <w:p w:rsidR="00A81E83" w:rsidRPr="00BB5519" w:rsidRDefault="00A81E83" w:rsidP="000C03F3">
      <w:pPr>
        <w:numPr>
          <w:ilvl w:val="4"/>
          <w:numId w:val="64"/>
        </w:numPr>
        <w:tabs>
          <w:tab w:val="left" w:pos="2520"/>
        </w:tabs>
        <w:spacing w:after="60"/>
        <w:ind w:left="2520"/>
        <w:rPr>
          <w:lang w:val="de-DE"/>
        </w:rPr>
      </w:pPr>
      <w:r w:rsidRPr="00BB5519">
        <w:rPr>
          <w:rFonts w:eastAsia="Calibri" w:cs="Tahoma"/>
          <w:szCs w:val="18"/>
          <w:lang w:val="de-DE"/>
        </w:rPr>
        <w:lastRenderedPageBreak/>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BB5519" w:rsidRDefault="00A81E83" w:rsidP="000C03F3">
      <w:pPr>
        <w:numPr>
          <w:ilvl w:val="1"/>
          <w:numId w:val="73"/>
        </w:numPr>
        <w:tabs>
          <w:tab w:val="left" w:pos="1800"/>
        </w:tabs>
        <w:spacing w:after="60"/>
        <w:ind w:left="1800"/>
        <w:rPr>
          <w:lang w:val="de-DE"/>
        </w:rPr>
      </w:pPr>
      <w:r w:rsidRPr="00BB5519">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BB5519" w:rsidRDefault="00A81E83" w:rsidP="00B46560">
      <w:pPr>
        <w:numPr>
          <w:ilvl w:val="1"/>
          <w:numId w:val="73"/>
        </w:numPr>
        <w:tabs>
          <w:tab w:val="left" w:pos="1800"/>
        </w:tabs>
        <w:spacing w:after="60"/>
        <w:ind w:left="1800"/>
        <w:rPr>
          <w:lang w:val="de-DE"/>
        </w:rPr>
      </w:pPr>
      <w:r w:rsidRPr="00BB5519">
        <w:rPr>
          <w:rFonts w:eastAsia="Calibri" w:cs="Tahoma"/>
          <w:szCs w:val="18"/>
          <w:lang w:val="de-DE"/>
        </w:rPr>
        <w:t>Kunden sind berechtigt, Lizenzen einem anderen Server neu zuzuweisen. Wenn der Kunde jedoch eine Lizenz einem anderen Server neu zuweist, muss der Kunde die Nutzungsrechte für</w:t>
      </w:r>
      <w:r w:rsidR="00B46560">
        <w:rPr>
          <w:rFonts w:eastAsia="Calibri" w:cs="Tahoma"/>
          <w:szCs w:val="18"/>
          <w:lang w:val="de-DE"/>
        </w:rPr>
        <w:t> </w:t>
      </w:r>
      <w:r w:rsidRPr="00BB5519">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BB5519" w:rsidRDefault="00A81E83" w:rsidP="000C03F3">
      <w:pPr>
        <w:numPr>
          <w:ilvl w:val="1"/>
          <w:numId w:val="73"/>
        </w:numPr>
        <w:tabs>
          <w:tab w:val="left" w:pos="1800"/>
        </w:tabs>
        <w:spacing w:after="60"/>
        <w:ind w:left="1800"/>
        <w:rPr>
          <w:lang w:val="de-DE"/>
        </w:rPr>
      </w:pPr>
      <w:r w:rsidRPr="00BB5519">
        <w:rPr>
          <w:rFonts w:eastAsia="Calibri" w:cs="Tahoma"/>
          <w:szCs w:val="18"/>
          <w:lang w:val="de-DE"/>
        </w:rPr>
        <w:t>Die angenommene Core-Lizenzäquivalenz der Kunden impliziert nicht, dass sie berechtigt sind, eine einzelne Prozessorlizenz Cores auf zwei oder mehr Prozessoren zuzuweisen.</w:t>
      </w:r>
    </w:p>
    <w:p w:rsidR="000C03F3" w:rsidRPr="00BB5519" w:rsidRDefault="000C03F3" w:rsidP="000C03F3">
      <w:pPr>
        <w:tabs>
          <w:tab w:val="left" w:pos="1800"/>
        </w:tabs>
        <w:spacing w:after="60"/>
        <w:rPr>
          <w:lang w:val="de-DE"/>
        </w:rPr>
      </w:pPr>
    </w:p>
    <w:p w:rsidR="000C03F3" w:rsidRPr="00BB5519" w:rsidRDefault="00A81E83" w:rsidP="000C03F3">
      <w:pPr>
        <w:tabs>
          <w:tab w:val="left" w:pos="720"/>
        </w:tabs>
        <w:spacing w:after="60"/>
        <w:ind w:left="720"/>
        <w:rPr>
          <w:lang w:val="de-DE"/>
        </w:rPr>
      </w:pPr>
      <w:r w:rsidRPr="00BB5519">
        <w:rPr>
          <w:rFonts w:eastAsia="Calibri" w:cs="Tahoma"/>
          <w:b/>
          <w:color w:val="000000"/>
          <w:szCs w:val="18"/>
          <w:lang w:val="de-DE"/>
        </w:rPr>
        <w:t>Für Kunden mit Software Assurance, die am oder nach dem 1. April 2015 abläuft, die sich gegen eine Verlängerung entscheiden</w:t>
      </w:r>
    </w:p>
    <w:p w:rsidR="00A81E83" w:rsidRPr="00BB5519" w:rsidRDefault="00A81E83" w:rsidP="000C03F3">
      <w:pPr>
        <w:tabs>
          <w:tab w:val="left" w:pos="720"/>
        </w:tabs>
        <w:ind w:left="720"/>
        <w:rPr>
          <w:lang w:val="de-DE"/>
        </w:rPr>
      </w:pPr>
      <w:r w:rsidRPr="00BB5519">
        <w:rPr>
          <w:rFonts w:eastAsia="Calibri" w:cs="Tahoma"/>
          <w:color w:val="000000"/>
          <w:szCs w:val="18"/>
          <w:lang w:val="de-DE"/>
        </w:rPr>
        <w:t xml:space="preserve">Konzern-Abonnement- </w:t>
      </w:r>
      <w:r w:rsidRPr="00BB5519">
        <w:rPr>
          <w:rFonts w:cs="Tahoma"/>
          <w:bCs/>
          <w:color w:val="000000"/>
          <w:szCs w:val="18"/>
          <w:lang w:val="de-DE"/>
        </w:rPr>
        <w:t>und Open Value Subscription-</w:t>
      </w:r>
      <w:r w:rsidRPr="00BB551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0C03F3" w:rsidRPr="00BB5519" w:rsidRDefault="000C03F3" w:rsidP="000C03F3">
      <w:pPr>
        <w:tabs>
          <w:tab w:val="left" w:pos="720"/>
        </w:tabs>
        <w:ind w:left="720"/>
        <w:rPr>
          <w:lang w:val="de-DE"/>
        </w:rPr>
      </w:pPr>
    </w:p>
    <w:p w:rsidR="00A81E83" w:rsidRPr="00BB5519" w:rsidRDefault="00A81E83" w:rsidP="000C03F3">
      <w:pPr>
        <w:numPr>
          <w:ilvl w:val="2"/>
          <w:numId w:val="64"/>
        </w:numPr>
        <w:spacing w:after="60"/>
        <w:ind w:left="1440"/>
        <w:rPr>
          <w:lang w:val="de-DE"/>
        </w:rPr>
      </w:pPr>
      <w:r w:rsidRPr="00BB5519">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BB5519" w:rsidRDefault="00A81E83" w:rsidP="00B46560">
      <w:pPr>
        <w:numPr>
          <w:ilvl w:val="2"/>
          <w:numId w:val="64"/>
        </w:numPr>
        <w:spacing w:after="60"/>
        <w:ind w:left="1440"/>
        <w:rPr>
          <w:lang w:val="de-DE"/>
        </w:rPr>
      </w:pPr>
      <w:r w:rsidRPr="00BB5519">
        <w:rPr>
          <w:rFonts w:eastAsia="Calibri" w:cs="Tahoma"/>
          <w:color w:val="000000"/>
          <w:szCs w:val="18"/>
          <w:lang w:val="de-DE"/>
        </w:rPr>
        <w:t>für Lizenzen, die nach dem 1. April 2015 erworben wurden, verfügt die Prozessorlizenz von Kunden</w:t>
      </w:r>
      <w:r w:rsidR="00B46560">
        <w:rPr>
          <w:rFonts w:eastAsia="Calibri" w:cs="Tahoma"/>
          <w:color w:val="000000"/>
          <w:szCs w:val="18"/>
          <w:lang w:val="de-DE"/>
        </w:rPr>
        <w:t> </w:t>
      </w:r>
      <w:r w:rsidRPr="00BB5519">
        <w:rPr>
          <w:rFonts w:eastAsia="Calibri" w:cs="Tahoma"/>
          <w:color w:val="000000"/>
          <w:szCs w:val="18"/>
          <w:lang w:val="de-DE"/>
        </w:rPr>
        <w:t>über eine Core-Äquivalenz von vier Core-Lizenzen für SQL Server 2012 Standard. Für die</w:t>
      </w:r>
      <w:r w:rsidR="00B46560">
        <w:rPr>
          <w:rFonts w:eastAsia="Calibri" w:cs="Tahoma"/>
          <w:color w:val="000000"/>
          <w:szCs w:val="18"/>
          <w:lang w:val="de-DE"/>
        </w:rPr>
        <w:t> </w:t>
      </w:r>
      <w:r w:rsidRPr="00BB5519">
        <w:rPr>
          <w:rFonts w:eastAsia="Calibri" w:cs="Tahoma"/>
          <w:color w:val="000000"/>
          <w:szCs w:val="18"/>
          <w:lang w:val="de-DE"/>
        </w:rPr>
        <w:t>kontinuierliche Verwendung von SQL Server 2012 auf Prozessoren, die mehr als vier Core-Lizenzen pro Prozessor erfordern, muss der Kunde die zusätzlichen Core-Lizenzen erwerben.</w:t>
      </w:r>
    </w:p>
    <w:p w:rsidR="000C03F3" w:rsidRPr="00BB5519" w:rsidRDefault="000C03F3" w:rsidP="000C03F3">
      <w:pPr>
        <w:rPr>
          <w:lang w:val="de-DE"/>
        </w:rPr>
      </w:pPr>
    </w:p>
    <w:p w:rsidR="000C03F3" w:rsidRPr="00BB5519" w:rsidRDefault="00A81E83" w:rsidP="00B46560">
      <w:pPr>
        <w:pStyle w:val="ListParagraph"/>
        <w:tabs>
          <w:tab w:val="left" w:pos="720"/>
        </w:tabs>
        <w:spacing w:after="60"/>
        <w:contextualSpacing w:val="0"/>
        <w:rPr>
          <w:lang w:val="de-DE"/>
        </w:rPr>
      </w:pPr>
      <w:r w:rsidRPr="00BB5519">
        <w:rPr>
          <w:rFonts w:ascii="Tahoma" w:hAnsi="Tahoma" w:cs="Tahoma"/>
          <w:b/>
          <w:color w:val="000000"/>
          <w:sz w:val="18"/>
          <w:szCs w:val="18"/>
          <w:lang w:val="de-DE"/>
        </w:rPr>
        <w:t>Für Kunden in der Volksrepublik</w:t>
      </w:r>
      <w:r w:rsidRPr="00BB5519">
        <w:rPr>
          <w:rFonts w:ascii="Tahoma" w:hAnsi="Tahoma" w:cs="Tahoma"/>
          <w:color w:val="000000"/>
          <w:sz w:val="18"/>
          <w:szCs w:val="18"/>
          <w:lang w:val="de-DE"/>
        </w:rPr>
        <w:t xml:space="preserve"> </w:t>
      </w:r>
      <w:r w:rsidRPr="00BB5519">
        <w:rPr>
          <w:rFonts w:ascii="Tahoma" w:hAnsi="Tahoma" w:cs="Tahoma"/>
          <w:b/>
          <w:color w:val="000000"/>
          <w:sz w:val="18"/>
          <w:szCs w:val="18"/>
          <w:lang w:val="de-DE"/>
        </w:rPr>
        <w:t>China, die dort Prozessorlizenzen und Software Assurance für</w:t>
      </w:r>
      <w:r w:rsidR="00B46560">
        <w:rPr>
          <w:rFonts w:ascii="Tahoma" w:hAnsi="Tahoma" w:cs="Tahoma"/>
          <w:b/>
          <w:color w:val="000000"/>
          <w:sz w:val="18"/>
          <w:szCs w:val="18"/>
          <w:lang w:val="de-DE"/>
        </w:rPr>
        <w:t> </w:t>
      </w:r>
      <w:r w:rsidRPr="00BB5519">
        <w:rPr>
          <w:rFonts w:ascii="Tahoma" w:hAnsi="Tahoma" w:cs="Tahoma"/>
          <w:b/>
          <w:color w:val="000000"/>
          <w:sz w:val="18"/>
          <w:szCs w:val="18"/>
          <w:lang w:val="de-DE"/>
        </w:rPr>
        <w:t>SQL Server 2008 R2 erwerben</w:t>
      </w:r>
    </w:p>
    <w:p w:rsidR="00A81E83" w:rsidRPr="00BB5519" w:rsidRDefault="00A81E83" w:rsidP="00B46560">
      <w:pPr>
        <w:pStyle w:val="ListParagraph"/>
        <w:tabs>
          <w:tab w:val="left" w:pos="720"/>
        </w:tabs>
        <w:contextualSpacing w:val="0"/>
        <w:rPr>
          <w:lang w:val="de-DE"/>
        </w:rPr>
      </w:pPr>
      <w:r w:rsidRPr="00BB5519">
        <w:rPr>
          <w:rFonts w:ascii="Tahoma" w:hAnsi="Tahoma" w:cs="Tahoma"/>
          <w:color w:val="000000"/>
          <w:sz w:val="18"/>
          <w:szCs w:val="18"/>
          <w:lang w:val="de-DE"/>
        </w:rPr>
        <w:t>Die Verweise auf den 1. April 2012 und den 1. April 2015 in dieser Produktliste sind nicht anwendbar. Die</w:t>
      </w:r>
      <w:r w:rsidR="00B46560">
        <w:rPr>
          <w:rFonts w:ascii="Tahoma" w:hAnsi="Tahoma" w:cs="Tahoma"/>
          <w:color w:val="000000"/>
          <w:sz w:val="18"/>
          <w:szCs w:val="18"/>
          <w:lang w:val="de-DE"/>
        </w:rPr>
        <w:t> </w:t>
      </w:r>
      <w:r w:rsidRPr="00BB5519">
        <w:rPr>
          <w:rFonts w:ascii="Tahoma" w:hAnsi="Tahoma" w:cs="Tahoma"/>
          <w:color w:val="000000"/>
          <w:sz w:val="18"/>
          <w:szCs w:val="18"/>
          <w:lang w:val="de-DE"/>
        </w:rPr>
        <w:t>anwendbaren Daten für diese Kunden sind der 1. Juli 2012 bzw. der 1. Juli 2015.</w:t>
      </w:r>
    </w:p>
    <w:p w:rsidR="00A81E83" w:rsidRPr="00BB5519" w:rsidRDefault="00A81E83" w:rsidP="000C03F3">
      <w:pPr>
        <w:tabs>
          <w:tab w:val="left" w:pos="1080"/>
          <w:tab w:val="left" w:pos="1800"/>
        </w:tabs>
        <w:rPr>
          <w:lang w:val="de-DE"/>
        </w:rPr>
      </w:pPr>
      <w:bookmarkStart w:id="1443" w:name="Srv_87SQLServer2012Developer"/>
    </w:p>
    <w:p w:rsidR="00BE30E6" w:rsidRPr="00BB5519" w:rsidRDefault="00BE30E6" w:rsidP="000C03F3">
      <w:pPr>
        <w:tabs>
          <w:tab w:val="left" w:pos="1080"/>
          <w:tab w:val="left" w:pos="1800"/>
        </w:tabs>
        <w:rPr>
          <w:lang w:val="de-DE"/>
        </w:rPr>
      </w:pPr>
    </w:p>
    <w:p w:rsidR="00A81E83" w:rsidRPr="00BB5519" w:rsidRDefault="00F66FB0" w:rsidP="00EF5637">
      <w:pPr>
        <w:pStyle w:val="Heading3"/>
        <w:rPr>
          <w:lang w:val="de-DE"/>
        </w:rPr>
      </w:pPr>
      <w:bookmarkStart w:id="1444" w:name="_80_78_SQL"/>
      <w:bookmarkStart w:id="1445" w:name="_79_SQL_Server®"/>
      <w:bookmarkStart w:id="1446" w:name="_Toc336338345"/>
      <w:bookmarkStart w:id="1447" w:name="_Toc354055034"/>
      <w:bookmarkEnd w:id="1444"/>
      <w:bookmarkEnd w:id="1445"/>
      <w:r w:rsidRPr="00BB5519">
        <w:rPr>
          <w:rFonts w:ascii="Tahoma" w:hAnsi="Tahoma"/>
          <w:color w:val="F66400"/>
          <w:sz w:val="22"/>
          <w:vertAlign w:val="superscript"/>
          <w:lang w:val="de-DE"/>
        </w:rPr>
        <w:t>79</w:t>
      </w:r>
      <w:r w:rsidRPr="00BB5519">
        <w:rPr>
          <w:rFonts w:ascii="Tahoma" w:hAnsi="Tahoma"/>
          <w:color w:val="F66400"/>
          <w:sz w:val="22"/>
          <w:lang w:val="de-DE"/>
        </w:rPr>
        <w:t xml:space="preserve"> SQL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2012 Developer</w:t>
      </w:r>
      <w:bookmarkEnd w:id="1446"/>
      <w:bookmarkEnd w:id="1447"/>
    </w:p>
    <w:bookmarkEnd w:id="1443"/>
    <w:p w:rsidR="00A81E83" w:rsidRPr="00BB5519" w:rsidRDefault="00A81E83" w:rsidP="00EF5637">
      <w:pPr>
        <w:rPr>
          <w:lang w:val="de-DE"/>
        </w:rPr>
      </w:pPr>
    </w:p>
    <w:p w:rsidR="000C03F3" w:rsidRPr="00BB5519" w:rsidRDefault="00A81E83" w:rsidP="000C03F3">
      <w:pPr>
        <w:spacing w:after="60"/>
        <w:ind w:left="720"/>
        <w:rPr>
          <w:lang w:val="de-DE"/>
        </w:rPr>
      </w:pPr>
      <w:r w:rsidRPr="00BB5519">
        <w:rPr>
          <w:b/>
          <w:color w:val="000000"/>
          <w:szCs w:val="18"/>
          <w:lang w:val="de-DE"/>
        </w:rPr>
        <w:t>Wichtiger Hinweis</w:t>
      </w:r>
    </w:p>
    <w:p w:rsidR="00A81E83" w:rsidRPr="00BB5519" w:rsidRDefault="00A81E83" w:rsidP="00B46560">
      <w:pPr>
        <w:ind w:left="720"/>
        <w:rPr>
          <w:lang w:val="de-DE"/>
        </w:rPr>
      </w:pPr>
      <w:r w:rsidRPr="00BB5519">
        <w:rPr>
          <w:color w:val="000000"/>
          <w:szCs w:val="18"/>
          <w:lang w:val="de-DE"/>
        </w:rPr>
        <w:t>Automatische Aktualisierungen für SQL Server 2008, SQL Server 2005 und SQL Server 2000. Wenn diese Software auf Servern oder Geräten installiert ist, auf denen beliebige Editionen von SQL Server 2008, SQL Server 2005 oder SQL Server 2000 (oder Komponenten von diesen) ausgeführt werden, aktualisiert und ersetzt diese Software automatisch bestimme Dateien oder Features innerhalb dieser Editionen durch Dateien von dieser Software.</w:t>
      </w:r>
      <w:r w:rsidR="009E4976" w:rsidRPr="00BB5519">
        <w:rPr>
          <w:color w:val="000000"/>
          <w:szCs w:val="18"/>
          <w:lang w:val="de-DE"/>
        </w:rPr>
        <w:t xml:space="preserve"> </w:t>
      </w:r>
      <w:r w:rsidRPr="00BB5519">
        <w:rPr>
          <w:color w:val="000000"/>
          <w:szCs w:val="18"/>
          <w:lang w:val="de-DE"/>
        </w:rPr>
        <w:t>Dieses Feature kann nicht abgeschaltet werden.</w:t>
      </w:r>
      <w:r w:rsidR="009E4976" w:rsidRPr="00BB5519">
        <w:rPr>
          <w:color w:val="000000"/>
          <w:szCs w:val="18"/>
          <w:lang w:val="de-DE"/>
        </w:rPr>
        <w:t xml:space="preserve"> </w:t>
      </w:r>
      <w:r w:rsidRPr="00BB5519">
        <w:rPr>
          <w:color w:val="000000"/>
          <w:szCs w:val="18"/>
          <w:lang w:val="de-DE"/>
        </w:rPr>
        <w:t>Die aktualisierten Dateien können nicht entfernt und die ursprünglichen Dateien möglicherweise nicht wiederhergestellt werden.</w:t>
      </w:r>
      <w:r w:rsidR="009E4976" w:rsidRPr="00BB5519">
        <w:rPr>
          <w:color w:val="000000"/>
          <w:szCs w:val="18"/>
          <w:lang w:val="de-DE"/>
        </w:rPr>
        <w:t xml:space="preserve"> </w:t>
      </w:r>
      <w:r w:rsidRPr="00BB5519">
        <w:rPr>
          <w:color w:val="000000"/>
          <w:szCs w:val="18"/>
          <w:lang w:val="de-DE"/>
        </w:rPr>
        <w:t>Durch</w:t>
      </w:r>
      <w:r w:rsidR="00B46560">
        <w:rPr>
          <w:color w:val="000000"/>
          <w:szCs w:val="18"/>
          <w:lang w:val="de-DE"/>
        </w:rPr>
        <w:t> </w:t>
      </w:r>
      <w:r w:rsidRPr="00BB5519">
        <w:rPr>
          <w:color w:val="000000"/>
          <w:szCs w:val="18"/>
          <w:lang w:val="de-DE"/>
        </w:rPr>
        <w:t>die Installation dieser Software auf einem Server oder Gerät, auf dem beliebige Editionen von SQL Server 2008, SQL Server 2005 oder SQL Server 2000 ausgeführt werden, erklären Sie sich mit diesen Aktualisierungen in allen Editionen und Kopien von SQL Server (einschließlich Komponenten von diesen), die</w:t>
      </w:r>
      <w:r w:rsidR="00B46560">
        <w:rPr>
          <w:color w:val="000000"/>
          <w:szCs w:val="18"/>
          <w:lang w:val="de-DE"/>
        </w:rPr>
        <w:t> </w:t>
      </w:r>
      <w:r w:rsidRPr="00BB5519">
        <w:rPr>
          <w:color w:val="000000"/>
          <w:szCs w:val="18"/>
          <w:lang w:val="de-DE"/>
        </w:rPr>
        <w:t>auf dem betreffenden Server oder Gerät ausgeführt werden, einverstanden.</w:t>
      </w:r>
      <w:r w:rsidR="009E4976" w:rsidRPr="00BB5519">
        <w:rPr>
          <w:color w:val="000000"/>
          <w:szCs w:val="18"/>
          <w:lang w:val="de-DE"/>
        </w:rPr>
        <w:t xml:space="preserve"> </w:t>
      </w:r>
    </w:p>
    <w:p w:rsidR="00A81E83" w:rsidRPr="00BB5519" w:rsidRDefault="00A81E83" w:rsidP="00EF5637">
      <w:pPr>
        <w:ind w:left="720"/>
        <w:rPr>
          <w:lang w:val="de-DE"/>
        </w:rPr>
      </w:pPr>
    </w:p>
    <w:p w:rsidR="00A81E83" w:rsidRPr="00BB5519" w:rsidRDefault="00F66FB0" w:rsidP="00EF5637">
      <w:pPr>
        <w:pStyle w:val="Heading3"/>
        <w:rPr>
          <w:lang w:val="de-DE"/>
        </w:rPr>
      </w:pPr>
      <w:bookmarkStart w:id="1448" w:name="_81_79_SQL"/>
      <w:bookmarkStart w:id="1449" w:name="_Toc336338346"/>
      <w:bookmarkStart w:id="1450" w:name="_Toc354055035"/>
      <w:bookmarkStart w:id="1451" w:name="Srv_88SQLServer2012Enterprise"/>
      <w:bookmarkEnd w:id="1448"/>
      <w:r w:rsidRPr="00BB5519">
        <w:rPr>
          <w:rFonts w:ascii="Tahoma" w:hAnsi="Tahoma"/>
          <w:color w:val="F66400"/>
          <w:sz w:val="22"/>
          <w:vertAlign w:val="superscript"/>
          <w:lang w:val="de-DE"/>
        </w:rPr>
        <w:lastRenderedPageBreak/>
        <w:t>80</w:t>
      </w:r>
      <w:r w:rsidRPr="00BB5519">
        <w:rPr>
          <w:rFonts w:ascii="Tahoma" w:hAnsi="Tahoma"/>
          <w:color w:val="F66400"/>
          <w:sz w:val="22"/>
          <w:lang w:val="de-DE"/>
        </w:rPr>
        <w:t xml:space="preserve"> SQL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2012 Enterprise</w:t>
      </w:r>
      <w:bookmarkEnd w:id="1449"/>
      <w:bookmarkEnd w:id="1450"/>
    </w:p>
    <w:bookmarkEnd w:id="1451"/>
    <w:p w:rsidR="00A81E83" w:rsidRPr="00704961" w:rsidRDefault="00A81E83" w:rsidP="00C321B6">
      <w:pPr>
        <w:rPr>
          <w:sz w:val="16"/>
          <w:szCs w:val="16"/>
          <w:lang w:val="de-DE"/>
        </w:rPr>
      </w:pPr>
    </w:p>
    <w:p w:rsidR="00A81E83" w:rsidRPr="00BB5519" w:rsidRDefault="00A81E83" w:rsidP="00C321B6">
      <w:pPr>
        <w:ind w:left="720"/>
        <w:rPr>
          <w:lang w:val="de-DE"/>
        </w:rPr>
      </w:pPr>
      <w:r w:rsidRPr="00BB5519">
        <w:rPr>
          <w:rFonts w:eastAsia="Calibri" w:cs="Tahoma"/>
          <w:color w:val="000000"/>
          <w:szCs w:val="18"/>
          <w:lang w:val="de-DE"/>
        </w:rPr>
        <w:t>SQL Server 2012 Enterprise ist die nächste Version von SQL Server Enterprise, und CAL für SQL Server 2012 ist die nächste Version von CAL für SQL Server.</w:t>
      </w:r>
    </w:p>
    <w:p w:rsidR="00C321B6" w:rsidRPr="00704961" w:rsidRDefault="00C321B6" w:rsidP="00C321B6">
      <w:pPr>
        <w:ind w:left="720"/>
        <w:rPr>
          <w:sz w:val="16"/>
          <w:szCs w:val="16"/>
          <w:lang w:val="de-DE"/>
        </w:rPr>
      </w:pPr>
    </w:p>
    <w:p w:rsidR="00C321B6" w:rsidRPr="00C6226B" w:rsidRDefault="00A81E83" w:rsidP="00704961">
      <w:pPr>
        <w:spacing w:after="40"/>
        <w:ind w:left="720"/>
        <w:rPr>
          <w:rFonts w:ascii="Tahoma Bold" w:hAnsi="Tahoma Bold" w:cs="Tahoma Bold" w:hint="eastAsia"/>
          <w:spacing w:val="-4"/>
          <w:lang w:val="de-DE"/>
        </w:rPr>
      </w:pPr>
      <w:r w:rsidRPr="00C6226B">
        <w:rPr>
          <w:rFonts w:ascii="Tahoma Bold" w:eastAsia="Calibri" w:hAnsi="Tahoma Bold" w:cs="Tahoma Bold"/>
          <w:b/>
          <w:color w:val="000000"/>
          <w:spacing w:val="-4"/>
          <w:szCs w:val="18"/>
          <w:lang w:val="de-DE"/>
        </w:rPr>
        <w:t>SQL Server Enterprise Server-/CAL-Kunden – Besondere Software Assurance-Verlängerungsoption</w:t>
      </w:r>
    </w:p>
    <w:p w:rsidR="00A81E83" w:rsidRPr="00BB5519" w:rsidRDefault="00A81E83" w:rsidP="00C321B6">
      <w:pPr>
        <w:ind w:left="720"/>
        <w:rPr>
          <w:lang w:val="de-DE"/>
        </w:rPr>
      </w:pPr>
      <w:r w:rsidRPr="00BB5519">
        <w:rPr>
          <w:rFonts w:eastAsia="Calibri" w:cs="Tahoma"/>
          <w:color w:val="000000"/>
          <w:szCs w:val="18"/>
          <w:lang w:val="de-DE"/>
        </w:rPr>
        <w:t>Kunden, die am 1. April 2012 über aktive Software Assurance für SQL Server Enterprise Server-/CAL-Lizenzen verfügen, sind berechtigt, als Alternative zur Verlängerung von Software Assurance für Enterprise Software Assurance für die gleiche Anzahl von Lizenzen für SQL Server 2012 Business Intelligence zu erwerben, ohne die zugrunde liegenden Lizenzen zu erwerben.</w:t>
      </w:r>
      <w:r w:rsidR="009E4976" w:rsidRPr="00BB5519">
        <w:rPr>
          <w:rFonts w:eastAsia="Calibri" w:cs="Tahoma"/>
          <w:color w:val="000000"/>
          <w:szCs w:val="18"/>
          <w:lang w:val="de-DE"/>
        </w:rPr>
        <w:t xml:space="preserve"> </w:t>
      </w:r>
      <w:r w:rsidRPr="00BB5519">
        <w:rPr>
          <w:rFonts w:eastAsia="Calibri" w:cs="Tahoma"/>
          <w:color w:val="000000"/>
          <w:szCs w:val="18"/>
          <w:lang w:val="de-DE"/>
        </w:rPr>
        <w:t>Bei Erwerb von Software Assurance für SQL Server 2012 Business Intelligence unter diesem Angebot sind Kunden nicht mehr berechtigt, SQL Server Enterprise unter ihren qualifizierenden Lizenzen zu verwenden.</w:t>
      </w:r>
      <w:r w:rsidR="009E4976" w:rsidRPr="00BB5519">
        <w:rPr>
          <w:rFonts w:eastAsia="Calibri" w:cs="Tahoma"/>
          <w:color w:val="000000"/>
          <w:szCs w:val="18"/>
          <w:lang w:val="de-DE"/>
        </w:rPr>
        <w:t xml:space="preserve"> </w:t>
      </w:r>
      <w:r w:rsidRPr="00BB5519">
        <w:rPr>
          <w:rFonts w:eastAsia="Calibri" w:cs="Tahoma"/>
          <w:color w:val="000000"/>
          <w:szCs w:val="18"/>
          <w:lang w:val="de-DE"/>
        </w:rPr>
        <w:t>Kunden, die Software Assurance für SQL Server Business Intelligence unter diesem Angebot erwerben, haben außerdem nicht die Möglichkeit, wieder auf Software Assurance für SQL Server Enterprise für ihre qualifizierenden SQL Server Enterprise-Lizenzen umzustellen.</w:t>
      </w:r>
    </w:p>
    <w:p w:rsidR="002512D3" w:rsidRPr="00704961" w:rsidRDefault="002512D3">
      <w:pPr>
        <w:rPr>
          <w:sz w:val="16"/>
          <w:szCs w:val="16"/>
          <w:lang w:val="de-DE"/>
        </w:rPr>
      </w:pPr>
    </w:p>
    <w:p w:rsidR="00C321B6" w:rsidRPr="00BB5519" w:rsidRDefault="00A81E83" w:rsidP="00704961">
      <w:pPr>
        <w:spacing w:after="40"/>
        <w:ind w:left="720"/>
        <w:rPr>
          <w:lang w:val="de-DE"/>
        </w:rPr>
      </w:pPr>
      <w:r w:rsidRPr="00BB5519">
        <w:rPr>
          <w:rFonts w:eastAsia="Calibri" w:cs="Tahoma"/>
          <w:b/>
          <w:color w:val="000000"/>
          <w:szCs w:val="18"/>
          <w:lang w:val="de-DE"/>
        </w:rPr>
        <w:t>Fulfillment-Optionen für SQL Server 2012</w:t>
      </w:r>
    </w:p>
    <w:p w:rsidR="00A81E83" w:rsidRDefault="00A81E83" w:rsidP="00C321B6">
      <w:pPr>
        <w:ind w:left="720"/>
        <w:rPr>
          <w:rFonts w:eastAsia="Calibri" w:cs="Tahoma"/>
          <w:color w:val="000000"/>
          <w:szCs w:val="18"/>
          <w:lang w:val="de-DE"/>
        </w:rPr>
      </w:pPr>
      <w:r w:rsidRPr="00BB5519">
        <w:rPr>
          <w:rFonts w:eastAsia="Calibri" w:cs="Tahoma"/>
          <w:color w:val="000000"/>
          <w:szCs w:val="18"/>
          <w:lang w:val="de-DE"/>
        </w:rPr>
        <w:t>Kunden dürfen nur die Software verwenden, die dem Lizenzmodell entspricht, unter dem ihre SQL Server-Lizenzen erworben wurden.</w:t>
      </w:r>
    </w:p>
    <w:p w:rsidR="00704961" w:rsidRPr="00704961" w:rsidRDefault="00704961" w:rsidP="00C321B6">
      <w:pPr>
        <w:ind w:left="720"/>
        <w:rPr>
          <w:sz w:val="16"/>
          <w:szCs w:val="16"/>
          <w:lang w:val="de-DE"/>
        </w:rPr>
      </w:pPr>
    </w:p>
    <w:p w:rsidR="00C321B6" w:rsidRPr="00BB5519" w:rsidRDefault="00A81E83" w:rsidP="00704961">
      <w:pPr>
        <w:spacing w:after="40"/>
        <w:ind w:left="720"/>
        <w:rPr>
          <w:lang w:val="de-DE"/>
        </w:rPr>
      </w:pPr>
      <w:r w:rsidRPr="00BB5519">
        <w:rPr>
          <w:rFonts w:eastAsia="Calibri" w:cs="Tahoma"/>
          <w:b/>
          <w:color w:val="000000"/>
          <w:szCs w:val="18"/>
          <w:lang w:val="de-DE"/>
        </w:rPr>
        <w:t>Buy-Out-Option für SQL Server unter EAP</w:t>
      </w:r>
    </w:p>
    <w:p w:rsidR="00A81E83" w:rsidRPr="00BB5519" w:rsidRDefault="00A81E83" w:rsidP="00C321B6">
      <w:pPr>
        <w:ind w:left="720"/>
        <w:rPr>
          <w:lang w:val="de-DE"/>
        </w:rPr>
      </w:pPr>
      <w:r w:rsidRPr="00BB5519">
        <w:rPr>
          <w:rFonts w:eastAsia="Calibri" w:cs="Tahoma"/>
          <w:color w:val="000000"/>
          <w:szCs w:val="18"/>
          <w:lang w:val="de-DE"/>
        </w:rPr>
        <w:t>Kunden haben die Option, Software Assurance für SQL Server Enterprise Server-/CAL-Lizenzen nach dem 30. Juni 2012</w:t>
      </w:r>
      <w:r w:rsidR="009E4976" w:rsidRPr="00BB5519">
        <w:rPr>
          <w:rFonts w:eastAsia="Calibri" w:cs="Tahoma"/>
          <w:color w:val="000000"/>
          <w:szCs w:val="18"/>
          <w:lang w:val="de-DE"/>
        </w:rPr>
        <w:t xml:space="preserve"> </w:t>
      </w:r>
      <w:r w:rsidRPr="00BB5519">
        <w:rPr>
          <w:rFonts w:eastAsia="Calibri" w:cs="Tahoma"/>
          <w:color w:val="000000"/>
          <w:szCs w:val="18"/>
          <w:lang w:val="de-DE"/>
        </w:rPr>
        <w:t>zu verlängern, ihre einzige Buy-Out-Option am Ende ihrer Beitrittslaufzeit gilt jedoch nur für Core-Lizenzen.</w:t>
      </w:r>
    </w:p>
    <w:p w:rsidR="00C321B6" w:rsidRPr="00704961" w:rsidRDefault="00C321B6" w:rsidP="00C321B6">
      <w:pPr>
        <w:ind w:left="720"/>
        <w:rPr>
          <w:sz w:val="16"/>
          <w:szCs w:val="16"/>
          <w:lang w:val="de-DE"/>
        </w:rPr>
      </w:pPr>
    </w:p>
    <w:p w:rsidR="00C321B6" w:rsidRPr="00BB5519" w:rsidRDefault="00A81E83" w:rsidP="00704961">
      <w:pPr>
        <w:spacing w:after="40"/>
        <w:ind w:left="720"/>
        <w:rPr>
          <w:lang w:val="de-DE"/>
        </w:rPr>
      </w:pPr>
      <w:r w:rsidRPr="00BB5519">
        <w:rPr>
          <w:rFonts w:eastAsia="Calibri" w:cs="Tahoma"/>
          <w:b/>
          <w:color w:val="000000"/>
          <w:szCs w:val="18"/>
          <w:lang w:val="de-DE"/>
        </w:rPr>
        <w:t>Kontinuierliche Verwendung von SQL Server 2008 R2 Enterprise</w:t>
      </w:r>
    </w:p>
    <w:p w:rsidR="00A81E83" w:rsidRPr="00BB5519" w:rsidRDefault="00A81E83" w:rsidP="00B46560">
      <w:pPr>
        <w:ind w:left="720"/>
        <w:rPr>
          <w:lang w:val="de-DE"/>
        </w:rPr>
      </w:pPr>
      <w:r w:rsidRPr="00BB5519">
        <w:rPr>
          <w:rFonts w:eastAsia="Calibri" w:cs="Tahoma"/>
          <w:color w:val="000000"/>
          <w:szCs w:val="18"/>
          <w:lang w:val="de-DE"/>
        </w:rPr>
        <w:t>Software Assurance</w:t>
      </w:r>
      <w:r w:rsidRPr="00BB5519">
        <w:rPr>
          <w:rFonts w:eastAsia="Calibri" w:cs="Tahoma"/>
          <w:b/>
          <w:bCs/>
          <w:color w:val="000000"/>
          <w:szCs w:val="18"/>
          <w:lang w:val="de-DE"/>
        </w:rPr>
        <w:t xml:space="preserve"> </w:t>
      </w:r>
      <w:r w:rsidRPr="00BB5519">
        <w:rPr>
          <w:rFonts w:eastAsia="Calibri" w:cs="Tahoma"/>
          <w:color w:val="000000"/>
          <w:szCs w:val="18"/>
          <w:lang w:val="de-DE"/>
        </w:rPr>
        <w:t>-Kunden, die SQL Server 2008 R2 Enterprise weiterhin unter Lizenzen verwenden, die</w:t>
      </w:r>
      <w:r w:rsidR="00B46560">
        <w:rPr>
          <w:rFonts w:eastAsia="Calibri" w:cs="Tahoma"/>
          <w:color w:val="000000"/>
          <w:szCs w:val="18"/>
          <w:lang w:val="de-DE"/>
        </w:rPr>
        <w:t> </w:t>
      </w:r>
      <w:r w:rsidRPr="00BB5519">
        <w:rPr>
          <w:rFonts w:eastAsia="Calibri" w:cs="Tahoma"/>
          <w:color w:val="000000"/>
          <w:szCs w:val="18"/>
          <w:lang w:val="de-DE"/>
        </w:rPr>
        <w:t>unter ihrem am 1. April 2012 wirksamen Vertrag oder Beitritt erworben wurden, sind berechtigt, die</w:t>
      </w:r>
      <w:r w:rsidR="00B46560">
        <w:rPr>
          <w:rFonts w:eastAsia="Calibri" w:cs="Tahoma"/>
          <w:color w:val="000000"/>
          <w:szCs w:val="18"/>
          <w:lang w:val="de-DE"/>
        </w:rPr>
        <w:t> </w:t>
      </w:r>
      <w:r w:rsidRPr="00BB5519">
        <w:rPr>
          <w:rFonts w:eastAsia="Calibri" w:cs="Tahoma"/>
          <w:color w:val="000000"/>
          <w:szCs w:val="18"/>
          <w:lang w:val="de-DE"/>
        </w:rPr>
        <w:t>Software während der aktuellen Laufzeit und Verlängerungszeiträumen unter Nutzungsrechten für</w:t>
      </w:r>
      <w:r w:rsidR="00B46560">
        <w:rPr>
          <w:rFonts w:eastAsia="Calibri" w:cs="Tahoma"/>
          <w:color w:val="000000"/>
          <w:szCs w:val="18"/>
          <w:lang w:val="de-DE"/>
        </w:rPr>
        <w:t> </w:t>
      </w:r>
      <w:r w:rsidRPr="00BB5519">
        <w:rPr>
          <w:rFonts w:eastAsia="Calibri" w:cs="Tahoma"/>
          <w:color w:val="000000"/>
          <w:szCs w:val="18"/>
          <w:lang w:val="de-DE"/>
        </w:rPr>
        <w:t>SQL</w:t>
      </w:r>
      <w:r w:rsidR="00B46560">
        <w:rPr>
          <w:rFonts w:eastAsia="Calibri" w:cs="Tahoma"/>
          <w:color w:val="000000"/>
          <w:szCs w:val="18"/>
          <w:lang w:val="de-DE"/>
        </w:rPr>
        <w:t> </w:t>
      </w:r>
      <w:r w:rsidRPr="00BB5519">
        <w:rPr>
          <w:rFonts w:eastAsia="Calibri" w:cs="Tahoma"/>
          <w:color w:val="000000"/>
          <w:szCs w:val="18"/>
          <w:lang w:val="de-DE"/>
        </w:rPr>
        <w:t>Server 2008 R2 Enterprise zu verwenden.</w:t>
      </w:r>
      <w:r w:rsidR="009E4976" w:rsidRPr="00BB5519">
        <w:rPr>
          <w:rFonts w:eastAsia="Calibri" w:cs="Tahoma"/>
          <w:color w:val="000000"/>
          <w:szCs w:val="18"/>
          <w:lang w:val="de-DE"/>
        </w:rPr>
        <w:t xml:space="preserve"> </w:t>
      </w:r>
      <w:r w:rsidRPr="00BB5519">
        <w:rPr>
          <w:rFonts w:eastAsia="Calibri" w:cs="Tahoma"/>
          <w:color w:val="000000"/>
          <w:szCs w:val="18"/>
          <w:lang w:val="de-DE"/>
        </w:rPr>
        <w:t>Kunden, die SQL Server 2008 R2 Enterprise unter Downgraderechten unter nach Verlängerung von Software Assurance erworbenen Lizenzen verwenden, müssen die Software unter den Nutzungsrechten für die lizenzierte Version verwenden.</w:t>
      </w:r>
    </w:p>
    <w:p w:rsidR="00C321B6" w:rsidRPr="00704961" w:rsidRDefault="00C321B6" w:rsidP="00C321B6">
      <w:pPr>
        <w:ind w:left="720"/>
        <w:rPr>
          <w:sz w:val="16"/>
          <w:szCs w:val="16"/>
          <w:lang w:val="de-DE"/>
        </w:rPr>
      </w:pPr>
    </w:p>
    <w:p w:rsidR="00C321B6" w:rsidRPr="00BB5519" w:rsidRDefault="00A81E83" w:rsidP="00704961">
      <w:pPr>
        <w:spacing w:after="40"/>
        <w:ind w:left="720"/>
        <w:rPr>
          <w:lang w:val="de-DE"/>
        </w:rPr>
      </w:pPr>
      <w:r w:rsidRPr="00BB5519">
        <w:rPr>
          <w:rFonts w:eastAsia="Calibri" w:cs="Tahoma"/>
          <w:b/>
          <w:color w:val="000000"/>
          <w:szCs w:val="18"/>
          <w:lang w:val="de-DE"/>
        </w:rPr>
        <w:t>Für Kunden in der Volksrepublik China, die dort Lizenzen und Software Assurance für SQL Server 2008 R2 erwerben</w:t>
      </w:r>
    </w:p>
    <w:p w:rsidR="00A81E83" w:rsidRPr="00BB5519" w:rsidRDefault="00A81E83" w:rsidP="00B46560">
      <w:pPr>
        <w:ind w:left="720"/>
        <w:rPr>
          <w:lang w:val="de-DE"/>
        </w:rPr>
      </w:pPr>
      <w:r w:rsidRPr="00BB5519">
        <w:rPr>
          <w:lang w:val="de-DE"/>
        </w:rPr>
        <w:t>Die Verweise auf den 1. April 2012 in dieser Produktliste sind nicht anwendbar. Das anwendbare Datum für</w:t>
      </w:r>
      <w:r w:rsidR="00B46560">
        <w:rPr>
          <w:lang w:val="de-DE"/>
        </w:rPr>
        <w:t> </w:t>
      </w:r>
      <w:r w:rsidRPr="00BB5519">
        <w:rPr>
          <w:lang w:val="de-DE"/>
        </w:rPr>
        <w:t>diese Kunden ist der 1. Juli 2012.</w:t>
      </w:r>
    </w:p>
    <w:p w:rsidR="00A81E83" w:rsidRPr="00704961" w:rsidRDefault="00A81E83" w:rsidP="00C321B6">
      <w:pPr>
        <w:rPr>
          <w:sz w:val="16"/>
          <w:szCs w:val="16"/>
          <w:lang w:val="de-DE"/>
        </w:rPr>
      </w:pPr>
    </w:p>
    <w:p w:rsidR="00A81E83" w:rsidRPr="00704961" w:rsidRDefault="00A81E83" w:rsidP="00C321B6">
      <w:pPr>
        <w:rPr>
          <w:sz w:val="16"/>
          <w:szCs w:val="16"/>
          <w:lang w:val="de-DE"/>
        </w:rPr>
      </w:pPr>
    </w:p>
    <w:p w:rsidR="00A81E83" w:rsidRPr="00BB5519" w:rsidRDefault="00F66FB0" w:rsidP="00EF5637">
      <w:pPr>
        <w:pStyle w:val="Heading3"/>
        <w:rPr>
          <w:lang w:val="de-DE"/>
        </w:rPr>
      </w:pPr>
      <w:bookmarkStart w:id="1452" w:name="_80_SQL_Server®"/>
      <w:bookmarkStart w:id="1453" w:name="_81_SQL_Server®"/>
      <w:bookmarkStart w:id="1454" w:name="_Toc336338347"/>
      <w:bookmarkStart w:id="1455" w:name="_Toc354055036"/>
      <w:bookmarkStart w:id="1456" w:name="Srv_89SQLServer2012EnterpriseCore"/>
      <w:bookmarkEnd w:id="1452"/>
      <w:bookmarkEnd w:id="1453"/>
      <w:r w:rsidRPr="00BB5519">
        <w:rPr>
          <w:rFonts w:ascii="Tahoma" w:hAnsi="Tahoma"/>
          <w:caps/>
          <w:color w:val="F66400"/>
          <w:sz w:val="22"/>
          <w:vertAlign w:val="superscript"/>
          <w:lang w:val="de-DE"/>
        </w:rPr>
        <w:t xml:space="preserve">81 </w:t>
      </w:r>
      <w:r w:rsidRPr="00BB5519">
        <w:rPr>
          <w:rFonts w:ascii="Tahoma" w:hAnsi="Tahoma"/>
          <w:color w:val="F66400"/>
          <w:sz w:val="22"/>
          <w:lang w:val="de-DE"/>
        </w:rPr>
        <w:t>SQL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2012 Enterprise Core</w:t>
      </w:r>
      <w:bookmarkEnd w:id="1454"/>
      <w:bookmarkEnd w:id="1455"/>
    </w:p>
    <w:bookmarkEnd w:id="1456"/>
    <w:p w:rsidR="00A81E83" w:rsidRPr="00704961" w:rsidRDefault="00A81E83" w:rsidP="00C321B6">
      <w:pPr>
        <w:pStyle w:val="EndnoteText"/>
        <w:rPr>
          <w:sz w:val="16"/>
          <w:szCs w:val="16"/>
          <w:lang w:val="de-DE"/>
        </w:rPr>
      </w:pPr>
    </w:p>
    <w:p w:rsidR="00C321B6" w:rsidRPr="00BB5519" w:rsidRDefault="00A81E83" w:rsidP="00704961">
      <w:pPr>
        <w:spacing w:after="40"/>
        <w:ind w:left="720"/>
        <w:rPr>
          <w:lang w:val="de-DE"/>
        </w:rPr>
      </w:pPr>
      <w:r w:rsidRPr="00BB5519">
        <w:rPr>
          <w:rFonts w:eastAsia="Calibri" w:cs="Tahoma"/>
          <w:b/>
          <w:color w:val="000000"/>
          <w:szCs w:val="18"/>
          <w:lang w:val="de-DE"/>
        </w:rPr>
        <w:t>Verlängerung von Nutzungsrechten für Unbegrenzte Virtualisierung für SQL Server 2008 R2 Enterprise (pro Prozessor)</w:t>
      </w:r>
    </w:p>
    <w:p w:rsidR="00A81E83" w:rsidRPr="00704961" w:rsidRDefault="00A81E83" w:rsidP="00B46560">
      <w:pPr>
        <w:ind w:left="720"/>
        <w:rPr>
          <w:spacing w:val="-4"/>
          <w:lang w:val="de-DE"/>
        </w:rPr>
      </w:pPr>
      <w:r w:rsidRPr="00704961">
        <w:rPr>
          <w:rFonts w:eastAsia="Calibri" w:cs="Tahoma"/>
          <w:color w:val="000000"/>
          <w:spacing w:val="-4"/>
          <w:szCs w:val="18"/>
          <w:lang w:val="de-DE"/>
        </w:rPr>
        <w:t>Ungeachtet gegenteiliger Bestimmungen in den Produktbenutzungsrechten oder früheren Versionen der Produktliste gilt Folgendes: Wenn ein Kunde alle physischen Prozessoren auf einem lizenzierten Server lizenziert hat und aktive Software Assurance für diese Lizenzen aufrechterhält, ist der Kunde berechtigt, die</w:t>
      </w:r>
      <w:r w:rsidR="00B46560" w:rsidRPr="00704961">
        <w:rPr>
          <w:rFonts w:eastAsia="Calibri" w:cs="Tahoma"/>
          <w:color w:val="000000"/>
          <w:spacing w:val="-4"/>
          <w:szCs w:val="18"/>
          <w:lang w:val="de-DE"/>
        </w:rPr>
        <w:t> </w:t>
      </w:r>
      <w:r w:rsidRPr="00704961">
        <w:rPr>
          <w:rFonts w:eastAsia="Calibri" w:cs="Tahoma"/>
          <w:color w:val="000000"/>
          <w:spacing w:val="-4"/>
          <w:szCs w:val="18"/>
          <w:lang w:val="de-DE"/>
        </w:rPr>
        <w:t xml:space="preserve">Serversoftware in einer unbegrenzten Anzahl von Betriebssystemumgebungen auf diesem Server auszuführen. </w:t>
      </w:r>
    </w:p>
    <w:p w:rsidR="00C321B6" w:rsidRPr="00704961" w:rsidRDefault="00C321B6" w:rsidP="00C321B6">
      <w:pPr>
        <w:ind w:left="720"/>
        <w:rPr>
          <w:sz w:val="16"/>
          <w:szCs w:val="16"/>
          <w:lang w:val="de-DE"/>
        </w:rPr>
      </w:pPr>
    </w:p>
    <w:p w:rsidR="00C321B6" w:rsidRPr="00BB5519" w:rsidRDefault="00A81E83" w:rsidP="00704961">
      <w:pPr>
        <w:spacing w:after="40"/>
        <w:ind w:left="720"/>
        <w:rPr>
          <w:lang w:val="de-DE"/>
        </w:rPr>
      </w:pPr>
      <w:r w:rsidRPr="00BB5519">
        <w:rPr>
          <w:rFonts w:eastAsia="Calibri" w:cs="Tahoma"/>
          <w:b/>
          <w:color w:val="000000"/>
          <w:szCs w:val="18"/>
          <w:lang w:val="de-DE"/>
        </w:rPr>
        <w:t>Lizenzgewährungen im Zusammenhang mit der Änderung des Lizenzmodells</w:t>
      </w:r>
    </w:p>
    <w:p w:rsidR="00A81E83" w:rsidRPr="00C6226B" w:rsidRDefault="00A81E83" w:rsidP="00B46560">
      <w:pPr>
        <w:ind w:left="720"/>
        <w:rPr>
          <w:spacing w:val="-2"/>
          <w:lang w:val="de-DE"/>
        </w:rPr>
      </w:pPr>
      <w:r w:rsidRPr="00C6226B">
        <w:rPr>
          <w:rFonts w:eastAsia="Calibri" w:cs="Tahoma"/>
          <w:color w:val="000000"/>
          <w:spacing w:val="-2"/>
          <w:szCs w:val="18"/>
          <w:lang w:val="de-DE"/>
        </w:rPr>
        <w:t>SQL Server 2008 R2 ist die letzte Version von SQL Server, die unter dem Pro-Prozessor-Lizenzmodell lizenziert wird.</w:t>
      </w:r>
      <w:r w:rsidR="009E4976" w:rsidRPr="00C6226B">
        <w:rPr>
          <w:rFonts w:eastAsia="Calibri" w:cs="Tahoma"/>
          <w:color w:val="000000"/>
          <w:spacing w:val="-2"/>
          <w:szCs w:val="18"/>
          <w:lang w:val="de-DE"/>
        </w:rPr>
        <w:t xml:space="preserve"> </w:t>
      </w:r>
      <w:r w:rsidRPr="00C6226B">
        <w:rPr>
          <w:rFonts w:eastAsia="Calibri" w:cs="Tahoma"/>
          <w:color w:val="000000"/>
          <w:spacing w:val="-2"/>
          <w:szCs w:val="18"/>
          <w:lang w:val="de-DE"/>
        </w:rPr>
        <w:t>Als Ausnahme erhalten Volumenlizenzkunden, die am 1. April 2012 über aktive Software Assurance für SQL Server 2008 R2 Enterprise-Prozessorlizenzen („qualifizierende Lizenzen“) verfügen, die</w:t>
      </w:r>
      <w:r w:rsidR="00B46560" w:rsidRPr="00C6226B">
        <w:rPr>
          <w:rFonts w:eastAsia="Calibri" w:cs="Tahoma"/>
          <w:color w:val="000000"/>
          <w:spacing w:val="-2"/>
          <w:szCs w:val="18"/>
          <w:lang w:val="de-DE"/>
        </w:rPr>
        <w:t> </w:t>
      </w:r>
      <w:r w:rsidRPr="00C6226B">
        <w:rPr>
          <w:rFonts w:eastAsia="Calibri" w:cs="Tahoma"/>
          <w:color w:val="000000"/>
          <w:spacing w:val="-2"/>
          <w:szCs w:val="18"/>
          <w:lang w:val="de-DE"/>
        </w:rPr>
        <w:t>folgenden Optionen. SQL Server 2008 R2 Enterprise-Prozessor</w:t>
      </w:r>
      <w:r w:rsidRPr="00C6226B">
        <w:rPr>
          <w:rFonts w:cs="Tahoma"/>
          <w:bCs/>
          <w:color w:val="000000"/>
          <w:spacing w:val="-2"/>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9E4976" w:rsidRPr="00C6226B">
        <w:rPr>
          <w:rFonts w:cs="Tahoma"/>
          <w:bCs/>
          <w:color w:val="000000"/>
          <w:spacing w:val="-2"/>
          <w:szCs w:val="18"/>
          <w:lang w:val="de-DE"/>
        </w:rPr>
        <w:t xml:space="preserve"> </w:t>
      </w:r>
      <w:r w:rsidRPr="00C6226B">
        <w:rPr>
          <w:rFonts w:cs="Tahoma"/>
          <w:bCs/>
          <w:color w:val="000000"/>
          <w:spacing w:val="-2"/>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F94F25" w:rsidRPr="00BB5519" w:rsidRDefault="00F94F25" w:rsidP="00F94F25">
      <w:pPr>
        <w:spacing w:after="60"/>
        <w:ind w:left="720"/>
        <w:rPr>
          <w:lang w:val="de-DE"/>
        </w:rPr>
      </w:pPr>
      <w:r w:rsidRPr="00BB5519">
        <w:rPr>
          <w:rFonts w:eastAsia="Calibri" w:cs="Tahoma"/>
          <w:b/>
          <w:color w:val="000000"/>
          <w:szCs w:val="18"/>
          <w:lang w:val="de-DE"/>
        </w:rPr>
        <w:lastRenderedPageBreak/>
        <w:t>Aktuelle Laufzeit</w:t>
      </w:r>
    </w:p>
    <w:p w:rsidR="00A81E83" w:rsidRPr="00BB5519" w:rsidRDefault="00A81E83" w:rsidP="00B46560">
      <w:pPr>
        <w:ind w:left="720"/>
        <w:rPr>
          <w:lang w:val="de-DE"/>
        </w:rPr>
      </w:pPr>
      <w:r w:rsidRPr="00BB5519">
        <w:rPr>
          <w:rFonts w:eastAsia="Calibri" w:cs="Tahoma"/>
          <w:color w:val="000000"/>
          <w:szCs w:val="18"/>
          <w:lang w:val="de-DE"/>
        </w:rPr>
        <w:t>Während der aktuellen Laufzeit ihrer Software Assurance zum 1. April 2012 sind Kunden (einschließlich Kunden mit Abonnementverträgen) unter qualifizierenden Lizenzen berechtigt, vorbehaltlich der Produktbenutzungsrechte für SQL Server 2008 R2 Enterprise-Prozessorlizenzen (wie in den Produktbenutzungsrechten von Januar 2012 dargestellt) auf SQL Server 2012 Enterprise Core-Software</w:t>
      </w:r>
      <w:r w:rsidR="00B46560">
        <w:rPr>
          <w:rFonts w:eastAsia="Calibri" w:cs="Tahoma"/>
          <w:color w:val="000000"/>
          <w:szCs w:val="18"/>
          <w:lang w:val="de-DE"/>
        </w:rPr>
        <w:t> </w:t>
      </w:r>
      <w:r w:rsidRPr="00BB5519">
        <w:rPr>
          <w:rFonts w:eastAsia="Calibri" w:cs="Tahoma"/>
          <w:color w:val="000000"/>
          <w:szCs w:val="18"/>
          <w:lang w:val="de-DE"/>
        </w:rPr>
        <w:t xml:space="preserve">anstelle von SQL Server 2008 R2 Enterprise upzugraden und diese zu verwenden. </w:t>
      </w:r>
    </w:p>
    <w:p w:rsidR="00F94F25" w:rsidRPr="00BB5519" w:rsidRDefault="00F94F25" w:rsidP="00F94F25">
      <w:pPr>
        <w:ind w:left="720"/>
        <w:rPr>
          <w:lang w:val="de-DE"/>
        </w:rPr>
      </w:pPr>
    </w:p>
    <w:p w:rsidR="00F94F25" w:rsidRPr="00BB5519" w:rsidRDefault="00A81E83" w:rsidP="00F94F25">
      <w:pPr>
        <w:spacing w:after="60"/>
        <w:ind w:left="720"/>
        <w:rPr>
          <w:lang w:val="de-DE"/>
        </w:rPr>
      </w:pPr>
      <w:r w:rsidRPr="00BB5519">
        <w:rPr>
          <w:rFonts w:eastAsia="Calibri" w:cs="Tahoma"/>
          <w:b/>
          <w:color w:val="000000"/>
          <w:szCs w:val="18"/>
          <w:lang w:val="de-DE"/>
        </w:rPr>
        <w:t>Erster Verlängerungszeitraum (vor dem 1. April 2015)</w:t>
      </w:r>
    </w:p>
    <w:p w:rsidR="00A81E83" w:rsidRPr="00BB5519" w:rsidRDefault="00A81E83" w:rsidP="00B46560">
      <w:pPr>
        <w:tabs>
          <w:tab w:val="left" w:pos="1440"/>
        </w:tabs>
        <w:ind w:left="720"/>
        <w:rPr>
          <w:lang w:val="de-DE"/>
        </w:rPr>
      </w:pPr>
      <w:r w:rsidRPr="00BB5519">
        <w:rPr>
          <w:rFonts w:eastAsia="Calibri" w:cs="Tahoma"/>
          <w:color w:val="000000"/>
          <w:szCs w:val="18"/>
          <w:lang w:val="de-DE"/>
        </w:rPr>
        <w:t>Bei der ersten Software Assurance-Verlängerung am oder nach dem 1. April 2012 (jedoch vor dem</w:t>
      </w:r>
      <w:r w:rsidR="00B46560">
        <w:rPr>
          <w:rFonts w:eastAsia="Calibri" w:cs="Tahoma"/>
          <w:color w:val="000000"/>
          <w:szCs w:val="18"/>
          <w:lang w:val="de-DE"/>
        </w:rPr>
        <w:t> </w:t>
      </w:r>
      <w:r w:rsidRPr="00BB5519">
        <w:rPr>
          <w:rFonts w:eastAsia="Calibri" w:cs="Tahoma"/>
          <w:color w:val="000000"/>
          <w:szCs w:val="18"/>
          <w:lang w:val="de-DE"/>
        </w:rPr>
        <w:t>1. April 2015) ist ein Kunde berechtigt, für jeden Server, den der Kunde unter den Produktbenutzungsrechten für SQL Server 2008 R2-Prozessorlizenzen ordnungsgemäß lizenziert hat, Software Assurance für SQL Server Enterprise-Core-Lizenzen zu erwerben, ohne die zugrunde liegenden Core-Lizenzen für die Anzahl der Core-Lizenzen erwerben zu müssen, die der Summe von (a) und (b) entspricht:</w:t>
      </w:r>
    </w:p>
    <w:p w:rsidR="002512D3" w:rsidRPr="00BB5519" w:rsidRDefault="002512D3">
      <w:pPr>
        <w:rPr>
          <w:lang w:val="de-DE"/>
        </w:rPr>
      </w:pPr>
    </w:p>
    <w:p w:rsidR="00A81E83" w:rsidRPr="00BB5519" w:rsidRDefault="00A81E83" w:rsidP="00F94F25">
      <w:pPr>
        <w:numPr>
          <w:ilvl w:val="0"/>
          <w:numId w:val="144"/>
        </w:numPr>
        <w:tabs>
          <w:tab w:val="left" w:pos="1800"/>
        </w:tabs>
        <w:spacing w:after="60"/>
        <w:ind w:left="1440"/>
        <w:rPr>
          <w:lang w:val="de-DE"/>
        </w:rPr>
      </w:pPr>
      <w:r w:rsidRPr="00BB5519">
        <w:rPr>
          <w:rFonts w:eastAsia="Calibri" w:cs="Tahoma"/>
          <w:color w:val="000000"/>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BB5519" w:rsidRDefault="00A81E83" w:rsidP="00F94F25">
      <w:pPr>
        <w:numPr>
          <w:ilvl w:val="3"/>
          <w:numId w:val="112"/>
        </w:numPr>
        <w:tabs>
          <w:tab w:val="left" w:pos="2160"/>
        </w:tabs>
        <w:spacing w:after="60"/>
        <w:ind w:left="2160"/>
      </w:pPr>
      <w:r w:rsidRPr="00BB5519">
        <w:rPr>
          <w:rFonts w:eastAsia="Calibri" w:cs="Tahoma"/>
          <w:color w:val="000000"/>
          <w:szCs w:val="18"/>
        </w:rPr>
        <w:t>vier ODER</w:t>
      </w:r>
    </w:p>
    <w:p w:rsidR="00A81E83" w:rsidRPr="00BB5519" w:rsidRDefault="00A81E83" w:rsidP="00F94F25">
      <w:pPr>
        <w:numPr>
          <w:ilvl w:val="3"/>
          <w:numId w:val="112"/>
        </w:numPr>
        <w:tabs>
          <w:tab w:val="left" w:pos="2160"/>
        </w:tabs>
        <w:spacing w:after="60"/>
        <w:ind w:left="2160"/>
        <w:rPr>
          <w:lang w:val="de-DE"/>
        </w:rPr>
      </w:pPr>
      <w:r w:rsidRPr="00BB5519">
        <w:rPr>
          <w:rFonts w:eastAsia="Calibri" w:cs="Tahoma"/>
          <w:color w:val="000000"/>
          <w:szCs w:val="18"/>
          <w:lang w:val="de-DE"/>
        </w:rPr>
        <w:t>der tatsächlichen Anzahl von Cores pro physischem Prozessor multipliziert mit dem entsprechenden Core-Faktor.</w:t>
      </w:r>
      <w:r w:rsidR="009E4976" w:rsidRPr="00BB5519">
        <w:rPr>
          <w:rFonts w:eastAsia="Calibri" w:cs="Tahoma"/>
          <w:color w:val="000000"/>
          <w:szCs w:val="18"/>
          <w:lang w:val="de-DE"/>
        </w:rPr>
        <w:t xml:space="preserve"> </w:t>
      </w:r>
      <w:r w:rsidRPr="00BB5519">
        <w:rPr>
          <w:rFonts w:eastAsia="Calibri" w:cs="Tahoma"/>
          <w:color w:val="000000"/>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BB5519" w:rsidRDefault="00A81E83" w:rsidP="00F94F25">
      <w:pPr>
        <w:numPr>
          <w:ilvl w:val="0"/>
          <w:numId w:val="144"/>
        </w:numPr>
        <w:tabs>
          <w:tab w:val="left" w:pos="1800"/>
        </w:tabs>
        <w:spacing w:after="60"/>
        <w:ind w:left="1440"/>
        <w:rPr>
          <w:lang w:val="de-DE"/>
        </w:rPr>
      </w:pPr>
      <w:r w:rsidRPr="00BB5519">
        <w:rPr>
          <w:rFonts w:eastAsia="Calibri" w:cs="Tahoma"/>
          <w:color w:val="000000"/>
          <w:szCs w:val="18"/>
          <w:lang w:val="de-DE"/>
        </w:rPr>
        <w:t>eine Anzahl, die der Anzahl von dem Server zugewiesenen qualifizierenden Lizenzen entspricht, die die tatsächliche Anzahl physischer Prozessoren auf dem Server übersteigen, multipliziert mit vier.</w:t>
      </w:r>
    </w:p>
    <w:p w:rsidR="00F94F25" w:rsidRPr="00BB5519" w:rsidRDefault="00F94F25" w:rsidP="00F94F25">
      <w:pPr>
        <w:tabs>
          <w:tab w:val="left" w:pos="1800"/>
        </w:tabs>
        <w:ind w:left="1080"/>
        <w:rPr>
          <w:lang w:val="de-DE"/>
        </w:rPr>
      </w:pPr>
    </w:p>
    <w:p w:rsidR="00F94F25" w:rsidRPr="00BB5519" w:rsidRDefault="007A34E3" w:rsidP="00F94F25">
      <w:pPr>
        <w:spacing w:after="60"/>
        <w:ind w:left="720"/>
        <w:rPr>
          <w:lang w:val="de-DE"/>
        </w:rPr>
      </w:pPr>
      <w:r w:rsidRPr="00BB5519">
        <w:rPr>
          <w:rFonts w:eastAsia="Calibri" w:cs="Tahoma"/>
          <w:b/>
          <w:color w:val="000000"/>
          <w:szCs w:val="18"/>
          <w:lang w:val="de-DE"/>
        </w:rPr>
        <w:t>Erster Verlängerungszeitraum am oder nach dem 1. April 2015</w:t>
      </w:r>
    </w:p>
    <w:p w:rsidR="00A81E83" w:rsidRPr="00BB5519" w:rsidRDefault="00A81E83" w:rsidP="00B46560">
      <w:pPr>
        <w:ind w:left="720"/>
        <w:rPr>
          <w:lang w:val="de-DE"/>
        </w:rPr>
      </w:pPr>
      <w:r w:rsidRPr="00BB5519">
        <w:rPr>
          <w:rFonts w:eastAsia="Calibri" w:cs="Tahoma"/>
          <w:color w:val="000000"/>
          <w:szCs w:val="18"/>
          <w:lang w:val="de-DE"/>
        </w:rPr>
        <w:t>Kunden, die Software Assurance am oder nach dem 1. April 2015</w:t>
      </w:r>
      <w:r w:rsidRPr="00BB5519">
        <w:rPr>
          <w:rFonts w:eastAsia="Calibri" w:cs="Tahoma"/>
          <w:szCs w:val="18"/>
          <w:lang w:val="de-DE"/>
        </w:rPr>
        <w:t xml:space="preserve"> erstmals verlängern, sind berechtigt, für</w:t>
      </w:r>
      <w:r w:rsidR="00B46560">
        <w:rPr>
          <w:rFonts w:eastAsia="Calibri" w:cs="Tahoma"/>
          <w:szCs w:val="18"/>
          <w:lang w:val="de-DE"/>
        </w:rPr>
        <w:t> </w:t>
      </w:r>
      <w:r w:rsidRPr="00BB5519">
        <w:rPr>
          <w:rFonts w:eastAsia="Calibri" w:cs="Tahoma"/>
          <w:szCs w:val="18"/>
          <w:lang w:val="de-DE"/>
        </w:rPr>
        <w:t>jeden Server, der unter Produktbenutzungsrechten für SQL Server 2008 R2-Prozessorlizenzen ordnungsgemäß lizenziert ist, Software Assurance wie folgt zu erwerben:</w:t>
      </w:r>
    </w:p>
    <w:p w:rsidR="00F94F25" w:rsidRPr="00BB5519" w:rsidRDefault="00F94F25" w:rsidP="00F94F25">
      <w:pPr>
        <w:ind w:left="720"/>
        <w:rPr>
          <w:lang w:val="de-DE"/>
        </w:rPr>
      </w:pPr>
    </w:p>
    <w:p w:rsidR="00A81E83" w:rsidRPr="00BB5519" w:rsidRDefault="00A81E83" w:rsidP="00F94F25">
      <w:pPr>
        <w:numPr>
          <w:ilvl w:val="3"/>
          <w:numId w:val="113"/>
        </w:numPr>
        <w:spacing w:after="60"/>
        <w:ind w:left="1440" w:hanging="360"/>
      </w:pPr>
      <w:r w:rsidRPr="00BB551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BB5519">
        <w:rPr>
          <w:rFonts w:eastAsia="Calibri" w:cs="Tahoma"/>
          <w:szCs w:val="18"/>
        </w:rPr>
        <w:t xml:space="preserve">April 2015)“ zu verlängern, und </w:t>
      </w:r>
    </w:p>
    <w:p w:rsidR="00A81E83" w:rsidRPr="00BB5519" w:rsidRDefault="00A81E83" w:rsidP="00F94F25">
      <w:pPr>
        <w:numPr>
          <w:ilvl w:val="3"/>
          <w:numId w:val="113"/>
        </w:numPr>
        <w:spacing w:after="60"/>
        <w:ind w:left="1440" w:hanging="360"/>
        <w:rPr>
          <w:lang w:val="de-DE"/>
        </w:rPr>
      </w:pPr>
      <w:r w:rsidRPr="00BB5519">
        <w:rPr>
          <w:rFonts w:eastAsia="Calibri" w:cs="Tahoma"/>
          <w:szCs w:val="18"/>
          <w:lang w:val="de-DE"/>
        </w:rPr>
        <w:t>für Lizenzen, die nach dem 1. April 2015 erworben wurden, sind Kunden berechtigt, Software Assurance für vier SQL Server Enterprise-Core-Lizenzen zu verlängern, ohne die zugrunde liegenden Core-Lizenzen für jede SQL Server 2008 R2 Enterprise-Prozessorlizenz zu erwerben. Für die kontinuierliche Verwendung von SQL Server 2012 auf Prozessoren, die mehr als vier Core-Lizenzen pro Prozessor erfordern, muss der Kunde die zusätzlichen Core-Lizenzen erwerben.</w:t>
      </w:r>
    </w:p>
    <w:p w:rsidR="00A81E83" w:rsidRPr="00BB5519" w:rsidRDefault="00A81E83" w:rsidP="00F94F25">
      <w:pPr>
        <w:numPr>
          <w:ilvl w:val="0"/>
          <w:numId w:val="64"/>
        </w:numPr>
        <w:spacing w:after="60"/>
        <w:ind w:left="1440"/>
        <w:rPr>
          <w:lang w:val="de-DE"/>
        </w:rPr>
      </w:pPr>
      <w:r w:rsidRPr="00BB5519">
        <w:rPr>
          <w:rFonts w:eastAsia="Calibri" w:cs="Tahoma"/>
          <w:color w:val="000000"/>
          <w:szCs w:val="18"/>
          <w:lang w:val="de-DE"/>
        </w:rPr>
        <w:t xml:space="preserve">Die Prozessorlizenzen des Kunden sind bei Erwerb von Software Assurance für Core-Lizenzen unter diesem Angebot nicht mehr gültig. </w:t>
      </w:r>
      <w:r w:rsidRPr="00BB5519">
        <w:rPr>
          <w:rFonts w:eastAsia="Calibri" w:cs="Tahoma"/>
          <w:szCs w:val="18"/>
          <w:lang w:val="de-DE"/>
        </w:rPr>
        <w:t>Die Option zum Erwerb von Core-Lizenzen für Software Assurance für SQL Server ist nicht auf die Software Assurance-Verlängerung unter Abonnementprogrammen anwendbar.</w:t>
      </w:r>
      <w:r w:rsidR="009E4976" w:rsidRPr="00BB5519">
        <w:rPr>
          <w:rFonts w:eastAsia="Calibri" w:cs="Tahoma"/>
          <w:szCs w:val="18"/>
          <w:lang w:val="de-DE"/>
        </w:rPr>
        <w:t xml:space="preserve"> </w:t>
      </w:r>
    </w:p>
    <w:p w:rsidR="00F94F25" w:rsidRDefault="00F94F25" w:rsidP="00F94F25">
      <w:pPr>
        <w:ind w:left="1440"/>
        <w:rPr>
          <w:lang w:val="de-DE"/>
        </w:rPr>
      </w:pPr>
    </w:p>
    <w:p w:rsidR="00E30AB2" w:rsidRDefault="00E30AB2" w:rsidP="00F94F25">
      <w:pPr>
        <w:ind w:left="1440"/>
        <w:rPr>
          <w:lang w:val="de-DE"/>
        </w:rPr>
      </w:pPr>
    </w:p>
    <w:p w:rsidR="00E30AB2" w:rsidRDefault="00E30AB2" w:rsidP="00F94F25">
      <w:pPr>
        <w:ind w:left="1440"/>
        <w:rPr>
          <w:lang w:val="de-DE"/>
        </w:rPr>
      </w:pPr>
    </w:p>
    <w:p w:rsidR="00E30AB2" w:rsidRDefault="00E30AB2" w:rsidP="00F94F25">
      <w:pPr>
        <w:ind w:left="1440"/>
        <w:rPr>
          <w:lang w:val="de-DE"/>
        </w:rPr>
      </w:pPr>
    </w:p>
    <w:p w:rsidR="00E30AB2" w:rsidRDefault="00E30AB2" w:rsidP="00F94F25">
      <w:pPr>
        <w:ind w:left="1440"/>
        <w:rPr>
          <w:lang w:val="de-DE"/>
        </w:rPr>
      </w:pPr>
    </w:p>
    <w:p w:rsidR="00E30AB2" w:rsidRDefault="00E30AB2" w:rsidP="00F94F25">
      <w:pPr>
        <w:ind w:left="1440"/>
        <w:rPr>
          <w:lang w:val="de-DE"/>
        </w:rPr>
      </w:pPr>
    </w:p>
    <w:p w:rsidR="00E30AB2" w:rsidRDefault="00E30AB2" w:rsidP="00F94F25">
      <w:pPr>
        <w:ind w:left="1440"/>
        <w:rPr>
          <w:lang w:val="de-DE"/>
        </w:rPr>
      </w:pPr>
    </w:p>
    <w:p w:rsidR="00E30AB2" w:rsidRPr="00BB5519" w:rsidRDefault="00E30AB2" w:rsidP="00F94F25">
      <w:pPr>
        <w:ind w:left="1440"/>
        <w:rPr>
          <w:lang w:val="de-DE"/>
        </w:rPr>
      </w:pPr>
    </w:p>
    <w:p w:rsidR="00204D6D" w:rsidRPr="00BB5519" w:rsidRDefault="00A81E83" w:rsidP="00204D6D">
      <w:pPr>
        <w:tabs>
          <w:tab w:val="left" w:pos="1440"/>
        </w:tabs>
        <w:spacing w:after="60"/>
        <w:ind w:left="720"/>
        <w:rPr>
          <w:lang w:val="de-DE"/>
        </w:rPr>
      </w:pPr>
      <w:r w:rsidRPr="00BB5519">
        <w:rPr>
          <w:rFonts w:eastAsia="Calibri" w:cs="Tahoma"/>
          <w:b/>
          <w:color w:val="000000"/>
          <w:szCs w:val="18"/>
          <w:lang w:val="de-DE"/>
        </w:rPr>
        <w:lastRenderedPageBreak/>
        <w:t>Für Kunden mit Software Assurance, die vor dem 1. April 2015 abläuft, die sich gegen eine Verlängerung entscheiden</w:t>
      </w:r>
    </w:p>
    <w:p w:rsidR="00A81E83" w:rsidRPr="00BB5519" w:rsidRDefault="00A81E83" w:rsidP="00B46560">
      <w:pPr>
        <w:tabs>
          <w:tab w:val="left" w:pos="1440"/>
        </w:tabs>
        <w:ind w:left="720"/>
        <w:rPr>
          <w:lang w:val="de-DE"/>
        </w:rPr>
      </w:pPr>
      <w:r w:rsidRPr="00BB5519">
        <w:rPr>
          <w:rFonts w:eastAsia="Calibri" w:cs="Tahoma"/>
          <w:color w:val="000000"/>
          <w:szCs w:val="18"/>
          <w:lang w:val="de-DE"/>
        </w:rPr>
        <w:t xml:space="preserve">Konzern-Abonnement- </w:t>
      </w:r>
      <w:r w:rsidRPr="00BB5519">
        <w:rPr>
          <w:rFonts w:cs="Tahoma"/>
          <w:bCs/>
          <w:color w:val="000000"/>
          <w:szCs w:val="18"/>
          <w:lang w:val="de-DE"/>
        </w:rPr>
        <w:t>und Open Value Subscription-</w:t>
      </w:r>
      <w:r w:rsidRPr="00BB5519">
        <w:rPr>
          <w:rFonts w:eastAsia="Calibri" w:cs="Tahoma"/>
          <w:color w:val="000000"/>
          <w:szCs w:val="18"/>
          <w:lang w:val="de-DE"/>
        </w:rPr>
        <w:t>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w:t>
      </w:r>
      <w:r w:rsidR="00B46560">
        <w:rPr>
          <w:rFonts w:eastAsia="Calibri" w:cs="Tahoma"/>
          <w:color w:val="000000"/>
          <w:szCs w:val="18"/>
          <w:lang w:val="de-DE"/>
        </w:rPr>
        <w:t> </w:t>
      </w:r>
      <w:r w:rsidRPr="00BB5519">
        <w:rPr>
          <w:rFonts w:eastAsia="Calibri" w:cs="Tahoma"/>
          <w:color w:val="000000"/>
          <w:szCs w:val="18"/>
          <w:lang w:val="de-DE"/>
        </w:rPr>
        <w:t>diesen Lizenzen auszuführen:</w:t>
      </w:r>
    </w:p>
    <w:p w:rsidR="00204D6D" w:rsidRPr="00BB5519" w:rsidRDefault="00204D6D" w:rsidP="00204D6D">
      <w:pPr>
        <w:tabs>
          <w:tab w:val="left" w:pos="1440"/>
        </w:tabs>
        <w:ind w:left="720"/>
        <w:rPr>
          <w:lang w:val="de-DE"/>
        </w:rPr>
      </w:pPr>
    </w:p>
    <w:p w:rsidR="00A81E83" w:rsidRPr="00BB5519" w:rsidRDefault="00A81E83" w:rsidP="00204D6D">
      <w:pPr>
        <w:numPr>
          <w:ilvl w:val="0"/>
          <w:numId w:val="67"/>
        </w:numPr>
        <w:spacing w:after="60"/>
        <w:ind w:left="1440"/>
        <w:rPr>
          <w:lang w:val="de-DE"/>
        </w:rPr>
      </w:pPr>
      <w:r w:rsidRPr="00BB5519">
        <w:rPr>
          <w:rFonts w:eastAsia="Calibri" w:cs="Tahoma"/>
          <w:b/>
          <w:color w:val="000000"/>
          <w:szCs w:val="18"/>
          <w:lang w:val="de-DE"/>
        </w:rPr>
        <w:t>SQL Server 2008 R2 Enterprise:</w:t>
      </w:r>
      <w:r w:rsidRPr="00BB5519">
        <w:rPr>
          <w:rFonts w:eastAsia="Calibri" w:cs="Tahoma"/>
          <w:color w:val="000000"/>
          <w:szCs w:val="18"/>
          <w:lang w:val="de-DE"/>
        </w:rPr>
        <w:t xml:space="preserve"> Die kontinuierliche Verwendung dieser Version der Software unterliegt den Produktbenutzungsrechten für SQL Server 2008 R2 Enterprise-Prozessorlizenzen; Kunden verfügen jedoch nicht mehr über Nutzungsrechte für Unbegrenzte Virtualisierung oder Lizenzmobilität durch Software Assurance. </w:t>
      </w:r>
    </w:p>
    <w:p w:rsidR="00A81E83" w:rsidRPr="00BB5519" w:rsidRDefault="00A81E83" w:rsidP="00204D6D">
      <w:pPr>
        <w:numPr>
          <w:ilvl w:val="0"/>
          <w:numId w:val="67"/>
        </w:numPr>
        <w:tabs>
          <w:tab w:val="left" w:pos="1800"/>
        </w:tabs>
        <w:spacing w:after="60"/>
        <w:ind w:left="1440"/>
        <w:rPr>
          <w:lang w:val="de-DE"/>
        </w:rPr>
      </w:pPr>
      <w:r w:rsidRPr="00BB5519">
        <w:rPr>
          <w:rFonts w:eastAsia="Calibri" w:cs="Tahoma"/>
          <w:b/>
          <w:color w:val="000000"/>
          <w:szCs w:val="18"/>
          <w:lang w:val="de-DE"/>
        </w:rPr>
        <w:t>SQL Server 2012 Enterprise Core:</w:t>
      </w:r>
      <w:r w:rsidRPr="00B46560">
        <w:rPr>
          <w:rFonts w:eastAsia="Calibri" w:cs="Tahoma"/>
          <w:bCs/>
          <w:color w:val="000000"/>
          <w:szCs w:val="18"/>
          <w:lang w:val="de-DE"/>
        </w:rPr>
        <w:t xml:space="preserve"> </w:t>
      </w:r>
      <w:r w:rsidRPr="00BB5519">
        <w:rPr>
          <w:rFonts w:eastAsia="Calibri" w:cs="Tahoma"/>
          <w:color w:val="000000"/>
          <w:szCs w:val="18"/>
          <w:lang w:val="de-DE"/>
        </w:rPr>
        <w:t xml:space="preserve">Die Verwendung dieser Version der Software unterliegt den Produktbenutzungsrechten für SQL Server 2008 R2 Enterprise-Prozessorlizenzen, jedoch mit folgenden Einschränkungen: </w:t>
      </w:r>
    </w:p>
    <w:p w:rsidR="00A81E83" w:rsidRPr="00BB5519" w:rsidRDefault="00A81E83" w:rsidP="00204D6D">
      <w:pPr>
        <w:numPr>
          <w:ilvl w:val="1"/>
          <w:numId w:val="67"/>
        </w:numPr>
        <w:tabs>
          <w:tab w:val="left" w:pos="2160"/>
        </w:tabs>
        <w:spacing w:after="60"/>
        <w:ind w:left="2160"/>
        <w:rPr>
          <w:lang w:val="de-DE"/>
        </w:rPr>
      </w:pPr>
      <w:r w:rsidRPr="00BB5519">
        <w:rPr>
          <w:rFonts w:eastAsia="Calibri" w:cs="Tahoma"/>
          <w:color w:val="000000"/>
          <w:szCs w:val="18"/>
          <w:lang w:val="de-DE"/>
        </w:rPr>
        <w:t xml:space="preserve">Kunden verfügen nicht mehr über Nutzungsrechte für Unbegrenzte Virtualisierung, Lizenzmobilität innerhalb von Serverfarmen oder Lizenzmobilität durch Software Assurance, und </w:t>
      </w:r>
    </w:p>
    <w:p w:rsidR="00A81E83" w:rsidRPr="00B46560" w:rsidRDefault="00A81E83" w:rsidP="00B46560">
      <w:pPr>
        <w:numPr>
          <w:ilvl w:val="1"/>
          <w:numId w:val="67"/>
        </w:numPr>
        <w:tabs>
          <w:tab w:val="left" w:pos="2160"/>
          <w:tab w:val="left" w:pos="2970"/>
        </w:tabs>
        <w:spacing w:after="60"/>
        <w:ind w:left="2160"/>
        <w:rPr>
          <w:lang w:val="de-DE"/>
        </w:rPr>
      </w:pPr>
      <w:r w:rsidRPr="00BB5519">
        <w:rPr>
          <w:rFonts w:eastAsia="Calibri" w:cs="Tahoma"/>
          <w:color w:val="000000"/>
          <w:szCs w:val="18"/>
          <w:lang w:val="de-DE"/>
        </w:rPr>
        <w:t>Neuzuweisungen von Lizenzen unterliegen den Beschränkungen unten unter (i) und (ii) in</w:t>
      </w:r>
      <w:r w:rsidR="00B46560">
        <w:rPr>
          <w:rFonts w:eastAsia="Calibri" w:cs="Tahoma"/>
          <w:color w:val="000000"/>
          <w:szCs w:val="18"/>
          <w:lang w:val="de-DE"/>
        </w:rPr>
        <w:t> </w:t>
      </w:r>
      <w:r w:rsidRPr="00BB5519">
        <w:rPr>
          <w:rFonts w:eastAsia="Calibri" w:cs="Tahoma"/>
          <w:color w:val="000000"/>
          <w:szCs w:val="18"/>
          <w:lang w:val="de-DE"/>
        </w:rPr>
        <w:t xml:space="preserve">Bezug auf ihre „Core-Lizenzäquivalenz“. </w:t>
      </w:r>
      <w:r w:rsidRPr="00B46560">
        <w:rPr>
          <w:rFonts w:eastAsia="Calibri" w:cs="Tahoma"/>
          <w:color w:val="000000"/>
          <w:szCs w:val="18"/>
          <w:lang w:val="de-DE"/>
        </w:rPr>
        <w:t xml:space="preserve">Die Core-Lizenzäquivalenz wird wie folgt bestimmt. </w:t>
      </w:r>
    </w:p>
    <w:p w:rsidR="00A81E83" w:rsidRPr="00BB5519" w:rsidRDefault="00A81E83" w:rsidP="00204D6D">
      <w:pPr>
        <w:numPr>
          <w:ilvl w:val="2"/>
          <w:numId w:val="67"/>
        </w:numPr>
        <w:tabs>
          <w:tab w:val="left" w:pos="2520"/>
        </w:tabs>
        <w:spacing w:after="60"/>
        <w:ind w:left="2520"/>
        <w:rPr>
          <w:lang w:val="de-DE"/>
        </w:rPr>
      </w:pPr>
      <w:r w:rsidRPr="00BB5519">
        <w:rPr>
          <w:rFonts w:eastAsia="Calibri" w:cs="Tahoma"/>
          <w:color w:val="000000"/>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w:t>
      </w:r>
      <w:r w:rsidR="00B46560">
        <w:rPr>
          <w:rFonts w:eastAsia="Calibri" w:cs="Tahoma"/>
          <w:color w:val="000000"/>
          <w:szCs w:val="18"/>
          <w:lang w:val="de-DE"/>
        </w:rPr>
        <w:br/>
      </w:r>
      <w:r w:rsidRPr="00BB5519">
        <w:rPr>
          <w:rFonts w:eastAsia="Calibri" w:cs="Tahoma"/>
          <w:color w:val="000000"/>
          <w:szCs w:val="18"/>
          <w:lang w:val="de-DE"/>
        </w:rPr>
        <w:t xml:space="preserve">Core-Lizenzäquivalenz dem größeren Wert folgender Zahlen: </w:t>
      </w:r>
    </w:p>
    <w:p w:rsidR="00A81E83" w:rsidRPr="00BB5519" w:rsidRDefault="00A81E83" w:rsidP="00204D6D">
      <w:pPr>
        <w:numPr>
          <w:ilvl w:val="4"/>
          <w:numId w:val="64"/>
        </w:numPr>
        <w:tabs>
          <w:tab w:val="left" w:pos="2880"/>
        </w:tabs>
        <w:spacing w:after="60"/>
        <w:ind w:left="2880"/>
      </w:pPr>
      <w:r w:rsidRPr="00BB5519">
        <w:rPr>
          <w:rFonts w:eastAsia="Calibri" w:cs="Tahoma"/>
          <w:color w:val="000000"/>
          <w:szCs w:val="18"/>
        </w:rPr>
        <w:t xml:space="preserve">vier Cores pro Prozessorlizenz ODER </w:t>
      </w:r>
    </w:p>
    <w:p w:rsidR="00A81E83" w:rsidRPr="00BB5519" w:rsidRDefault="00A81E83" w:rsidP="00204D6D">
      <w:pPr>
        <w:numPr>
          <w:ilvl w:val="4"/>
          <w:numId w:val="64"/>
        </w:numPr>
        <w:tabs>
          <w:tab w:val="left" w:pos="2880"/>
        </w:tabs>
        <w:spacing w:after="60"/>
        <w:ind w:left="2880"/>
        <w:rPr>
          <w:lang w:val="de-DE"/>
        </w:rPr>
      </w:pPr>
      <w:r w:rsidRPr="00BB5519">
        <w:rPr>
          <w:rFonts w:eastAsia="Calibri" w:cs="Tahoma"/>
          <w:color w:val="000000"/>
          <w:szCs w:val="18"/>
          <w:lang w:val="de-DE"/>
        </w:rP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BB5519" w:rsidRDefault="00A81E83" w:rsidP="00204D6D">
      <w:pPr>
        <w:numPr>
          <w:ilvl w:val="2"/>
          <w:numId w:val="67"/>
        </w:numPr>
        <w:tabs>
          <w:tab w:val="left" w:pos="2520"/>
        </w:tabs>
        <w:spacing w:after="60"/>
        <w:ind w:left="2520"/>
        <w:rPr>
          <w:lang w:val="de-DE"/>
        </w:rPr>
      </w:pPr>
      <w:r w:rsidRPr="00BB5519">
        <w:rPr>
          <w:rFonts w:eastAsia="Calibri" w:cs="Tahoma"/>
          <w:color w:val="000000"/>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BB5519" w:rsidRDefault="00A81E83" w:rsidP="00B46560">
      <w:pPr>
        <w:numPr>
          <w:ilvl w:val="1"/>
          <w:numId w:val="67"/>
        </w:numPr>
        <w:tabs>
          <w:tab w:val="left" w:pos="1800"/>
        </w:tabs>
        <w:spacing w:after="60"/>
        <w:ind w:left="1800"/>
        <w:rPr>
          <w:lang w:val="de-DE"/>
        </w:rPr>
      </w:pPr>
      <w:r w:rsidRPr="00BB5519">
        <w:rPr>
          <w:rFonts w:eastAsia="Calibri" w:cs="Tahoma"/>
          <w:color w:val="000000"/>
          <w:szCs w:val="18"/>
          <w:lang w:val="de-DE"/>
        </w:rPr>
        <w:t xml:space="preserve">Kunden </w:t>
      </w:r>
      <w:r w:rsidRPr="00BB5519">
        <w:rPr>
          <w:rFonts w:eastAsia="Calibri" w:cs="Tahoma"/>
          <w:szCs w:val="18"/>
          <w:lang w:val="de-DE"/>
        </w:rPr>
        <w:t>sind berechtigt, Lizenzen einem anderen Server neu zuzuweisen. Wenn der Kunde jedoch eine Lizenz einem anderen Server neu zuweist, muss der Kunde die Nutzungsrechte für</w:t>
      </w:r>
      <w:r w:rsidR="00B46560">
        <w:rPr>
          <w:rFonts w:eastAsia="Calibri" w:cs="Tahoma"/>
          <w:szCs w:val="18"/>
          <w:lang w:val="de-DE"/>
        </w:rPr>
        <w:t> </w:t>
      </w:r>
      <w:r w:rsidRPr="00BB5519">
        <w:rPr>
          <w:rFonts w:eastAsia="Calibri" w:cs="Tahoma"/>
          <w:szCs w:val="18"/>
          <w:lang w:val="de-DE"/>
        </w:rPr>
        <w:t>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BB5519" w:rsidRDefault="00A81E83" w:rsidP="00204D6D">
      <w:pPr>
        <w:numPr>
          <w:ilvl w:val="1"/>
          <w:numId w:val="67"/>
        </w:numPr>
        <w:tabs>
          <w:tab w:val="left" w:pos="1800"/>
          <w:tab w:val="left" w:pos="2970"/>
        </w:tabs>
        <w:spacing w:after="60"/>
        <w:ind w:left="1800"/>
        <w:rPr>
          <w:lang w:val="de-DE"/>
        </w:rPr>
      </w:pPr>
      <w:r w:rsidRPr="00BB5519">
        <w:rPr>
          <w:rFonts w:eastAsia="Calibri" w:cs="Tahoma"/>
          <w:color w:val="000000"/>
          <w:szCs w:val="18"/>
          <w:lang w:val="de-DE"/>
        </w:rPr>
        <w:t>Die angenommene Core-Lizenzäquivalenz der Kunden impliziert nicht, dass sie berechtigt sind, eine einzelne Prozessorlizenz Cores auf zwei oder mehr Prozessoren zuzuweisen.</w:t>
      </w:r>
    </w:p>
    <w:p w:rsidR="00204D6D" w:rsidRDefault="00204D6D" w:rsidP="00204D6D">
      <w:pPr>
        <w:tabs>
          <w:tab w:val="left" w:pos="1800"/>
          <w:tab w:val="left" w:pos="2970"/>
        </w:tabs>
        <w:rPr>
          <w:lang w:val="de-DE"/>
        </w:rPr>
      </w:pPr>
    </w:p>
    <w:p w:rsidR="00E30AB2" w:rsidRDefault="00E30AB2" w:rsidP="00204D6D">
      <w:pPr>
        <w:tabs>
          <w:tab w:val="left" w:pos="1800"/>
          <w:tab w:val="left" w:pos="2970"/>
        </w:tabs>
        <w:rPr>
          <w:lang w:val="de-DE"/>
        </w:rPr>
      </w:pPr>
    </w:p>
    <w:p w:rsidR="00E30AB2" w:rsidRDefault="00E30AB2" w:rsidP="00204D6D">
      <w:pPr>
        <w:tabs>
          <w:tab w:val="left" w:pos="1800"/>
          <w:tab w:val="left" w:pos="2970"/>
        </w:tabs>
        <w:rPr>
          <w:lang w:val="de-DE"/>
        </w:rPr>
      </w:pPr>
    </w:p>
    <w:p w:rsidR="00E30AB2" w:rsidRDefault="00E30AB2" w:rsidP="00204D6D">
      <w:pPr>
        <w:tabs>
          <w:tab w:val="left" w:pos="1800"/>
          <w:tab w:val="left" w:pos="2970"/>
        </w:tabs>
        <w:rPr>
          <w:lang w:val="de-DE"/>
        </w:rPr>
      </w:pPr>
    </w:p>
    <w:p w:rsidR="00E30AB2" w:rsidRDefault="00E30AB2" w:rsidP="00204D6D">
      <w:pPr>
        <w:tabs>
          <w:tab w:val="left" w:pos="1800"/>
          <w:tab w:val="left" w:pos="2970"/>
        </w:tabs>
        <w:rPr>
          <w:lang w:val="de-DE"/>
        </w:rPr>
      </w:pPr>
    </w:p>
    <w:p w:rsidR="00E30AB2" w:rsidRDefault="00E30AB2" w:rsidP="00204D6D">
      <w:pPr>
        <w:tabs>
          <w:tab w:val="left" w:pos="1800"/>
          <w:tab w:val="left" w:pos="2970"/>
        </w:tabs>
        <w:rPr>
          <w:lang w:val="de-DE"/>
        </w:rPr>
      </w:pPr>
    </w:p>
    <w:p w:rsidR="00E30AB2" w:rsidRDefault="00E30AB2" w:rsidP="00204D6D">
      <w:pPr>
        <w:tabs>
          <w:tab w:val="left" w:pos="1800"/>
          <w:tab w:val="left" w:pos="2970"/>
        </w:tabs>
        <w:rPr>
          <w:lang w:val="de-DE"/>
        </w:rPr>
      </w:pPr>
    </w:p>
    <w:p w:rsidR="00E30AB2" w:rsidRDefault="00E30AB2" w:rsidP="00204D6D">
      <w:pPr>
        <w:tabs>
          <w:tab w:val="left" w:pos="1800"/>
          <w:tab w:val="left" w:pos="2970"/>
        </w:tabs>
        <w:rPr>
          <w:lang w:val="de-DE"/>
        </w:rPr>
      </w:pPr>
    </w:p>
    <w:p w:rsidR="00E30AB2" w:rsidRPr="00BB5519" w:rsidRDefault="00E30AB2" w:rsidP="00204D6D">
      <w:pPr>
        <w:tabs>
          <w:tab w:val="left" w:pos="1800"/>
          <w:tab w:val="left" w:pos="2970"/>
        </w:tabs>
        <w:rPr>
          <w:lang w:val="de-DE"/>
        </w:rPr>
      </w:pPr>
    </w:p>
    <w:p w:rsidR="00204D6D" w:rsidRPr="00BB5519" w:rsidRDefault="00A81E83" w:rsidP="00204D6D">
      <w:pPr>
        <w:tabs>
          <w:tab w:val="left" w:pos="720"/>
        </w:tabs>
        <w:spacing w:after="60"/>
        <w:ind w:left="720"/>
        <w:rPr>
          <w:lang w:val="de-DE"/>
        </w:rPr>
      </w:pPr>
      <w:r w:rsidRPr="00BB5519">
        <w:rPr>
          <w:rFonts w:eastAsia="Calibri" w:cs="Tahoma"/>
          <w:b/>
          <w:color w:val="000000"/>
          <w:szCs w:val="18"/>
          <w:lang w:val="de-DE"/>
        </w:rPr>
        <w:lastRenderedPageBreak/>
        <w:t>Für Kunden mit Software Assurance, die am oder nach dem 1. April 2015 abläuft, die sich gegen eine Verlängerung entscheiden</w:t>
      </w:r>
    </w:p>
    <w:p w:rsidR="00A81E83" w:rsidRPr="00BB5519" w:rsidRDefault="00A81E83" w:rsidP="00204D6D">
      <w:pPr>
        <w:tabs>
          <w:tab w:val="left" w:pos="720"/>
        </w:tabs>
        <w:ind w:left="720"/>
        <w:rPr>
          <w:lang w:val="de-DE"/>
        </w:rPr>
      </w:pPr>
      <w:r w:rsidRPr="00BB5519">
        <w:rPr>
          <w:rFonts w:eastAsia="Calibri" w:cs="Tahoma"/>
          <w:color w:val="000000"/>
          <w:szCs w:val="18"/>
          <w:lang w:val="de-DE"/>
        </w:rPr>
        <w:t xml:space="preserve">Konzern-Abonnement- </w:t>
      </w:r>
      <w:r w:rsidRPr="00BB5519">
        <w:rPr>
          <w:rFonts w:cs="Tahoma"/>
          <w:bCs/>
          <w:color w:val="000000"/>
          <w:szCs w:val="18"/>
          <w:lang w:val="de-DE"/>
        </w:rPr>
        <w:t>und Open Value Subscription-</w:t>
      </w:r>
      <w:r w:rsidRPr="00BB551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204D6D" w:rsidRPr="00E30AB2" w:rsidRDefault="00204D6D" w:rsidP="00204D6D">
      <w:pPr>
        <w:tabs>
          <w:tab w:val="left" w:pos="720"/>
        </w:tabs>
        <w:ind w:left="720"/>
        <w:rPr>
          <w:sz w:val="16"/>
          <w:szCs w:val="16"/>
          <w:lang w:val="de-DE"/>
        </w:rPr>
      </w:pPr>
    </w:p>
    <w:p w:rsidR="00A81E83" w:rsidRPr="00BB5519" w:rsidRDefault="00A81E83" w:rsidP="00E30AB2">
      <w:pPr>
        <w:numPr>
          <w:ilvl w:val="2"/>
          <w:numId w:val="64"/>
        </w:numPr>
        <w:spacing w:after="40"/>
        <w:ind w:left="1440"/>
        <w:rPr>
          <w:lang w:val="de-DE"/>
        </w:rPr>
      </w:pPr>
      <w:r w:rsidRPr="00BB5519">
        <w:rPr>
          <w:rFonts w:eastAsia="Calibri" w:cs="Tahoma"/>
          <w:szCs w:val="18"/>
          <w:lang w:val="de-DE"/>
        </w:rPr>
        <w:t>Wie im ersten Absatz dieses Produkthinweises dargelegt, sind vor dem 1. April 2015 erworbene Lizenzen qualifizierende Lizenzen, und Kunden sind berechtigt, SQL Server 2012 in Übereinstimmung mit den Bestimmungen im Abschnitt oben mit der Überschrift „Für Kunden mit</w:t>
      </w:r>
      <w:r w:rsidR="00B46560">
        <w:rPr>
          <w:rFonts w:eastAsia="Calibri" w:cs="Tahoma"/>
          <w:szCs w:val="18"/>
          <w:lang w:val="de-DE"/>
        </w:rPr>
        <w:t> </w:t>
      </w:r>
      <w:r w:rsidRPr="00BB5519">
        <w:rPr>
          <w:rFonts w:eastAsia="Calibri" w:cs="Tahoma"/>
          <w:szCs w:val="18"/>
          <w:lang w:val="de-DE"/>
        </w:rPr>
        <w:t xml:space="preserve">Software Assurance, die vor dem 1. April 2015 abläuft, die sich gegen eine Verlängerung entscheiden“ weiterhin zu verwenden, und </w:t>
      </w:r>
    </w:p>
    <w:p w:rsidR="00A81E83" w:rsidRPr="00BB5519" w:rsidRDefault="00A81E83" w:rsidP="00E30AB2">
      <w:pPr>
        <w:numPr>
          <w:ilvl w:val="2"/>
          <w:numId w:val="64"/>
        </w:numPr>
        <w:spacing w:after="40"/>
        <w:ind w:left="1440"/>
        <w:rPr>
          <w:lang w:val="de-DE"/>
        </w:rPr>
      </w:pPr>
      <w:r w:rsidRPr="00BB5519">
        <w:rPr>
          <w:rFonts w:eastAsia="Calibri" w:cs="Tahoma"/>
          <w:szCs w:val="18"/>
          <w:lang w:val="de-DE"/>
        </w:rPr>
        <w:t>für Lizenzen, die nach dem 1. April 2015 erworben wurden, verfügt die Prozessorlizenz von Kunden</w:t>
      </w:r>
      <w:r w:rsidR="00B46560">
        <w:rPr>
          <w:rFonts w:eastAsia="Calibri" w:cs="Tahoma"/>
          <w:szCs w:val="18"/>
          <w:lang w:val="de-DE"/>
        </w:rPr>
        <w:t> </w:t>
      </w:r>
      <w:r w:rsidRPr="00BB5519">
        <w:rPr>
          <w:rFonts w:eastAsia="Calibri" w:cs="Tahoma"/>
          <w:szCs w:val="18"/>
          <w:lang w:val="de-DE"/>
        </w:rPr>
        <w:t>über eine Core-Äquivalenz von vier Core-Lizenzen für SQL Server 2012 Enterprise. Für die kontinuierliche Verwendung von SQL Server 2012 auf Prozessoren, die mehr als vier Core-Lizenzen pro Prozessor erfordern, muss der Kunde die zusätzlichen Core-Lizenzen erwerben.</w:t>
      </w:r>
    </w:p>
    <w:p w:rsidR="00204D6D" w:rsidRPr="00E30AB2" w:rsidRDefault="00204D6D" w:rsidP="00204D6D">
      <w:pPr>
        <w:ind w:left="1440"/>
        <w:rPr>
          <w:sz w:val="16"/>
          <w:szCs w:val="16"/>
          <w:lang w:val="de-DE"/>
        </w:rPr>
      </w:pPr>
    </w:p>
    <w:p w:rsidR="00204D6D" w:rsidRPr="00BB5519" w:rsidRDefault="00A81E83" w:rsidP="00E30AB2">
      <w:pPr>
        <w:tabs>
          <w:tab w:val="left" w:pos="720"/>
        </w:tabs>
        <w:spacing w:after="40"/>
        <w:ind w:left="720"/>
        <w:rPr>
          <w:lang w:val="de-DE"/>
        </w:rPr>
      </w:pPr>
      <w:r w:rsidRPr="00BB5519">
        <w:rPr>
          <w:b/>
          <w:lang w:val="de-DE"/>
        </w:rPr>
        <w:t>Für Kunden in der Volksrepublik</w:t>
      </w:r>
      <w:r w:rsidRPr="00BB5519">
        <w:rPr>
          <w:lang w:val="de-DE"/>
        </w:rPr>
        <w:t xml:space="preserve"> </w:t>
      </w:r>
      <w:r w:rsidRPr="00BB5519">
        <w:rPr>
          <w:b/>
          <w:lang w:val="de-DE"/>
        </w:rPr>
        <w:t>China, die dort Prozessorlizenzen und Software Assurance für SQL Server 2008 R2 erwerben</w:t>
      </w:r>
    </w:p>
    <w:p w:rsidR="00A81E83" w:rsidRPr="00BB5519" w:rsidRDefault="00A81E83" w:rsidP="00204D6D">
      <w:pPr>
        <w:tabs>
          <w:tab w:val="left" w:pos="720"/>
        </w:tabs>
        <w:ind w:left="720"/>
        <w:rPr>
          <w:lang w:val="de-DE"/>
        </w:rPr>
      </w:pPr>
      <w:r w:rsidRPr="00BB5519">
        <w:rPr>
          <w:lang w:val="de-DE"/>
        </w:rPr>
        <w:t>Die Verweise auf den 1. April 2012 und den 1. April 2015 in dieser Produktliste sind nicht anwendbar. Die anwendbaren Daten für diese Kunden sind der 1. Juli 2012 bzw. der 1. Juli 2015.</w:t>
      </w:r>
    </w:p>
    <w:p w:rsidR="006E28CC" w:rsidRPr="00E30AB2" w:rsidRDefault="006E28CC" w:rsidP="00204D6D">
      <w:pPr>
        <w:tabs>
          <w:tab w:val="left" w:pos="720"/>
        </w:tabs>
        <w:ind w:left="720"/>
        <w:rPr>
          <w:sz w:val="16"/>
          <w:szCs w:val="16"/>
          <w:lang w:val="de-DE"/>
        </w:rPr>
      </w:pPr>
    </w:p>
    <w:p w:rsidR="006E28CC" w:rsidRPr="00E30AB2" w:rsidRDefault="006E28CC" w:rsidP="00204D6D">
      <w:pPr>
        <w:tabs>
          <w:tab w:val="left" w:pos="720"/>
        </w:tabs>
        <w:ind w:left="720"/>
        <w:rPr>
          <w:sz w:val="16"/>
          <w:szCs w:val="16"/>
          <w:lang w:val="de-DE"/>
        </w:rPr>
      </w:pPr>
    </w:p>
    <w:p w:rsidR="006E28CC" w:rsidRPr="00BB5519" w:rsidRDefault="00F66FB0" w:rsidP="00B46560">
      <w:pPr>
        <w:pStyle w:val="Heading3"/>
        <w:keepNext/>
        <w:keepLines/>
        <w:rPr>
          <w:lang w:val="de-DE"/>
        </w:rPr>
      </w:pPr>
      <w:bookmarkStart w:id="1457" w:name="_80_SQL_Server"/>
      <w:bookmarkStart w:id="1458" w:name="_81_SQL_Server"/>
      <w:bookmarkStart w:id="1459" w:name="_Toc354055037"/>
      <w:bookmarkEnd w:id="1457"/>
      <w:bookmarkEnd w:id="1458"/>
      <w:r w:rsidRPr="00BB5519">
        <w:rPr>
          <w:rFonts w:ascii="Tahoma" w:hAnsi="Tahoma"/>
          <w:caps/>
          <w:color w:val="F66400"/>
          <w:sz w:val="22"/>
          <w:vertAlign w:val="superscript"/>
          <w:lang w:val="de-DE"/>
        </w:rPr>
        <w:t>82</w:t>
      </w:r>
      <w:r w:rsidR="00E0271A">
        <w:rPr>
          <w:rFonts w:ascii="Tahoma" w:hAnsi="Tahoma"/>
          <w:color w:val="F66400"/>
          <w:sz w:val="22"/>
          <w:lang w:val="de-DE"/>
        </w:rPr>
        <w:t xml:space="preserve"> SQL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2012 Parallel Data Warehouse</w:t>
      </w:r>
      <w:bookmarkEnd w:id="1459"/>
    </w:p>
    <w:p w:rsidR="006E28CC" w:rsidRPr="00E30AB2" w:rsidRDefault="006E28CC" w:rsidP="00B46560">
      <w:pPr>
        <w:pStyle w:val="EndnoteText"/>
        <w:keepNext/>
        <w:keepLines/>
        <w:rPr>
          <w:sz w:val="16"/>
          <w:szCs w:val="16"/>
          <w:lang w:val="de-DE"/>
        </w:rPr>
      </w:pPr>
    </w:p>
    <w:p w:rsidR="000A30EE" w:rsidRPr="00BB5519" w:rsidRDefault="000A30EE" w:rsidP="00E30AB2">
      <w:pPr>
        <w:keepNext/>
        <w:keepLines/>
        <w:spacing w:after="40"/>
        <w:ind w:left="720"/>
        <w:rPr>
          <w:lang w:val="de-DE"/>
        </w:rPr>
      </w:pPr>
      <w:r w:rsidRPr="00BB5519">
        <w:rPr>
          <w:rFonts w:eastAsia="Calibri" w:cs="Tahoma"/>
          <w:b/>
          <w:color w:val="000000"/>
          <w:szCs w:val="18"/>
          <w:lang w:val="de-DE"/>
        </w:rPr>
        <w:t>Lizenzgewährungen im Zusammenhang mit der Änderung des Lizenzmodells</w:t>
      </w:r>
    </w:p>
    <w:p w:rsidR="000A30EE" w:rsidRPr="00BB5519" w:rsidRDefault="000A30EE" w:rsidP="00B46560">
      <w:pPr>
        <w:keepNext/>
        <w:keepLines/>
        <w:ind w:left="720"/>
        <w:rPr>
          <w:lang w:val="de-DE"/>
        </w:rPr>
      </w:pPr>
      <w:r w:rsidRPr="00BB5519">
        <w:rPr>
          <w:rFonts w:eastAsia="Calibri" w:cs="Tahoma"/>
          <w:color w:val="000000"/>
          <w:szCs w:val="18"/>
          <w:lang w:val="de-DE"/>
        </w:rPr>
        <w:t>SQL Server 2008 R2 ist die letzte Version von SQL Server Parallel Data Warehouse, die unter dem Pro-Prozessor-Lizenzmodell lizenziert wird.</w:t>
      </w:r>
      <w:r w:rsidR="009E4976" w:rsidRPr="00BB5519">
        <w:rPr>
          <w:rFonts w:eastAsia="Calibri" w:cs="Tahoma"/>
          <w:color w:val="000000"/>
          <w:szCs w:val="18"/>
          <w:lang w:val="de-DE"/>
        </w:rPr>
        <w:t xml:space="preserve"> </w:t>
      </w:r>
      <w:r w:rsidRPr="00BB5519">
        <w:rPr>
          <w:rFonts w:eastAsia="Calibri" w:cs="Tahoma"/>
          <w:color w:val="000000"/>
          <w:szCs w:val="18"/>
          <w:lang w:val="de-DE"/>
        </w:rPr>
        <w:t>Als Ausnahme erhalten Volumenlizenzkunden, die am 1. März 2013 über aktive Software Assurance für SQL Server 2008 R2 Parallel Data Warehouse-Lizenzen („qualifizierende Lizenzen“) verfügen, die folgenden Optionen. SQL Server 2008 R2 Parallel Data Warehouse-</w:t>
      </w:r>
      <w:r w:rsidRPr="00BB5519">
        <w:rPr>
          <w:rFonts w:cs="Tahoma"/>
          <w:bCs/>
          <w:color w:val="000000"/>
          <w:szCs w:val="18"/>
          <w:lang w:val="de-DE"/>
        </w:rPr>
        <w:t>Lizenzen, die danach unter derselben Beitrittslaufzeit im Rahmen eines Konzern-, Konzern-Abonnement-Prozesses oder des geplanten jährlichen True Up-Prozesses des Kunden erworben werden, sind ebenfalls qualifizierende Lizenzen im Sinne dieser Optionen.</w:t>
      </w:r>
    </w:p>
    <w:p w:rsidR="000A30EE" w:rsidRPr="00E30AB2" w:rsidRDefault="000A30EE" w:rsidP="000A30EE">
      <w:pPr>
        <w:ind w:left="720"/>
        <w:rPr>
          <w:sz w:val="16"/>
          <w:szCs w:val="16"/>
          <w:lang w:val="de-DE"/>
        </w:rPr>
      </w:pPr>
    </w:p>
    <w:p w:rsidR="000A30EE" w:rsidRPr="00BB5519" w:rsidRDefault="000A30EE" w:rsidP="000A30EE">
      <w:pPr>
        <w:numPr>
          <w:ilvl w:val="0"/>
          <w:numId w:val="67"/>
        </w:numPr>
        <w:spacing w:after="60"/>
        <w:ind w:left="1440"/>
        <w:rPr>
          <w:lang w:val="de-DE"/>
        </w:rPr>
      </w:pPr>
      <w:r w:rsidRPr="00BB5519">
        <w:rPr>
          <w:rFonts w:eastAsia="Calibri" w:cs="Tahoma"/>
          <w:color w:val="000000"/>
          <w:szCs w:val="18"/>
          <w:lang w:val="de-DE"/>
        </w:rPr>
        <w:t>Für jede qualifizierende Lizenz, die der Kunde besitzt, ist der Kunde berechtigt, auf 8 Core-Lizenzen für SQL Server 2012 Parallel Data Warehouse upzugraden. Nach dem Upgrade auf SQL Server 2012 sind die zugrunde liegenden SQL Server 2008 R2-Lizenzen des Kunden nicht mehr gültig.</w:t>
      </w:r>
    </w:p>
    <w:p w:rsidR="000A30EE" w:rsidRPr="00E30AB2" w:rsidRDefault="000A30EE" w:rsidP="000A30EE">
      <w:pPr>
        <w:rPr>
          <w:sz w:val="16"/>
          <w:szCs w:val="16"/>
          <w:lang w:val="de-DE"/>
        </w:rPr>
      </w:pPr>
    </w:p>
    <w:p w:rsidR="000A30EE" w:rsidRPr="00BB5519" w:rsidRDefault="000A30EE" w:rsidP="00E30AB2">
      <w:pPr>
        <w:keepNext/>
        <w:keepLines/>
        <w:spacing w:after="40"/>
        <w:ind w:left="720"/>
        <w:rPr>
          <w:lang w:val="de-DE"/>
        </w:rPr>
      </w:pPr>
      <w:r w:rsidRPr="00BB5519">
        <w:rPr>
          <w:rFonts w:eastAsia="Calibri" w:cs="Tahoma"/>
          <w:b/>
          <w:color w:val="000000"/>
          <w:szCs w:val="18"/>
          <w:lang w:val="de-DE"/>
        </w:rPr>
        <w:t>System Center Standard-Lizenzgewährung</w:t>
      </w:r>
    </w:p>
    <w:p w:rsidR="000A30EE" w:rsidRPr="00BB5519" w:rsidRDefault="000A30EE" w:rsidP="000A30EE">
      <w:pPr>
        <w:spacing w:after="60"/>
        <w:ind w:left="720"/>
        <w:rPr>
          <w:lang w:val="de-DE"/>
        </w:rPr>
      </w:pPr>
      <w:r w:rsidRPr="00BB5519">
        <w:rPr>
          <w:rFonts w:eastAsia="Calibri" w:cs="Tahoma"/>
          <w:color w:val="000000"/>
          <w:szCs w:val="18"/>
          <w:lang w:val="de-DE"/>
        </w:rPr>
        <w:t>Zudem haben Kunden, die gemäß qualifizierenden Lizenzen auf SQL Server 2012 Parallel Data Warehouse upgraden, die Berechtigung für die folgenden System Center-Lizenzgewährungen, die nach ihrem Upgrade für SQL Server 2012 Parallel Data Warehouse gelten:</w:t>
      </w:r>
    </w:p>
    <w:p w:rsidR="000A30EE" w:rsidRPr="00BB5519" w:rsidRDefault="000A30EE" w:rsidP="000A30EE">
      <w:pPr>
        <w:numPr>
          <w:ilvl w:val="0"/>
          <w:numId w:val="67"/>
        </w:numPr>
        <w:spacing w:after="60"/>
        <w:ind w:left="1440"/>
        <w:rPr>
          <w:lang w:val="de-DE"/>
        </w:rPr>
      </w:pPr>
      <w:r w:rsidRPr="00BB5519">
        <w:rPr>
          <w:rFonts w:eastAsia="Calibri" w:cs="Tahoma"/>
          <w:color w:val="000000"/>
          <w:szCs w:val="18"/>
          <w:lang w:val="de-DE"/>
        </w:rPr>
        <w:t>eine System Center 2012 Standard-Lizenz pro Server für jeden Server, auf dem die SQL Server 2012 Parallel Data Warehouse-Software ausgeführt wird</w:t>
      </w:r>
    </w:p>
    <w:p w:rsidR="000A30EE" w:rsidRPr="00BB5519" w:rsidRDefault="000A30EE" w:rsidP="000A30EE">
      <w:pPr>
        <w:numPr>
          <w:ilvl w:val="0"/>
          <w:numId w:val="67"/>
        </w:numPr>
        <w:spacing w:after="60"/>
        <w:ind w:left="1440"/>
        <w:rPr>
          <w:lang w:val="de-DE"/>
        </w:rPr>
      </w:pPr>
      <w:r w:rsidRPr="00BB5519">
        <w:rPr>
          <w:rFonts w:eastAsia="Calibri" w:cs="Tahoma"/>
          <w:color w:val="000000"/>
          <w:szCs w:val="18"/>
          <w:lang w:val="de-DE"/>
        </w:rPr>
        <w:t>zwei System Center 2012 Standard-Lizenzen pro Server für alle übrigen Server in der SQL Server 2012 Parallel Data Warehouse Appliance.</w:t>
      </w:r>
    </w:p>
    <w:p w:rsidR="000A30EE" w:rsidRPr="00BB5519" w:rsidRDefault="000A30EE" w:rsidP="009374EE">
      <w:pPr>
        <w:spacing w:after="60"/>
        <w:ind w:left="720"/>
        <w:rPr>
          <w:lang w:val="de-DE"/>
        </w:rPr>
      </w:pPr>
      <w:r w:rsidRPr="00BB5519">
        <w:rPr>
          <w:rFonts w:eastAsia="Calibri" w:cs="Tahoma"/>
          <w:color w:val="000000"/>
          <w:szCs w:val="18"/>
          <w:lang w:val="de-DE"/>
        </w:rPr>
        <w:t>Die Software darf ausschließlich zur Unterstützung der SQL Server 2012 Parallel Data Warehouse Appliance genutzt werden.</w:t>
      </w:r>
    </w:p>
    <w:p w:rsidR="000A30EE" w:rsidRPr="00E30AB2" w:rsidRDefault="000A30EE" w:rsidP="000A30EE">
      <w:pPr>
        <w:spacing w:after="60"/>
        <w:ind w:firstLine="720"/>
        <w:rPr>
          <w:sz w:val="16"/>
          <w:szCs w:val="16"/>
          <w:lang w:val="de-DE"/>
        </w:rPr>
      </w:pPr>
    </w:p>
    <w:p w:rsidR="000A30EE" w:rsidRPr="00BB5519" w:rsidRDefault="000A30EE" w:rsidP="00E30AB2">
      <w:pPr>
        <w:keepNext/>
        <w:keepLines/>
        <w:tabs>
          <w:tab w:val="left" w:pos="1440"/>
        </w:tabs>
        <w:spacing w:after="40"/>
        <w:ind w:left="720"/>
        <w:rPr>
          <w:lang w:val="de-DE"/>
        </w:rPr>
      </w:pPr>
      <w:r w:rsidRPr="00BB5519">
        <w:rPr>
          <w:rFonts w:eastAsia="Calibri" w:cs="Tahoma"/>
          <w:b/>
          <w:color w:val="000000"/>
          <w:szCs w:val="18"/>
          <w:lang w:val="de-DE"/>
        </w:rPr>
        <w:t>Für Kunden mit aktiver Software Assurance, die nicht verlängern möchten</w:t>
      </w:r>
    </w:p>
    <w:p w:rsidR="000A30EE" w:rsidRPr="00BB5519" w:rsidRDefault="000A30EE" w:rsidP="000A30EE">
      <w:pPr>
        <w:tabs>
          <w:tab w:val="left" w:pos="1440"/>
        </w:tabs>
        <w:ind w:left="720"/>
        <w:rPr>
          <w:lang w:val="de-DE"/>
        </w:rPr>
      </w:pPr>
      <w:r w:rsidRPr="00BB5519">
        <w:rPr>
          <w:rFonts w:eastAsia="Calibri" w:cs="Tahoma"/>
          <w:color w:val="000000"/>
          <w:szCs w:val="18"/>
          <w:lang w:val="de-DE"/>
        </w:rPr>
        <w:t>Konzern-Abonnement-Kunden mit Software Assurance bis zum 1. März 2013, die sich für ein Buy-Out von Prozessorlizenzen entscheiden, sowie sonstige Kunden, die qualifizierende, zeitlich unbeschränkte Lizenzen unter ihrem Vertrag erwerben und sich gegen die Verlängerung von Software Assurance entscheiden, sind berechtigt, SQL Server 2008 R2 oder SQL Server 2012 wie folgt unter diesen Lizenzen auszuführen:</w:t>
      </w:r>
    </w:p>
    <w:p w:rsidR="000A30EE" w:rsidRPr="00E30AB2" w:rsidRDefault="000A30EE" w:rsidP="000A30EE">
      <w:pPr>
        <w:tabs>
          <w:tab w:val="left" w:pos="1440"/>
        </w:tabs>
        <w:ind w:left="720"/>
        <w:rPr>
          <w:sz w:val="16"/>
          <w:szCs w:val="16"/>
          <w:lang w:val="de-DE"/>
        </w:rPr>
      </w:pPr>
    </w:p>
    <w:p w:rsidR="000A30EE" w:rsidRPr="00BB5519" w:rsidRDefault="000A30EE" w:rsidP="000A30EE">
      <w:pPr>
        <w:numPr>
          <w:ilvl w:val="0"/>
          <w:numId w:val="67"/>
        </w:numPr>
        <w:spacing w:after="60"/>
        <w:ind w:left="1440"/>
        <w:rPr>
          <w:lang w:val="de-DE"/>
        </w:rPr>
      </w:pPr>
      <w:r w:rsidRPr="00BB5519">
        <w:rPr>
          <w:rFonts w:eastAsia="Calibri" w:cs="Tahoma"/>
          <w:b/>
          <w:color w:val="000000"/>
          <w:szCs w:val="18"/>
          <w:lang w:val="de-DE"/>
        </w:rPr>
        <w:t>SQL Server 2008 R2 Parallel Data Warehouse:</w:t>
      </w:r>
      <w:r w:rsidRPr="00BB5519">
        <w:rPr>
          <w:rFonts w:eastAsia="Calibri" w:cs="Tahoma"/>
          <w:color w:val="000000"/>
          <w:szCs w:val="18"/>
          <w:lang w:val="de-DE"/>
        </w:rPr>
        <w:t xml:space="preserve"> Die kontinuierliche Verwendung dieser Version der Software unterliegt den Produktbenutzungsrechten für die SQL Server 2008 R2-Lizenz. </w:t>
      </w:r>
    </w:p>
    <w:p w:rsidR="000A30EE" w:rsidRPr="00BB5519" w:rsidRDefault="000A30EE" w:rsidP="000A30EE">
      <w:pPr>
        <w:numPr>
          <w:ilvl w:val="0"/>
          <w:numId w:val="67"/>
        </w:numPr>
        <w:tabs>
          <w:tab w:val="left" w:pos="1800"/>
        </w:tabs>
        <w:spacing w:after="60"/>
        <w:ind w:left="1440"/>
        <w:rPr>
          <w:lang w:val="de-DE"/>
        </w:rPr>
      </w:pPr>
      <w:r w:rsidRPr="00BB5519">
        <w:rPr>
          <w:rFonts w:eastAsia="Calibri" w:cs="Tahoma"/>
          <w:b/>
          <w:color w:val="000000"/>
          <w:szCs w:val="18"/>
          <w:lang w:val="de-DE"/>
        </w:rPr>
        <w:lastRenderedPageBreak/>
        <w:t>SQL Server 2012 Parallel Data Warehouse:</w:t>
      </w:r>
      <w:r w:rsidRPr="00B46560">
        <w:rPr>
          <w:rFonts w:eastAsia="Calibri" w:cs="Tahoma"/>
          <w:bCs/>
          <w:color w:val="000000"/>
          <w:szCs w:val="18"/>
          <w:lang w:val="de-DE"/>
        </w:rPr>
        <w:t xml:space="preserve"> </w:t>
      </w:r>
      <w:r w:rsidRPr="00BB5519">
        <w:rPr>
          <w:rFonts w:eastAsia="Calibri" w:cs="Tahoma"/>
          <w:color w:val="000000"/>
          <w:szCs w:val="18"/>
          <w:lang w:val="de-DE"/>
        </w:rPr>
        <w:t xml:space="preserve">Die Verwendung dieser Version der Software unterliegt den Produktbenutzungsrechten für SQL Server 2012 Parallel Data Warehouse. </w:t>
      </w:r>
    </w:p>
    <w:p w:rsidR="000A30EE" w:rsidRPr="00BB5519" w:rsidRDefault="000A30EE" w:rsidP="000A30EE">
      <w:pPr>
        <w:spacing w:after="60"/>
        <w:rPr>
          <w:lang w:val="de-DE"/>
        </w:rPr>
      </w:pPr>
    </w:p>
    <w:p w:rsidR="000A30EE" w:rsidRPr="00BB5519" w:rsidRDefault="000A30EE" w:rsidP="000A30EE">
      <w:pPr>
        <w:ind w:left="720"/>
        <w:rPr>
          <w:lang w:val="de-DE"/>
        </w:rPr>
      </w:pPr>
      <w:r w:rsidRPr="00BB5519">
        <w:rPr>
          <w:rFonts w:cs="Tahoma"/>
          <w:color w:val="000000"/>
          <w:szCs w:val="24"/>
          <w:lang w:val="de-DE"/>
        </w:rPr>
        <w:t xml:space="preserve">Alle im Rahmen dieses Angebots gewährten SQL Server Parallel Data Warehouse- und System Center-Lizenzen umfassen Software Assurance. Diese gilt bis zum Ablauf der qualifizierenden Software Assurance. Danach können die Kunden Software Assurance für die gewährten Lizenzen verlängern. </w:t>
      </w:r>
    </w:p>
    <w:p w:rsidR="000A30EE" w:rsidRPr="00BB5519" w:rsidRDefault="000A30EE" w:rsidP="000A30EE">
      <w:pPr>
        <w:ind w:left="720"/>
        <w:rPr>
          <w:lang w:val="de-DE"/>
        </w:rPr>
      </w:pPr>
    </w:p>
    <w:p w:rsidR="000A30EE" w:rsidRPr="00BB5519" w:rsidRDefault="000A30EE" w:rsidP="000A30EE">
      <w:pPr>
        <w:ind w:left="720"/>
        <w:rPr>
          <w:lang w:val="de-DE"/>
        </w:rPr>
      </w:pPr>
      <w:r w:rsidRPr="00BB5519">
        <w:rPr>
          <w:rFonts w:cs="Tahoma"/>
          <w:color w:val="000000"/>
          <w:szCs w:val="24"/>
          <w:lang w:val="de-DE"/>
        </w:rP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 und System Center 2012 unter den Bestimmungen dieses Angebots zu verwenden. Im Rahmen dieses Angebots gewährte Lizenzen dürfen nicht getrennt von den zugehörigen qualifizierenden Lizenzen übertragen werden.</w:t>
      </w:r>
    </w:p>
    <w:p w:rsidR="00A81E83" w:rsidRPr="00BB5519" w:rsidRDefault="00A81E83" w:rsidP="00C321B6">
      <w:pPr>
        <w:tabs>
          <w:tab w:val="left" w:pos="2970"/>
        </w:tabs>
        <w:ind w:left="1440"/>
        <w:rPr>
          <w:lang w:val="de-DE"/>
        </w:rPr>
      </w:pPr>
      <w:bookmarkStart w:id="1460" w:name="Srv_90SQLServer2012Standard"/>
    </w:p>
    <w:p w:rsidR="004815F3" w:rsidRPr="00BB5519" w:rsidRDefault="004815F3" w:rsidP="00C321B6">
      <w:pPr>
        <w:tabs>
          <w:tab w:val="left" w:pos="2970"/>
        </w:tabs>
        <w:ind w:left="1440"/>
        <w:rPr>
          <w:lang w:val="de-DE"/>
        </w:rPr>
      </w:pPr>
    </w:p>
    <w:p w:rsidR="00A81E83" w:rsidRPr="00BB5519" w:rsidRDefault="00F66FB0" w:rsidP="00B46560">
      <w:pPr>
        <w:pStyle w:val="Heading3"/>
        <w:keepNext/>
        <w:keepLines/>
        <w:rPr>
          <w:lang w:val="de-DE"/>
        </w:rPr>
      </w:pPr>
      <w:bookmarkStart w:id="1461" w:name="_82_SQL_Server®"/>
      <w:bookmarkStart w:id="1462" w:name="_Toc336338348"/>
      <w:bookmarkStart w:id="1463" w:name="_Toc354055038"/>
      <w:bookmarkEnd w:id="1461"/>
      <w:r w:rsidRPr="00BB5519">
        <w:rPr>
          <w:rFonts w:ascii="Tahoma" w:hAnsi="Tahoma"/>
          <w:caps/>
          <w:color w:val="F66400"/>
          <w:sz w:val="22"/>
          <w:vertAlign w:val="superscript"/>
          <w:lang w:val="de-DE"/>
        </w:rPr>
        <w:t>83</w:t>
      </w:r>
      <w:r w:rsidRPr="00BB5519">
        <w:rPr>
          <w:rFonts w:ascii="Tahoma" w:hAnsi="Tahoma"/>
          <w:color w:val="F66400"/>
          <w:sz w:val="22"/>
          <w:lang w:val="de-DE"/>
        </w:rPr>
        <w:t xml:space="preserve"> SQL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2012 Standard</w:t>
      </w:r>
      <w:bookmarkEnd w:id="1462"/>
      <w:bookmarkEnd w:id="1463"/>
      <w:r w:rsidRPr="00BB5519">
        <w:rPr>
          <w:rFonts w:ascii="Tahoma" w:hAnsi="Tahoma"/>
          <w:color w:val="F66400"/>
          <w:sz w:val="22"/>
          <w:lang w:val="de-DE"/>
        </w:rPr>
        <w:t xml:space="preserve"> </w:t>
      </w:r>
    </w:p>
    <w:bookmarkEnd w:id="1460"/>
    <w:p w:rsidR="00A81E83" w:rsidRPr="00BB5519" w:rsidRDefault="00A81E83" w:rsidP="00B46560">
      <w:pPr>
        <w:pStyle w:val="EndnoteText"/>
        <w:keepNext/>
        <w:keepLines/>
        <w:ind w:left="0"/>
        <w:rPr>
          <w:lang w:val="de-DE"/>
        </w:rPr>
      </w:pPr>
    </w:p>
    <w:p w:rsidR="00A81E83" w:rsidRPr="00BB5519" w:rsidRDefault="00A81E83" w:rsidP="00B46560">
      <w:pPr>
        <w:keepNext/>
        <w:keepLines/>
        <w:ind w:left="720"/>
        <w:rPr>
          <w:lang w:val="de-DE"/>
        </w:rPr>
      </w:pPr>
      <w:r w:rsidRPr="00BB5519">
        <w:rPr>
          <w:rFonts w:eastAsia="Calibri" w:cs="Tahoma"/>
          <w:szCs w:val="18"/>
          <w:lang w:val="de-DE"/>
        </w:rPr>
        <w:t>SQL Server 2012 Standard ist die nächste Version von SQL Server Standard, und CAL für SQL Server 2012 ist die nächste Version von CAL für SQL Server.</w:t>
      </w:r>
    </w:p>
    <w:p w:rsidR="00204D6D" w:rsidRPr="00BB5519" w:rsidRDefault="00204D6D" w:rsidP="00B46560">
      <w:pPr>
        <w:keepNext/>
        <w:keepLines/>
        <w:ind w:left="720"/>
        <w:rPr>
          <w:lang w:val="de-DE"/>
        </w:rPr>
      </w:pPr>
    </w:p>
    <w:p w:rsidR="00204D6D" w:rsidRPr="00BB5519" w:rsidRDefault="00204D6D" w:rsidP="00204D6D">
      <w:pPr>
        <w:ind w:left="720"/>
        <w:rPr>
          <w:lang w:val="de-DE"/>
        </w:rPr>
      </w:pPr>
    </w:p>
    <w:p w:rsidR="00A81E83" w:rsidRPr="00BB5519" w:rsidRDefault="00F66FB0" w:rsidP="00EF5637">
      <w:pPr>
        <w:pStyle w:val="Heading3"/>
        <w:rPr>
          <w:lang w:val="de-DE"/>
        </w:rPr>
      </w:pPr>
      <w:bookmarkStart w:id="1464" w:name="_85_83_SQL"/>
      <w:bookmarkStart w:id="1465" w:name="_84_SQL_Server®"/>
      <w:bookmarkStart w:id="1466" w:name="_Toc336338349"/>
      <w:bookmarkStart w:id="1467" w:name="_Toc354055039"/>
      <w:bookmarkStart w:id="1468" w:name="Srv_91SQLServer2012StandardCore"/>
      <w:bookmarkEnd w:id="1464"/>
      <w:bookmarkEnd w:id="1465"/>
      <w:r w:rsidRPr="00BB5519">
        <w:rPr>
          <w:rFonts w:ascii="Tahoma" w:hAnsi="Tahoma" w:cs="Tahoma"/>
          <w:caps/>
          <w:color w:val="F66400"/>
          <w:sz w:val="22"/>
          <w:vertAlign w:val="superscript"/>
          <w:lang w:val="de-DE"/>
        </w:rPr>
        <w:t>84</w:t>
      </w:r>
      <w:r w:rsidRPr="00BB5519">
        <w:rPr>
          <w:rFonts w:ascii="Tahoma" w:hAnsi="Tahoma" w:cs="Tahoma"/>
          <w:color w:val="F66400"/>
          <w:sz w:val="22"/>
          <w:lang w:val="de-DE"/>
        </w:rPr>
        <w:t xml:space="preserve"> SQL Server</w:t>
      </w:r>
      <w:r w:rsidRPr="00BB5519">
        <w:rPr>
          <w:rFonts w:ascii="Tahoma" w:hAnsi="Tahoma" w:cs="Tahoma"/>
          <w:color w:val="F66400"/>
          <w:sz w:val="22"/>
          <w:vertAlign w:val="superscript"/>
          <w:lang w:val="de-DE"/>
        </w:rPr>
        <w:t>®</w:t>
      </w:r>
      <w:r w:rsidRPr="00BB5519">
        <w:rPr>
          <w:rFonts w:ascii="Tahoma" w:hAnsi="Tahoma" w:cs="Tahoma"/>
          <w:color w:val="F66400"/>
          <w:sz w:val="22"/>
          <w:lang w:val="de-DE"/>
        </w:rPr>
        <w:t xml:space="preserve"> 2012 Standard</w:t>
      </w:r>
      <w:r w:rsidRPr="00BB5519">
        <w:rPr>
          <w:rFonts w:ascii="Tahoma" w:eastAsia="Calibri" w:hAnsi="Tahoma" w:cs="Tahoma"/>
          <w:color w:val="F66400"/>
          <w:sz w:val="22"/>
          <w:szCs w:val="18"/>
          <w:lang w:val="de-DE"/>
        </w:rPr>
        <w:t xml:space="preserve"> Core</w:t>
      </w:r>
      <w:bookmarkEnd w:id="1466"/>
      <w:bookmarkEnd w:id="1467"/>
    </w:p>
    <w:bookmarkEnd w:id="1468"/>
    <w:p w:rsidR="00A81E83" w:rsidRPr="00BB5519" w:rsidRDefault="00A81E83" w:rsidP="0026723A">
      <w:pPr>
        <w:rPr>
          <w:lang w:val="de-DE"/>
        </w:rPr>
      </w:pPr>
    </w:p>
    <w:p w:rsidR="0026723A" w:rsidRPr="00BB5519" w:rsidRDefault="00A81E83" w:rsidP="0026723A">
      <w:pPr>
        <w:spacing w:after="60"/>
        <w:ind w:left="720"/>
        <w:rPr>
          <w:lang w:val="de-DE"/>
        </w:rPr>
      </w:pPr>
      <w:r w:rsidRPr="00BB5519">
        <w:rPr>
          <w:rFonts w:eastAsia="Calibri" w:cs="Tahoma"/>
          <w:b/>
          <w:szCs w:val="18"/>
          <w:lang w:val="de-DE"/>
        </w:rPr>
        <w:t>Lizenzgewährungen im Zusammenhang mit der Änderung des Lizenzmodells</w:t>
      </w:r>
    </w:p>
    <w:p w:rsidR="00A81E83" w:rsidRPr="00BB5519" w:rsidRDefault="00A81E83" w:rsidP="0026723A">
      <w:pPr>
        <w:ind w:left="720"/>
        <w:rPr>
          <w:lang w:val="de-DE"/>
        </w:rPr>
      </w:pPr>
      <w:r w:rsidRPr="00BB5519">
        <w:rPr>
          <w:rFonts w:eastAsia="Calibri" w:cs="Tahoma"/>
          <w:color w:val="000000"/>
          <w:szCs w:val="18"/>
          <w:lang w:val="de-DE"/>
        </w:rPr>
        <w:t>SQL Server 2008 R2 ist die letzte Version von SQL Server, die unter dem Pro-Prozessor-Lizenzmodell lizenziert wird.</w:t>
      </w:r>
      <w:r w:rsidR="009E4976" w:rsidRPr="00BB5519">
        <w:rPr>
          <w:rFonts w:eastAsia="Calibri" w:cs="Tahoma"/>
          <w:color w:val="000000"/>
          <w:szCs w:val="18"/>
          <w:lang w:val="de-DE"/>
        </w:rPr>
        <w:t xml:space="preserve"> </w:t>
      </w:r>
      <w:r w:rsidRPr="00BB5519">
        <w:rPr>
          <w:rFonts w:eastAsia="Calibri" w:cs="Tahoma"/>
          <w:color w:val="000000"/>
          <w:szCs w:val="18"/>
          <w:lang w:val="de-DE"/>
        </w:rPr>
        <w:t>Als Ausnahme erhalten Volumenlizenzkunden, die am 1. April 2012 über aktive Software Assurance für SQL Server 2008 R2 Standard-Prozessorlizenzen („qualifizierende Lizenzen“) verfügen, die folgenden Optionen. SQL Server 2008 R2 Standard-Prozessor</w:t>
      </w:r>
      <w:r w:rsidRPr="00BB5519">
        <w:rPr>
          <w:rFonts w:cs="Tahoma"/>
          <w:bCs/>
          <w:color w:val="000000"/>
          <w:szCs w:val="18"/>
          <w:lang w:val="de-DE"/>
        </w:rPr>
        <w:t>lizenzen, die danach unter derselben Beitrittslaufzeit, jedoch vor dem 1. April 2015 im Rahmen eines Konzern-, Konzern-Abonnement-, Open Value Subscription-Prozesses oder des geplanten jährlichen True Up-Prozesses des EES-Kunden erworben werden, sind ebenfalls qualifizierende Lizenzen im Sinne dieser Optionen.</w:t>
      </w:r>
      <w:r w:rsidR="009E4976" w:rsidRPr="00BB5519">
        <w:rPr>
          <w:rFonts w:cs="Tahoma"/>
          <w:bCs/>
          <w:color w:val="000000"/>
          <w:szCs w:val="18"/>
          <w:lang w:val="de-DE"/>
        </w:rPr>
        <w:t xml:space="preserve"> </w:t>
      </w:r>
      <w:r w:rsidRPr="00BB5519">
        <w:rPr>
          <w:rFonts w:cs="Tahoma"/>
          <w:bCs/>
          <w:color w:val="000000"/>
          <w:szCs w:val="18"/>
          <w:lang w:val="de-DE"/>
        </w:rPr>
        <w:t>Lizenzen, die nach dem 1. April 2015 oder unter einer nachfolgenden Beitrittslaufzeit, einem separaten Vertrag oder einem Beitritt erworben werden, dessen Wirksamkeitsdatum nach dem 1. April 2012 liegt, sind keine qualifizierenden Lizenzen.</w:t>
      </w:r>
    </w:p>
    <w:p w:rsidR="0026723A" w:rsidRPr="00BB5519" w:rsidRDefault="0026723A" w:rsidP="0026723A">
      <w:pPr>
        <w:ind w:left="720"/>
        <w:rPr>
          <w:lang w:val="de-DE"/>
        </w:rPr>
      </w:pPr>
    </w:p>
    <w:p w:rsidR="0026723A" w:rsidRPr="00BB5519" w:rsidRDefault="0026723A" w:rsidP="0026723A">
      <w:pPr>
        <w:spacing w:after="60"/>
        <w:ind w:left="720"/>
        <w:rPr>
          <w:lang w:val="de-DE"/>
        </w:rPr>
      </w:pPr>
      <w:r w:rsidRPr="00BB5519">
        <w:rPr>
          <w:rFonts w:eastAsia="Calibri" w:cs="Tahoma"/>
          <w:b/>
          <w:szCs w:val="18"/>
          <w:lang w:val="de-DE"/>
        </w:rPr>
        <w:t>Aktuelle Laufzeit</w:t>
      </w:r>
    </w:p>
    <w:p w:rsidR="00A81E83" w:rsidRPr="00BB5519" w:rsidRDefault="00A81E83" w:rsidP="0026723A">
      <w:pPr>
        <w:ind w:left="720"/>
        <w:rPr>
          <w:lang w:val="de-DE"/>
        </w:rPr>
      </w:pPr>
      <w:r w:rsidRPr="00BB5519">
        <w:rPr>
          <w:rFonts w:eastAsia="Calibri" w:cs="Tahoma"/>
          <w:szCs w:val="18"/>
          <w:lang w:val="de-DE"/>
        </w:rPr>
        <w:t>Während der aktuellen Laufzeit ihrer Software Assurance zum 1. April 2012 sind Kunden (einschließlich Kunden mit Abonnementverträgen) unter qualifizierenden Lizenzen berechtigt, vorbehaltlich der Produktbenutzungsrechte für SQL Server 2008 R2 Standard-Prozessorlizenzen (wie in den Produktbenutzungsrechten von Januar 2012 dargestellt) auf SQL Server 2012 Standard Core-Software anstelle von SQL Server 2008 R2 Standard upzugraden und diese zu verwenden. Zusätzlich werden Kunden Rechte unter Lizenzmobilität durch Software Assurance und Lizenzmobilität innerhalb von Serverfarmen gewährt.</w:t>
      </w:r>
      <w:r w:rsidR="009E4976" w:rsidRPr="00BB5519">
        <w:rPr>
          <w:rFonts w:eastAsia="Calibri" w:cs="Tahoma"/>
          <w:szCs w:val="18"/>
          <w:lang w:val="de-DE"/>
        </w:rPr>
        <w:t xml:space="preserve"> </w:t>
      </w:r>
      <w:r w:rsidRPr="00BB5519">
        <w:rPr>
          <w:rFonts w:eastAsia="Calibri" w:cs="Tahoma"/>
          <w:szCs w:val="18"/>
          <w:lang w:val="de-DE"/>
        </w:rPr>
        <w:t>Die Lizenzbestimmungen für Lizenzmobilität finden Kunden in den Produktbenutzungsrechten für SQL Server 2012 Standard Core.</w:t>
      </w:r>
    </w:p>
    <w:p w:rsidR="0026723A" w:rsidRPr="00BB5519" w:rsidRDefault="0026723A" w:rsidP="0026723A">
      <w:pPr>
        <w:ind w:left="720"/>
        <w:rPr>
          <w:lang w:val="de-DE"/>
        </w:rPr>
      </w:pPr>
    </w:p>
    <w:p w:rsidR="0026723A" w:rsidRPr="00BB5519" w:rsidRDefault="00A81E83" w:rsidP="0026723A">
      <w:pPr>
        <w:spacing w:after="60"/>
        <w:ind w:left="720"/>
        <w:rPr>
          <w:lang w:val="de-DE"/>
        </w:rPr>
      </w:pPr>
      <w:r w:rsidRPr="00BB5519">
        <w:rPr>
          <w:rFonts w:eastAsia="Calibri" w:cs="Tahoma"/>
          <w:b/>
          <w:szCs w:val="18"/>
          <w:lang w:val="de-DE"/>
        </w:rPr>
        <w:t>Erster Verlängerungszeitraum (vor dem 1. April 2015)</w:t>
      </w:r>
    </w:p>
    <w:p w:rsidR="00A81E83" w:rsidRPr="00BB5519" w:rsidRDefault="00A81E83" w:rsidP="0026723A">
      <w:pPr>
        <w:ind w:left="720"/>
        <w:rPr>
          <w:lang w:val="de-DE"/>
        </w:rPr>
      </w:pPr>
      <w:r w:rsidRPr="00BB5519">
        <w:rPr>
          <w:rFonts w:eastAsia="Calibri" w:cs="Tahoma"/>
          <w:szCs w:val="18"/>
          <w:lang w:val="de-DE"/>
        </w:rPr>
        <w:t>Bei der ersten Software Assurance-Verlängerung am oder nach dem 1. April 2012 (jedoch vor dem 1. April 2015) ist ein Kunde berechtigt, für jeden Server, den der Kunde unter den Produktbenutzungsrechten für SQL Server 2008 R2 Standard-Prozessorlizenzen ordnungsgemäß lizenziert hat, Software Assurance für SQL Server Standard-Core-Lizenzen zu erwerben, ohne die zugrunde liegenden Core-Lizenzen für die Anzahl der Core-Lizenzen erwerben zu müssen, die der Summe von (a) und (b) entspricht:</w:t>
      </w:r>
    </w:p>
    <w:p w:rsidR="0026723A" w:rsidRPr="00BB5519" w:rsidRDefault="0026723A" w:rsidP="0026723A">
      <w:pPr>
        <w:ind w:left="720"/>
        <w:rPr>
          <w:lang w:val="de-DE"/>
        </w:rPr>
      </w:pPr>
    </w:p>
    <w:p w:rsidR="0026723A" w:rsidRPr="00BB5519" w:rsidRDefault="00A81E83" w:rsidP="0026723A">
      <w:pPr>
        <w:numPr>
          <w:ilvl w:val="0"/>
          <w:numId w:val="145"/>
        </w:numPr>
        <w:tabs>
          <w:tab w:val="left" w:pos="1440"/>
        </w:tabs>
        <w:spacing w:after="60"/>
        <w:ind w:left="1440"/>
        <w:rPr>
          <w:lang w:val="de-DE"/>
        </w:rPr>
      </w:pPr>
      <w:r w:rsidRPr="00BB5519">
        <w:rPr>
          <w:rFonts w:eastAsia="Calibri" w:cs="Tahoma"/>
          <w:szCs w:val="18"/>
          <w:lang w:val="de-DE"/>
        </w:rPr>
        <w:t xml:space="preserve">eine Anzahl, die der Anzahl von dem Server zugewiesenen qualifizierenden Lizenzen oder der Gesamtzahl von physischen Prozessoren auf dem Server entspricht, multipliziert mit dem größeren Wert folgender Zahlen, wobei die kleinere Zahl maßgeblich ist: </w:t>
      </w:r>
    </w:p>
    <w:p w:rsidR="00A81E83" w:rsidRPr="00BB5519" w:rsidRDefault="00A81E83" w:rsidP="0026723A">
      <w:pPr>
        <w:numPr>
          <w:ilvl w:val="3"/>
          <w:numId w:val="71"/>
        </w:numPr>
        <w:spacing w:after="60"/>
        <w:ind w:left="1800"/>
      </w:pPr>
      <w:r w:rsidRPr="00BB5519">
        <w:rPr>
          <w:rFonts w:eastAsia="Calibri" w:cs="Tahoma"/>
          <w:szCs w:val="18"/>
        </w:rPr>
        <w:lastRenderedPageBreak/>
        <w:t>vier ODER</w:t>
      </w:r>
    </w:p>
    <w:p w:rsidR="00A81E83" w:rsidRPr="00BB5519" w:rsidRDefault="00A81E83" w:rsidP="0026723A">
      <w:pPr>
        <w:numPr>
          <w:ilvl w:val="3"/>
          <w:numId w:val="71"/>
        </w:numPr>
        <w:spacing w:after="60"/>
        <w:ind w:left="1800"/>
        <w:rPr>
          <w:lang w:val="de-DE"/>
        </w:rPr>
      </w:pPr>
      <w:r w:rsidRPr="00BB5519">
        <w:rPr>
          <w:rFonts w:eastAsia="Calibri" w:cs="Tahoma"/>
          <w:szCs w:val="18"/>
          <w:lang w:val="de-DE"/>
        </w:rPr>
        <w:t>der tatsächlichen Anzahl von Cores pro physischem Prozessor multipliziert mit dem entsprechenden Core-Faktor.</w:t>
      </w:r>
      <w:r w:rsidR="009E4976" w:rsidRPr="00BB5519">
        <w:rPr>
          <w:rFonts w:eastAsia="Calibri" w:cs="Tahoma"/>
          <w:szCs w:val="18"/>
          <w:lang w:val="de-DE"/>
        </w:rPr>
        <w:t xml:space="preserve"> </w:t>
      </w:r>
      <w:r w:rsidRPr="00BB5519">
        <w:rPr>
          <w:rFonts w:eastAsia="Calibri" w:cs="Tahoma"/>
          <w:szCs w:val="18"/>
          <w:lang w:val="de-DE"/>
        </w:rPr>
        <w:t xml:space="preserve">(Wenn die tatsächliche Anzahl von Cores pro physischem Prozessor mehr als vier beträgt, muss der Kunde unmittelbar vor der Software Assurance-Verlängerung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A81E83" w:rsidRPr="00BB5519" w:rsidRDefault="00A81E83" w:rsidP="0026723A">
      <w:pPr>
        <w:numPr>
          <w:ilvl w:val="0"/>
          <w:numId w:val="145"/>
        </w:numPr>
        <w:tabs>
          <w:tab w:val="left" w:pos="1440"/>
        </w:tabs>
        <w:spacing w:after="60"/>
        <w:ind w:left="1440"/>
        <w:rPr>
          <w:lang w:val="de-DE"/>
        </w:rPr>
      </w:pPr>
      <w:r w:rsidRPr="00BB5519">
        <w:rPr>
          <w:rFonts w:eastAsia="Calibri" w:cs="Tahoma"/>
          <w:szCs w:val="18"/>
          <w:lang w:val="de-DE"/>
        </w:rPr>
        <w:t>eine Anzahl, die der Anzahl von dem Server zugewiesenen qualifizierenden Lizenzen entspricht, die die tatsächliche Anzahl physischer Prozessoren auf dem Server übersteigen, multipliziert mit vier.</w:t>
      </w:r>
    </w:p>
    <w:p w:rsidR="0026723A" w:rsidRPr="00BB5519" w:rsidRDefault="0026723A" w:rsidP="0026723A">
      <w:pPr>
        <w:tabs>
          <w:tab w:val="left" w:pos="1440"/>
        </w:tabs>
        <w:ind w:left="1080"/>
        <w:rPr>
          <w:lang w:val="de-DE"/>
        </w:rPr>
      </w:pPr>
    </w:p>
    <w:p w:rsidR="0026723A" w:rsidRPr="00BB5519" w:rsidRDefault="00A81E83" w:rsidP="0026723A">
      <w:pPr>
        <w:spacing w:after="60"/>
        <w:ind w:left="720"/>
        <w:rPr>
          <w:lang w:val="de-DE"/>
        </w:rPr>
      </w:pPr>
      <w:r w:rsidRPr="00BB5519">
        <w:rPr>
          <w:rFonts w:eastAsia="Calibri" w:cs="Tahoma"/>
          <w:b/>
          <w:szCs w:val="18"/>
          <w:lang w:val="de-DE"/>
        </w:rPr>
        <w:t>Erster Verlängerungszeitraum (am oder nach dem 1. April 2015)</w:t>
      </w:r>
    </w:p>
    <w:p w:rsidR="00A81E83" w:rsidRPr="00BB5519" w:rsidRDefault="00A81E83" w:rsidP="00B46560">
      <w:pPr>
        <w:ind w:left="720"/>
        <w:rPr>
          <w:lang w:val="de-DE"/>
        </w:rPr>
      </w:pPr>
      <w:r w:rsidRPr="00BB5519">
        <w:rPr>
          <w:rFonts w:eastAsia="Calibri" w:cs="Tahoma"/>
          <w:color w:val="000000"/>
          <w:szCs w:val="18"/>
          <w:lang w:val="de-DE"/>
        </w:rPr>
        <w:t>Kunden, die Software Assurance am oder nach dem 1. April 2015</w:t>
      </w:r>
      <w:r w:rsidRPr="00BB5519">
        <w:rPr>
          <w:rFonts w:eastAsia="Calibri" w:cs="Tahoma"/>
          <w:szCs w:val="18"/>
          <w:lang w:val="de-DE"/>
        </w:rPr>
        <w:t xml:space="preserve"> erstmals verlängern, sind berechtigt, für</w:t>
      </w:r>
      <w:r w:rsidR="00B46560">
        <w:rPr>
          <w:rFonts w:eastAsia="Calibri" w:cs="Tahoma"/>
          <w:szCs w:val="18"/>
          <w:lang w:val="de-DE"/>
        </w:rPr>
        <w:t> </w:t>
      </w:r>
      <w:r w:rsidRPr="00BB5519">
        <w:rPr>
          <w:rFonts w:eastAsia="Calibri" w:cs="Tahoma"/>
          <w:szCs w:val="18"/>
          <w:lang w:val="de-DE"/>
        </w:rPr>
        <w:t>jeden Server, der unter Produktbenutzungsrechten für SQL Server 2008 R2-Prozessorlizenzen ordnungsgemäß lizenziert ist, Software Assurance wie folgt zu erwerben:</w:t>
      </w:r>
    </w:p>
    <w:p w:rsidR="00A81E83" w:rsidRPr="00BB5519" w:rsidRDefault="00A81E83" w:rsidP="0026723A">
      <w:pPr>
        <w:numPr>
          <w:ilvl w:val="3"/>
          <w:numId w:val="114"/>
        </w:numPr>
        <w:spacing w:after="60"/>
        <w:ind w:left="1440"/>
      </w:pPr>
      <w:r w:rsidRPr="00BB5519">
        <w:rPr>
          <w:rFonts w:eastAsia="Calibri" w:cs="Tahoma"/>
          <w:szCs w:val="18"/>
          <w:lang w:val="de-DE"/>
        </w:rPr>
        <w:t xml:space="preserve">Wie im ersten Absatz dieses Produkthinweises dargelegt, sind Lizenzen, die vor dem 1. April 2015 erworben wurden, qualifizierende Lizenzen, und Kunden sind berechtigt, Software Assurance in Übereinstimmung mit den Bestimmungen im Abschnitt oben mit der Überschrift „Erster Verlängerungszeitraum (vor dem 1. </w:t>
      </w:r>
      <w:r w:rsidRPr="00BB5519">
        <w:rPr>
          <w:rFonts w:eastAsia="Calibri" w:cs="Tahoma"/>
          <w:szCs w:val="18"/>
        </w:rPr>
        <w:t xml:space="preserve">April 2015)“ zu verlängern, und </w:t>
      </w:r>
    </w:p>
    <w:p w:rsidR="00A81E83" w:rsidRPr="00BB5519" w:rsidRDefault="00A81E83" w:rsidP="00067B82">
      <w:pPr>
        <w:keepNext/>
        <w:keepLines/>
        <w:numPr>
          <w:ilvl w:val="3"/>
          <w:numId w:val="114"/>
        </w:numPr>
        <w:spacing w:after="60"/>
        <w:ind w:left="1440"/>
        <w:rPr>
          <w:lang w:val="de-DE"/>
        </w:rPr>
      </w:pPr>
      <w:r w:rsidRPr="00BB5519">
        <w:rPr>
          <w:rFonts w:eastAsia="Calibri" w:cs="Tahoma"/>
          <w:szCs w:val="18"/>
          <w:lang w:val="de-DE"/>
        </w:rPr>
        <w:t>für Lizenzen, die nach dem 1. April 2015 erworben wurden, sind Kunden berechtigt, Software Assurance für vier SQL Server Standard-Core-Lizenzen zu verlängern, ohne die zugrunde liegenden Core-Lizenzen für jede SQL Server 2008 R2 Standard-Prozessorlizenz zu erwerben. Für die kontinuierliche Verwendung von SQL Server 2012 auf Prozessoren, die mehr als vier Core-Lizenzen</w:t>
      </w:r>
      <w:r w:rsidR="00842642">
        <w:rPr>
          <w:rFonts w:eastAsia="Calibri" w:cs="Tahoma"/>
          <w:szCs w:val="18"/>
          <w:lang w:val="de-DE"/>
        </w:rPr>
        <w:t> </w:t>
      </w:r>
      <w:r w:rsidRPr="00BB5519">
        <w:rPr>
          <w:rFonts w:eastAsia="Calibri" w:cs="Tahoma"/>
          <w:szCs w:val="18"/>
          <w:lang w:val="de-DE"/>
        </w:rPr>
        <w:t>pro Prozessor erfordern, muss der Kunde die zusätzlichen Core-Lizenzen erwerben.</w:t>
      </w:r>
    </w:p>
    <w:p w:rsidR="00A81E83" w:rsidRPr="00BB5519" w:rsidRDefault="00A81E83" w:rsidP="00842642">
      <w:pPr>
        <w:numPr>
          <w:ilvl w:val="0"/>
          <w:numId w:val="64"/>
        </w:numPr>
        <w:spacing w:after="60"/>
        <w:ind w:left="1440"/>
        <w:rPr>
          <w:lang w:val="de-DE"/>
        </w:rPr>
      </w:pPr>
      <w:r w:rsidRPr="00BB5519">
        <w:rPr>
          <w:rFonts w:eastAsia="Calibri" w:cs="Tahoma"/>
          <w:szCs w:val="18"/>
          <w:lang w:val="de-DE"/>
        </w:rPr>
        <w:t>Die Prozessorlizenzen des Kunden sind bei Erwerb von Software Assurance für Core-Lizenzen unter</w:t>
      </w:r>
      <w:r w:rsidR="00842642">
        <w:rPr>
          <w:rFonts w:eastAsia="Calibri" w:cs="Tahoma"/>
          <w:szCs w:val="18"/>
          <w:lang w:val="de-DE"/>
        </w:rPr>
        <w:t> </w:t>
      </w:r>
      <w:r w:rsidRPr="00BB5519">
        <w:rPr>
          <w:rFonts w:eastAsia="Calibri" w:cs="Tahoma"/>
          <w:szCs w:val="18"/>
          <w:lang w:val="de-DE"/>
        </w:rPr>
        <w:t>diesem Angebot nicht mehr gültig. Die Option zum Erwerb von Core-Lizenzen für Software Assurance für SQL Server ist nicht auf die Software Assurance-Verlängerung unter Abonnementprogrammen anwendbar.</w:t>
      </w:r>
      <w:r w:rsidR="009E4976" w:rsidRPr="00BB5519">
        <w:rPr>
          <w:rFonts w:eastAsia="Calibri" w:cs="Tahoma"/>
          <w:szCs w:val="18"/>
          <w:lang w:val="de-DE"/>
        </w:rPr>
        <w:t xml:space="preserve"> </w:t>
      </w:r>
    </w:p>
    <w:p w:rsidR="0026723A" w:rsidRPr="00BB5519" w:rsidRDefault="0026723A" w:rsidP="0026723A">
      <w:pPr>
        <w:tabs>
          <w:tab w:val="left" w:pos="1080"/>
        </w:tabs>
        <w:ind w:left="1080"/>
        <w:rPr>
          <w:lang w:val="de-DE"/>
        </w:rPr>
      </w:pPr>
    </w:p>
    <w:p w:rsidR="0026723A" w:rsidRPr="00BB5519" w:rsidRDefault="00A431D5" w:rsidP="0026723A">
      <w:pPr>
        <w:spacing w:after="60"/>
        <w:ind w:left="720"/>
        <w:rPr>
          <w:lang w:val="de-DE"/>
        </w:rPr>
      </w:pPr>
      <w:r w:rsidRPr="00BB5519">
        <w:rPr>
          <w:rFonts w:eastAsia="Calibri" w:cs="Tahoma"/>
          <w:b/>
          <w:szCs w:val="18"/>
          <w:lang w:val="de-DE"/>
        </w:rPr>
        <w:t>Für Kunden, die ein Step Up von SQL Server Standard zu SQL Server Enterprise Core durchführen möchten</w:t>
      </w:r>
    </w:p>
    <w:p w:rsidR="00A431D5" w:rsidRPr="00BB5519" w:rsidRDefault="00A431D5" w:rsidP="0026723A">
      <w:pPr>
        <w:ind w:left="720"/>
        <w:rPr>
          <w:lang w:val="de-DE"/>
        </w:rPr>
      </w:pPr>
      <w:r w:rsidRPr="00BB5519">
        <w:rPr>
          <w:rFonts w:eastAsia="Calibri" w:cs="Tahoma"/>
          <w:szCs w:val="18"/>
          <w:lang w:val="de-DE"/>
        </w:rPr>
        <w:t xml:space="preserve">Kunden mit qualifizierenden Lizenzen für SQL Server 2008 R2 Standard sind berechtigt, jederzeit während ihrer aktuellen Laufzeit von Software Assurance ein Step Up dieser Lizenzen auf SQL Server Enterprise (Pro Core) durchzuführen. Für jeden Server, den ein Kunde unter den Produktbenutzungsrechten für SQL Server 2008 R2 Standard-Prozessorlizenzen ordnungsgemäß lizenziert hat, ist der Kunde berechtigt, eine Anzahl von Step Up-Lizenzen für SQL Server Enterprise Core zu erwerben, die der Gesamtzahl physischer Prozessoren auf dem Server multipliziert mit dem größeren Wert folgender Zahlen entspricht: </w:t>
      </w:r>
    </w:p>
    <w:p w:rsidR="0026723A" w:rsidRPr="00BB5519" w:rsidRDefault="0026723A" w:rsidP="0026723A">
      <w:pPr>
        <w:tabs>
          <w:tab w:val="left" w:pos="1080"/>
        </w:tabs>
        <w:ind w:left="1080"/>
        <w:rPr>
          <w:lang w:val="de-DE"/>
        </w:rPr>
      </w:pPr>
    </w:p>
    <w:p w:rsidR="00A431D5" w:rsidRPr="00BB5519" w:rsidRDefault="00A431D5" w:rsidP="0026723A">
      <w:pPr>
        <w:numPr>
          <w:ilvl w:val="3"/>
          <w:numId w:val="115"/>
        </w:numPr>
        <w:tabs>
          <w:tab w:val="left" w:pos="1440"/>
        </w:tabs>
        <w:spacing w:after="60"/>
        <w:ind w:left="1440"/>
      </w:pPr>
      <w:r w:rsidRPr="00BB5519">
        <w:rPr>
          <w:rFonts w:eastAsia="Calibri" w:cs="Tahoma"/>
          <w:szCs w:val="18"/>
        </w:rPr>
        <w:t>vier ODER</w:t>
      </w:r>
    </w:p>
    <w:p w:rsidR="00A431D5" w:rsidRPr="00BB5519" w:rsidRDefault="00A431D5" w:rsidP="0026723A">
      <w:pPr>
        <w:numPr>
          <w:ilvl w:val="3"/>
          <w:numId w:val="115"/>
        </w:numPr>
        <w:tabs>
          <w:tab w:val="left" w:pos="1440"/>
        </w:tabs>
        <w:spacing w:after="60"/>
        <w:ind w:left="1440"/>
        <w:rPr>
          <w:lang w:val="de-DE"/>
        </w:rPr>
      </w:pPr>
      <w:r w:rsidRPr="00BB5519">
        <w:rPr>
          <w:rFonts w:eastAsia="Calibri" w:cs="Tahoma"/>
          <w:szCs w:val="18"/>
          <w:lang w:val="de-DE"/>
        </w:rPr>
        <w:t>der tatsächlichen Anzahl von Cores pro physischem Prozessor multipliziert mit dem entsprechenden Core-Faktor.</w:t>
      </w:r>
      <w:r w:rsidR="009E4976" w:rsidRPr="00BB5519">
        <w:rPr>
          <w:rFonts w:eastAsia="Calibri" w:cs="Tahoma"/>
          <w:szCs w:val="18"/>
          <w:lang w:val="de-DE"/>
        </w:rPr>
        <w:t xml:space="preserve"> </w:t>
      </w:r>
      <w:r w:rsidRPr="00BB5519">
        <w:rPr>
          <w:rFonts w:eastAsia="Calibri" w:cs="Tahoma"/>
          <w:szCs w:val="18"/>
          <w:lang w:val="de-DE"/>
        </w:rPr>
        <w:t xml:space="preserve">(Wenn die tatsächliche Anzahl von Cores pro physischem Prozessor mehr als vier beträgt, muss der Kunde unmittelbar vor dem Erwerb der Step Up-Lizenzen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 </w:t>
      </w:r>
    </w:p>
    <w:p w:rsidR="0026723A" w:rsidRPr="00BB5519" w:rsidRDefault="0026723A" w:rsidP="0026723A">
      <w:pPr>
        <w:tabs>
          <w:tab w:val="left" w:pos="1440"/>
        </w:tabs>
        <w:ind w:left="1440"/>
        <w:rPr>
          <w:lang w:val="de-DE"/>
        </w:rPr>
      </w:pPr>
    </w:p>
    <w:p w:rsidR="00A431D5" w:rsidRPr="00BB5519" w:rsidRDefault="00A431D5" w:rsidP="0026723A">
      <w:pPr>
        <w:ind w:left="720"/>
        <w:rPr>
          <w:lang w:val="de-DE"/>
        </w:rPr>
      </w:pPr>
      <w:r w:rsidRPr="00BB5519">
        <w:rPr>
          <w:rFonts w:eastAsia="Calibri" w:cs="Tahoma"/>
          <w:szCs w:val="18"/>
          <w:lang w:val="de-DE"/>
        </w:rPr>
        <w:t>Bei Erwerb der entsprechenden Anzahl von Step Up-Lizenzen für SQL Server Enterprise Core ist der Kunde berechtigt, die Software unter den Nutzungsrechten für SQL Server Enterprise Core bereitzustellen und zu verwenden.</w:t>
      </w:r>
      <w:r w:rsidR="009E4976" w:rsidRPr="00BB5519">
        <w:rPr>
          <w:rFonts w:eastAsia="Calibri" w:cs="Tahoma"/>
          <w:szCs w:val="18"/>
          <w:lang w:val="de-DE"/>
        </w:rPr>
        <w:t xml:space="preserve"> </w:t>
      </w:r>
      <w:r w:rsidRPr="00BB5519">
        <w:rPr>
          <w:rFonts w:eastAsia="Calibri" w:cs="Tahoma"/>
          <w:szCs w:val="18"/>
          <w:lang w:val="de-DE"/>
        </w:rPr>
        <w:t>Sofern in diesem Abschnitt „Für Kunden, die ein Step Up von SQL Server Standard zu SQL Server Enterprise Core durchführen möchten“ nicht anders bestimmt</w:t>
      </w:r>
      <w:r w:rsidRPr="00BB5519">
        <w:rPr>
          <w:rFonts w:eastAsia="Calibri" w:cs="Tahoma"/>
          <w:b/>
          <w:szCs w:val="18"/>
          <w:lang w:val="de-DE"/>
        </w:rPr>
        <w:t xml:space="preserve">, </w:t>
      </w:r>
      <w:r w:rsidRPr="00BB5519">
        <w:rPr>
          <w:rFonts w:eastAsia="Calibri" w:cs="Tahoma"/>
          <w:szCs w:val="18"/>
          <w:lang w:val="de-DE"/>
        </w:rPr>
        <w:t>gelten hinsichtlich des Erwerbs von Step Up Lizenzen die im Abschnitt „Software Assurance“ dieser Produktliste dargelegten Bestimmungen.</w:t>
      </w:r>
      <w:r w:rsidRPr="00BB5519">
        <w:rPr>
          <w:rFonts w:eastAsia="Calibri" w:cs="Tahoma"/>
          <w:b/>
          <w:szCs w:val="18"/>
          <w:lang w:val="de-DE"/>
        </w:rPr>
        <w:t xml:space="preserve"> </w:t>
      </w:r>
    </w:p>
    <w:p w:rsidR="0026723A" w:rsidRDefault="0026723A" w:rsidP="0026723A">
      <w:pPr>
        <w:tabs>
          <w:tab w:val="left" w:pos="1080"/>
        </w:tabs>
        <w:ind w:left="1080"/>
        <w:rPr>
          <w:lang w:val="de-DE"/>
        </w:rPr>
      </w:pPr>
    </w:p>
    <w:p w:rsidR="00E30AB2" w:rsidRDefault="00E30AB2" w:rsidP="0026723A">
      <w:pPr>
        <w:tabs>
          <w:tab w:val="left" w:pos="1080"/>
        </w:tabs>
        <w:ind w:left="1080"/>
        <w:rPr>
          <w:lang w:val="de-DE"/>
        </w:rPr>
      </w:pPr>
    </w:p>
    <w:p w:rsidR="00E30AB2" w:rsidRPr="00BB5519" w:rsidRDefault="00E30AB2" w:rsidP="0026723A">
      <w:pPr>
        <w:tabs>
          <w:tab w:val="left" w:pos="1080"/>
        </w:tabs>
        <w:ind w:left="1080"/>
        <w:rPr>
          <w:lang w:val="de-DE"/>
        </w:rPr>
      </w:pPr>
    </w:p>
    <w:p w:rsidR="0026723A" w:rsidRPr="00BB5519" w:rsidRDefault="00A81E83" w:rsidP="0026723A">
      <w:pPr>
        <w:spacing w:after="60"/>
        <w:ind w:left="720"/>
        <w:rPr>
          <w:lang w:val="de-DE"/>
        </w:rPr>
      </w:pPr>
      <w:r w:rsidRPr="00BB5519">
        <w:rPr>
          <w:rFonts w:eastAsia="Calibri" w:cs="Tahoma"/>
          <w:b/>
          <w:szCs w:val="18"/>
          <w:lang w:val="de-DE"/>
        </w:rPr>
        <w:lastRenderedPageBreak/>
        <w:t>Für Kunden mit Software Assurance, die vor dem 1. April 2015 abläuft, die sich gegen eine Verlängerung entscheiden</w:t>
      </w:r>
    </w:p>
    <w:p w:rsidR="00A81E83" w:rsidRPr="00BB5519" w:rsidRDefault="00A81E83" w:rsidP="0026723A">
      <w:pPr>
        <w:ind w:left="720"/>
        <w:rPr>
          <w:lang w:val="de-DE"/>
        </w:rPr>
      </w:pPr>
      <w:r w:rsidRPr="00BB5519">
        <w:rPr>
          <w:rFonts w:eastAsia="Calibri" w:cs="Tahoma"/>
          <w:szCs w:val="18"/>
          <w:lang w:val="de-DE"/>
        </w:rPr>
        <w:t>Konzern-Abonnement- und Open Value Subscription-Kunden mit Software Assurance, die vor dem 1. April 2015 abläuft, die sich für ein Buy-Out von Prozessorlizenzen entscheiden, sowie sonstige Kunden, die zeitlich unbeschränkte Lizenzen unter ihrem Vertrag erwerben und sich gegen die Verlängerung von Software Assurance entscheiden, sind berechtigt, SQL Server 2008 R2 oder SQL Server 2012 wie folgt unter diesen Lizenzen auszuführen:</w:t>
      </w:r>
    </w:p>
    <w:p w:rsidR="009C7505" w:rsidRPr="00BB5519" w:rsidRDefault="009C7505" w:rsidP="0026723A">
      <w:pPr>
        <w:ind w:left="720"/>
        <w:rPr>
          <w:lang w:val="de-DE"/>
        </w:rPr>
      </w:pPr>
    </w:p>
    <w:p w:rsidR="00A81E83" w:rsidRPr="00BB5519" w:rsidRDefault="00A81E83" w:rsidP="00E30AB2">
      <w:pPr>
        <w:numPr>
          <w:ilvl w:val="0"/>
          <w:numId w:val="116"/>
        </w:numPr>
        <w:tabs>
          <w:tab w:val="left" w:pos="1440"/>
        </w:tabs>
        <w:spacing w:after="40"/>
        <w:ind w:left="1440"/>
        <w:rPr>
          <w:lang w:val="de-DE"/>
        </w:rPr>
      </w:pPr>
      <w:r w:rsidRPr="00BB5519">
        <w:rPr>
          <w:rFonts w:eastAsia="Calibri" w:cs="Tahoma"/>
          <w:b/>
          <w:szCs w:val="18"/>
          <w:lang w:val="de-DE"/>
        </w:rPr>
        <w:t>SQL Server 2008 R2 Standard:</w:t>
      </w:r>
      <w:r w:rsidRPr="00BB5519">
        <w:rPr>
          <w:rFonts w:eastAsia="Calibri" w:cs="Tahoma"/>
          <w:szCs w:val="18"/>
          <w:lang w:val="de-DE"/>
        </w:rPr>
        <w:t xml:space="preserve"> Die kontinuierliche Verwendung dieser Version der Software unterliegt den Produktbenutzungsrechten für SQL Server 2008 R2 Standard-Prozessorlizenzen. Kunden verfügen nicht mehr über Rechte unter Lizenzmobilität innerhalb von Serverfarmen oder Lizenzmobilität durch Software Assurance. </w:t>
      </w:r>
    </w:p>
    <w:p w:rsidR="00A81E83" w:rsidRPr="00BB5519" w:rsidRDefault="00A81E83" w:rsidP="00E30AB2">
      <w:pPr>
        <w:numPr>
          <w:ilvl w:val="0"/>
          <w:numId w:val="116"/>
        </w:numPr>
        <w:tabs>
          <w:tab w:val="left" w:pos="1440"/>
        </w:tabs>
        <w:spacing w:after="40"/>
        <w:ind w:left="1440"/>
        <w:rPr>
          <w:lang w:val="de-DE"/>
        </w:rPr>
      </w:pPr>
      <w:r w:rsidRPr="00BB5519">
        <w:rPr>
          <w:rFonts w:eastAsia="Calibri" w:cs="Tahoma"/>
          <w:b/>
          <w:szCs w:val="18"/>
          <w:lang w:val="de-DE"/>
        </w:rPr>
        <w:t xml:space="preserve">SQL Server 2012 Standard Core: </w:t>
      </w:r>
      <w:r w:rsidRPr="00BB5519">
        <w:rPr>
          <w:rFonts w:eastAsia="Calibri" w:cs="Tahoma"/>
          <w:szCs w:val="18"/>
          <w:lang w:val="de-DE"/>
        </w:rPr>
        <w:t xml:space="preserve">Die Verwendung dieser Version der Software unterliegt den Produktbenutzungsrechten für SQL Server 2008 R2 Standard-Prozessorlizenzen, jedoch mit folgenden Einschränkungen: </w:t>
      </w:r>
    </w:p>
    <w:p w:rsidR="00A81E83" w:rsidRPr="00BB5519" w:rsidRDefault="00A81E83" w:rsidP="00E30AB2">
      <w:pPr>
        <w:numPr>
          <w:ilvl w:val="1"/>
          <w:numId w:val="117"/>
        </w:numPr>
        <w:tabs>
          <w:tab w:val="left" w:pos="1800"/>
        </w:tabs>
        <w:spacing w:after="40"/>
        <w:ind w:left="1800"/>
        <w:rPr>
          <w:lang w:val="de-DE"/>
        </w:rPr>
      </w:pPr>
      <w:r w:rsidRPr="00BB5519">
        <w:rPr>
          <w:rFonts w:eastAsia="Calibri" w:cs="Tahoma"/>
          <w:szCs w:val="18"/>
          <w:lang w:val="de-DE"/>
        </w:rPr>
        <w:t xml:space="preserve">Kunden verfügen nicht mehr über Rechte unter Lizenzmobilität innerhalb von Serverfarmen oder Lizenzmobilität durch Software Assurance, und </w:t>
      </w:r>
    </w:p>
    <w:p w:rsidR="00A81E83" w:rsidRPr="00BB5519" w:rsidRDefault="00A81E83" w:rsidP="00E30AB2">
      <w:pPr>
        <w:numPr>
          <w:ilvl w:val="1"/>
          <w:numId w:val="117"/>
        </w:numPr>
        <w:tabs>
          <w:tab w:val="left" w:pos="1800"/>
        </w:tabs>
        <w:spacing w:after="40"/>
        <w:ind w:left="1800"/>
      </w:pPr>
      <w:r w:rsidRPr="00BB5519">
        <w:rPr>
          <w:rFonts w:eastAsia="Calibri" w:cs="Tahoma"/>
          <w:szCs w:val="18"/>
          <w:lang w:val="de-DE"/>
        </w:rPr>
        <w:t xml:space="preserve">Neuzuweisungen von Lizenzen unterliegen den Beschränkungen unten unter (i) und (ii) in Bezug auf ihre „Core-Lizenzäquivalenz“. </w:t>
      </w:r>
      <w:r w:rsidRPr="00BB5519">
        <w:rPr>
          <w:rFonts w:eastAsia="Calibri" w:cs="Tahoma"/>
          <w:szCs w:val="18"/>
        </w:rPr>
        <w:t xml:space="preserve">Die Core-Lizenzäquivalenz wird wie folgt bestimmt. </w:t>
      </w:r>
    </w:p>
    <w:p w:rsidR="00A81E83" w:rsidRPr="00BB5519" w:rsidRDefault="00A81E83" w:rsidP="00E30AB2">
      <w:pPr>
        <w:keepNext/>
        <w:keepLines/>
        <w:numPr>
          <w:ilvl w:val="2"/>
          <w:numId w:val="116"/>
        </w:numPr>
        <w:tabs>
          <w:tab w:val="left" w:pos="2160"/>
        </w:tabs>
        <w:spacing w:after="40"/>
        <w:ind w:hanging="360"/>
        <w:rPr>
          <w:lang w:val="de-DE"/>
        </w:rPr>
      </w:pPr>
      <w:r w:rsidRPr="00BB5519">
        <w:rPr>
          <w:rFonts w:eastAsia="Calibri" w:cs="Tahoma"/>
          <w:szCs w:val="18"/>
          <w:lang w:val="de-DE"/>
        </w:rPr>
        <w:t xml:space="preserve">Für eine Anzahl von Lizenzen, die entweder (x) der Gesamtzahl der Prozessorlizenzen, die einem lizenzierten Server unmittelbar vor Ablauf der Software Assurance zugewiesen sind, oder (y) der Gesamtzahl physischer Prozessoren auf diesem Server entspricht, wobei die kleinere Zahl maßgeblich ist, entspricht die Core-Lizenzäquivalenz dem größeren Wert folgender Zahlen: </w:t>
      </w:r>
    </w:p>
    <w:p w:rsidR="00A81E83" w:rsidRPr="00BB5519" w:rsidRDefault="00A81E83" w:rsidP="00E30AB2">
      <w:pPr>
        <w:numPr>
          <w:ilvl w:val="4"/>
          <w:numId w:val="64"/>
        </w:numPr>
        <w:tabs>
          <w:tab w:val="left" w:pos="2520"/>
        </w:tabs>
        <w:spacing w:after="40"/>
        <w:ind w:left="2880"/>
      </w:pPr>
      <w:r w:rsidRPr="00BB5519">
        <w:rPr>
          <w:rFonts w:eastAsia="Calibri" w:cs="Tahoma"/>
          <w:szCs w:val="18"/>
        </w:rPr>
        <w:t xml:space="preserve">vier Cores pro Prozessorlizenz ODER </w:t>
      </w:r>
    </w:p>
    <w:p w:rsidR="00A81E83" w:rsidRPr="00BB5519" w:rsidRDefault="00A81E83" w:rsidP="00E30AB2">
      <w:pPr>
        <w:numPr>
          <w:ilvl w:val="4"/>
          <w:numId w:val="64"/>
        </w:numPr>
        <w:tabs>
          <w:tab w:val="left" w:pos="2520"/>
        </w:tabs>
        <w:spacing w:after="40"/>
        <w:ind w:left="2880"/>
        <w:rPr>
          <w:lang w:val="de-DE"/>
        </w:rPr>
      </w:pPr>
      <w:r w:rsidRPr="00BB5519">
        <w:rPr>
          <w:rFonts w:eastAsia="Calibri" w:cs="Tahoma"/>
          <w:szCs w:val="18"/>
          <w:lang w:val="de-DE"/>
        </w:rPr>
        <w:t>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Software Assurance entweder mit dem Microsoft MAP-Tool oder einer gleichwertigen Software Unterlagen zur Konfiguration der SQL Server-Software, die auf dem Server ausgeführt wird (lizenzierte Instanzen, die in Betriebssystemumgebungen auf dem lizenzierten Server ausgeführt werden), und der physischen Hardware führen, die diese Software unterstützt.)</w:t>
      </w:r>
    </w:p>
    <w:p w:rsidR="00A81E83" w:rsidRPr="00BB5519" w:rsidRDefault="00A81E83" w:rsidP="00E30AB2">
      <w:pPr>
        <w:numPr>
          <w:ilvl w:val="2"/>
          <w:numId w:val="116"/>
        </w:numPr>
        <w:tabs>
          <w:tab w:val="left" w:pos="2160"/>
        </w:tabs>
        <w:spacing w:after="40"/>
        <w:ind w:hanging="360"/>
        <w:rPr>
          <w:lang w:val="de-DE"/>
        </w:rPr>
      </w:pPr>
      <w:r w:rsidRPr="00BB5519">
        <w:rPr>
          <w:rFonts w:eastAsia="Calibri" w:cs="Tahoma"/>
          <w:szCs w:val="18"/>
          <w:lang w:val="de-DE"/>
        </w:rPr>
        <w:t>Für demselben lizenzierten Server zugewiesene Prozessorlizenzen mit ablaufender Software Assurance, die die tatsächliche Anzahl physischer Prozessoren im Server übersteigen, beträgt die Core-Äquivalenz vier Cores pro Prozessorlizenz.</w:t>
      </w:r>
    </w:p>
    <w:p w:rsidR="00A81E83" w:rsidRPr="00BB5519" w:rsidRDefault="00A81E83" w:rsidP="00E30AB2">
      <w:pPr>
        <w:numPr>
          <w:ilvl w:val="0"/>
          <w:numId w:val="67"/>
        </w:numPr>
        <w:tabs>
          <w:tab w:val="left" w:pos="1440"/>
        </w:tabs>
        <w:spacing w:after="40"/>
        <w:ind w:left="1440"/>
        <w:rPr>
          <w:lang w:val="de-DE"/>
        </w:rPr>
      </w:pPr>
      <w:r w:rsidRPr="00BB5519">
        <w:rPr>
          <w:rFonts w:eastAsia="Calibri" w:cs="Tahoma"/>
          <w:szCs w:val="18"/>
          <w:lang w:val="de-DE"/>
        </w:rPr>
        <w:t>Kunden sind berechtigt, Lizenzen einem anderen Server neu zuzuweisen. Wenn der Kunde jedoch eine Lizenz einem anderen Server neu zuweist, muss der Kunde die Nutzungsrechte für SQL Server 2012 befolgen. Beim Zuweisen von Core-Lizenzen zu Servern unter den Nutzungsrechten für SQL 2012 ist der Kunde berechtigt, die Core-Äquivalenz seiner vorhandenen Lizenzen mit zusätzlichen Core-Lizenzen für SQL Server 2012 zu kombinieren.</w:t>
      </w:r>
    </w:p>
    <w:p w:rsidR="00A81E83" w:rsidRPr="00BB5519" w:rsidRDefault="00A81E83" w:rsidP="00E30AB2">
      <w:pPr>
        <w:numPr>
          <w:ilvl w:val="0"/>
          <w:numId w:val="67"/>
        </w:numPr>
        <w:tabs>
          <w:tab w:val="left" w:pos="1440"/>
        </w:tabs>
        <w:spacing w:after="40"/>
        <w:ind w:left="1440"/>
        <w:rPr>
          <w:lang w:val="de-DE"/>
        </w:rPr>
      </w:pPr>
      <w:r w:rsidRPr="00BB5519">
        <w:rPr>
          <w:rFonts w:eastAsia="Calibri" w:cs="Tahoma"/>
          <w:szCs w:val="18"/>
          <w:lang w:val="de-DE"/>
        </w:rPr>
        <w:t>Die angenommene Core-Lizenzäquivalenz der Kunden impliziert nicht, dass sie berechtigt sind, eine</w:t>
      </w:r>
      <w:r w:rsidR="00842642">
        <w:rPr>
          <w:rFonts w:eastAsia="Calibri" w:cs="Tahoma"/>
          <w:szCs w:val="18"/>
          <w:lang w:val="de-DE"/>
        </w:rPr>
        <w:t> </w:t>
      </w:r>
      <w:r w:rsidRPr="00BB5519">
        <w:rPr>
          <w:rFonts w:eastAsia="Calibri" w:cs="Tahoma"/>
          <w:szCs w:val="18"/>
          <w:lang w:val="de-DE"/>
        </w:rPr>
        <w:t>einzelne Prozessorlizenz Cores auf zwei oder mehr Prozessoren zuzuweisen.</w:t>
      </w:r>
    </w:p>
    <w:p w:rsidR="009C7505" w:rsidRPr="00BB5519" w:rsidRDefault="009C7505" w:rsidP="009C7505">
      <w:pPr>
        <w:tabs>
          <w:tab w:val="left" w:pos="1440"/>
        </w:tabs>
        <w:ind w:left="1080"/>
        <w:rPr>
          <w:lang w:val="de-DE"/>
        </w:rPr>
      </w:pPr>
    </w:p>
    <w:p w:rsidR="009C7505" w:rsidRPr="00BB5519" w:rsidRDefault="00A81E83" w:rsidP="00E30AB2">
      <w:pPr>
        <w:tabs>
          <w:tab w:val="left" w:pos="720"/>
        </w:tabs>
        <w:spacing w:after="40"/>
        <w:ind w:left="720"/>
        <w:rPr>
          <w:lang w:val="de-DE"/>
        </w:rPr>
      </w:pPr>
      <w:r w:rsidRPr="00BB5519">
        <w:rPr>
          <w:rFonts w:eastAsia="Calibri" w:cs="Tahoma"/>
          <w:b/>
          <w:szCs w:val="18"/>
          <w:lang w:val="de-DE"/>
        </w:rPr>
        <w:t>Für Kunden mit Software Assurance, die am oder nach dem 1. April 2015 abläuft, die sich gegen eine Verlängerung entscheiden</w:t>
      </w:r>
    </w:p>
    <w:p w:rsidR="00A81E83" w:rsidRPr="00BB5519" w:rsidRDefault="00A81E83" w:rsidP="009C7505">
      <w:pPr>
        <w:tabs>
          <w:tab w:val="left" w:pos="720"/>
        </w:tabs>
        <w:ind w:left="720"/>
        <w:rPr>
          <w:lang w:val="de-DE"/>
        </w:rPr>
      </w:pPr>
      <w:r w:rsidRPr="00BB5519">
        <w:rPr>
          <w:rFonts w:eastAsia="Calibri" w:cs="Tahoma"/>
          <w:color w:val="000000"/>
          <w:szCs w:val="18"/>
          <w:lang w:val="de-DE"/>
        </w:rPr>
        <w:t xml:space="preserve">Konzern-Abonnement- </w:t>
      </w:r>
      <w:r w:rsidRPr="00BB5519">
        <w:rPr>
          <w:rFonts w:eastAsia="Calibri" w:cs="Tahoma"/>
          <w:szCs w:val="18"/>
          <w:lang w:val="de-DE"/>
        </w:rPr>
        <w:t>und Open Value Subscription-</w:t>
      </w:r>
      <w:r w:rsidRPr="00BB5519">
        <w:rPr>
          <w:rFonts w:eastAsia="Calibri" w:cs="Tahoma"/>
          <w:color w:val="000000"/>
          <w:szCs w:val="18"/>
          <w:lang w:val="de-DE"/>
        </w:rPr>
        <w:t xml:space="preserve">Kunden mit Software Assurance, die am oder nach dem 1. April 2015 abläuft, die sich für ein Buy-Out von Prozessorlizenzen entscheiden, sowie sonstige Kunden, die zeitlich unbeschränkte Lizenzen unter ihrem Vertrag erwerben, haben folgende Optionen: </w:t>
      </w:r>
    </w:p>
    <w:p w:rsidR="009C7505" w:rsidRPr="00BB5519" w:rsidRDefault="009C7505" w:rsidP="009C7505">
      <w:pPr>
        <w:tabs>
          <w:tab w:val="left" w:pos="720"/>
        </w:tabs>
        <w:ind w:left="720"/>
        <w:rPr>
          <w:lang w:val="de-DE"/>
        </w:rPr>
      </w:pPr>
    </w:p>
    <w:p w:rsidR="00A81E83" w:rsidRPr="00BB5519" w:rsidRDefault="00A81E83" w:rsidP="00E30AB2">
      <w:pPr>
        <w:numPr>
          <w:ilvl w:val="2"/>
          <w:numId w:val="64"/>
        </w:numPr>
        <w:spacing w:after="40"/>
        <w:ind w:left="1440"/>
        <w:rPr>
          <w:lang w:val="de-DE"/>
        </w:rPr>
      </w:pPr>
      <w:r w:rsidRPr="00BB5519">
        <w:rPr>
          <w:rFonts w:eastAsia="Calibri" w:cs="Tahoma"/>
          <w:szCs w:val="18"/>
          <w:lang w:val="de-DE"/>
        </w:rPr>
        <w:t xml:space="preserve">Wie im ersten Absatz dieses Produkthinweises dargelegt, sind vor dem 1. April 2015 erworbene Lizenzen qualifizierende Lizenzen, und Kunden sind berechtigt, SQL Server 2012 in Übereinstimmung mit den Bestimmungen im Abschnitt oben mit der Überschrift „Für Kunden mit Software Assurance, die vor dem 1. April 2015 abläuft, die sich gegen eine Verlängerung entscheiden“ weiterhin zu verwenden, und </w:t>
      </w:r>
    </w:p>
    <w:p w:rsidR="00A81E83" w:rsidRPr="00BB5519" w:rsidRDefault="00A81E83" w:rsidP="00842642">
      <w:pPr>
        <w:numPr>
          <w:ilvl w:val="2"/>
          <w:numId w:val="64"/>
        </w:numPr>
        <w:spacing w:after="60"/>
        <w:ind w:left="1440"/>
        <w:rPr>
          <w:lang w:val="de-DE"/>
        </w:rPr>
      </w:pPr>
      <w:r w:rsidRPr="00BB5519">
        <w:rPr>
          <w:rFonts w:eastAsia="Calibri" w:cs="Tahoma"/>
          <w:szCs w:val="18"/>
          <w:lang w:val="de-DE"/>
        </w:rPr>
        <w:lastRenderedPageBreak/>
        <w:t>für Lizenzen, die nach dem 1. April 2015 erworben wurden, verfügt die Prozessorlizenz von Kunden</w:t>
      </w:r>
      <w:r w:rsidR="00842642">
        <w:rPr>
          <w:rFonts w:eastAsia="Calibri" w:cs="Tahoma"/>
          <w:szCs w:val="18"/>
          <w:lang w:val="de-DE"/>
        </w:rPr>
        <w:t> </w:t>
      </w:r>
      <w:r w:rsidRPr="00BB5519">
        <w:rPr>
          <w:rFonts w:eastAsia="Calibri" w:cs="Tahoma"/>
          <w:szCs w:val="18"/>
          <w:lang w:val="de-DE"/>
        </w:rPr>
        <w:t>über eine Core-Äquivalenz von vier Core-Lizenzen für SQL Server 2012 Standard. Für die kontinuierliche Verwendung von SQL Server 2012 auf Prozessoren, die mehr als vier Core-Lizenzen pro Prozessor erfordern, muss der Kunde die zusätzlichen Core-Lizenzen erwerben.</w:t>
      </w:r>
    </w:p>
    <w:p w:rsidR="009C7505" w:rsidRPr="00BB5519" w:rsidRDefault="009C7505" w:rsidP="009C7505">
      <w:pPr>
        <w:ind w:left="1440"/>
        <w:rPr>
          <w:lang w:val="de-DE"/>
        </w:rPr>
      </w:pPr>
    </w:p>
    <w:p w:rsidR="009C7505" w:rsidRPr="00BB5519" w:rsidRDefault="00A81E83" w:rsidP="00842642">
      <w:pPr>
        <w:spacing w:after="60"/>
        <w:ind w:left="720"/>
        <w:rPr>
          <w:lang w:val="de-DE"/>
        </w:rPr>
      </w:pPr>
      <w:r w:rsidRPr="00BB5519">
        <w:rPr>
          <w:b/>
          <w:lang w:val="de-DE"/>
        </w:rPr>
        <w:t>Für Kunden in der Volksrepublik</w:t>
      </w:r>
      <w:r w:rsidRPr="00BB5519">
        <w:rPr>
          <w:lang w:val="de-DE"/>
        </w:rPr>
        <w:t xml:space="preserve"> </w:t>
      </w:r>
      <w:r w:rsidRPr="00BB5519">
        <w:rPr>
          <w:b/>
          <w:lang w:val="de-DE"/>
        </w:rPr>
        <w:t>China, die dort Prozessorlizenzen und Software Assurance für</w:t>
      </w:r>
      <w:r w:rsidR="00842642">
        <w:rPr>
          <w:b/>
          <w:lang w:val="de-DE"/>
        </w:rPr>
        <w:t> </w:t>
      </w:r>
      <w:r w:rsidRPr="00BB5519">
        <w:rPr>
          <w:b/>
          <w:lang w:val="de-DE"/>
        </w:rPr>
        <w:t>SQL Server 2008 R2 erwerben</w:t>
      </w:r>
    </w:p>
    <w:p w:rsidR="001D7A2C" w:rsidRPr="00BB5519" w:rsidRDefault="00A81E83" w:rsidP="009C7505">
      <w:pPr>
        <w:ind w:left="720"/>
        <w:rPr>
          <w:lang w:val="de-DE"/>
        </w:rPr>
      </w:pPr>
      <w:r w:rsidRPr="00BB5519">
        <w:rPr>
          <w:lang w:val="de-DE"/>
        </w:rPr>
        <w:t>Die Verweise auf den 1. April 2012 und den 1. April 2015 in dieser Produktliste sind nicht anwendbar. Die anwendbaren Daten für diese Kunden sind der 1. Juli 2012 bzw. der 1. Juli 2015.</w:t>
      </w:r>
      <w:bookmarkStart w:id="1469" w:name="_821_SQL_Server®"/>
      <w:bookmarkEnd w:id="1420"/>
      <w:bookmarkEnd w:id="1421"/>
      <w:bookmarkEnd w:id="1422"/>
      <w:bookmarkEnd w:id="1423"/>
      <w:bookmarkEnd w:id="1469"/>
    </w:p>
    <w:p w:rsidR="009C7505" w:rsidRPr="00BB5519" w:rsidRDefault="009C7505" w:rsidP="009C7505">
      <w:pPr>
        <w:rPr>
          <w:lang w:val="de-DE"/>
        </w:rPr>
      </w:pPr>
    </w:p>
    <w:p w:rsidR="00602EF4" w:rsidRPr="00BB5519" w:rsidRDefault="00602EF4" w:rsidP="00602EF4">
      <w:pPr>
        <w:rPr>
          <w:lang w:val="de-DE"/>
        </w:rPr>
      </w:pPr>
      <w:bookmarkStart w:id="1470" w:name="Srv_82SysCtrDataProMgr07StdSvrMgmtML"/>
      <w:bookmarkStart w:id="1471" w:name="Srv_78SysCtrDataProMgr07StdSvrMgmtML"/>
      <w:bookmarkStart w:id="1472" w:name="Srv_79SysCtrDataProMgr07StdSvrMgmtML"/>
    </w:p>
    <w:p w:rsidR="00023FE7" w:rsidRPr="00BB5519" w:rsidRDefault="00F66FB0" w:rsidP="00842642">
      <w:pPr>
        <w:pStyle w:val="Heading3"/>
        <w:keepNext/>
        <w:keepLines/>
        <w:rPr>
          <w:lang w:val="de-DE"/>
        </w:rPr>
      </w:pPr>
      <w:bookmarkStart w:id="1473" w:name="_79_System_Center"/>
      <w:bookmarkStart w:id="1474" w:name="_86_84_System"/>
      <w:bookmarkStart w:id="1475" w:name="_Toc336338351"/>
      <w:bookmarkStart w:id="1476" w:name="_Toc354055040"/>
      <w:bookmarkStart w:id="1477" w:name="Srv_79SystemCenterEssentials07"/>
      <w:bookmarkStart w:id="1478" w:name="Srv_80SystemCenterEssentials07"/>
      <w:bookmarkStart w:id="1479" w:name="Srv_83SystemCenterEssentials07"/>
      <w:bookmarkEnd w:id="1470"/>
      <w:bookmarkEnd w:id="1471"/>
      <w:bookmarkEnd w:id="1472"/>
      <w:bookmarkEnd w:id="1473"/>
      <w:bookmarkEnd w:id="1474"/>
      <w:r w:rsidRPr="00BB5519">
        <w:rPr>
          <w:rFonts w:ascii="Tahoma" w:hAnsi="Tahoma"/>
          <w:caps/>
          <w:color w:val="F66400"/>
          <w:sz w:val="22"/>
          <w:vertAlign w:val="superscript"/>
          <w:lang w:val="de-DE"/>
        </w:rPr>
        <w:t>85</w:t>
      </w:r>
      <w:r w:rsidRPr="00BB5519">
        <w:rPr>
          <w:rFonts w:ascii="Tahoma" w:hAnsi="Tahoma"/>
          <w:color w:val="F66400"/>
          <w:sz w:val="22"/>
          <w:lang w:val="de-DE"/>
        </w:rPr>
        <w:t xml:space="preserve"> System Center Essentials 2010</w:t>
      </w:r>
      <w:bookmarkEnd w:id="1475"/>
      <w:bookmarkEnd w:id="1476"/>
    </w:p>
    <w:bookmarkEnd w:id="1477"/>
    <w:bookmarkEnd w:id="1478"/>
    <w:bookmarkEnd w:id="1479"/>
    <w:p w:rsidR="00A30254" w:rsidRPr="00BB5519" w:rsidRDefault="00A30254" w:rsidP="00842642">
      <w:pPr>
        <w:keepNext/>
        <w:keepLines/>
        <w:spacing w:after="60"/>
        <w:ind w:left="720"/>
        <w:rPr>
          <w:lang w:val="de-DE"/>
        </w:rPr>
      </w:pPr>
    </w:p>
    <w:p w:rsidR="00A30254" w:rsidRPr="00BB5519" w:rsidRDefault="00A30254" w:rsidP="00842642">
      <w:pPr>
        <w:keepNext/>
        <w:keepLines/>
        <w:spacing w:after="60"/>
        <w:ind w:left="720"/>
        <w:rPr>
          <w:lang w:val="de-DE"/>
        </w:rPr>
      </w:pPr>
      <w:r w:rsidRPr="00BB5519">
        <w:rPr>
          <w:rFonts w:cs="Tahoma"/>
          <w:b/>
          <w:color w:val="000000"/>
          <w:szCs w:val="20"/>
          <w:lang w:val="de-DE"/>
        </w:rPr>
        <w:t>Lizenzgewährung für System Center Essentials 2010 für Software Assurance-Kunden</w:t>
      </w:r>
    </w:p>
    <w:p w:rsidR="00A30254" w:rsidRPr="00BB5519" w:rsidRDefault="00A30254" w:rsidP="00842642">
      <w:pPr>
        <w:pStyle w:val="EndnoteText"/>
        <w:keepNext/>
        <w:keepLines/>
        <w:ind w:left="720"/>
        <w:rPr>
          <w:lang w:val="de-DE"/>
        </w:rPr>
      </w:pPr>
      <w:r w:rsidRPr="00BB5519">
        <w:rPr>
          <w:rFonts w:ascii="Tahoma" w:hAnsi="Tahoma" w:cs="Tahoma"/>
          <w:sz w:val="18"/>
          <w:lang w:val="de-DE"/>
        </w:rPr>
        <w:t>Die Version 2010 von System Center Essentials (SCE) wird die letzte Freigabe des Produkts sein.</w:t>
      </w:r>
      <w:r w:rsidR="009E4976" w:rsidRPr="00BB5519">
        <w:rPr>
          <w:rFonts w:ascii="Tahoma" w:hAnsi="Tahoma" w:cs="Tahoma"/>
          <w:sz w:val="18"/>
          <w:lang w:val="de-DE"/>
        </w:rPr>
        <w:t xml:space="preserve"> </w:t>
      </w:r>
      <w:r w:rsidRPr="00BB5519">
        <w:rPr>
          <w:rFonts w:ascii="Tahoma" w:hAnsi="Tahoma" w:cs="Tahoma"/>
          <w:sz w:val="18"/>
          <w:lang w:val="de-DE"/>
        </w:rPr>
        <w:t>Kunden mit Software Assurance für SCE bis zum 1. März 2013 wird eine Lizenz für System Center 2012 ohne zusätzliche Kosten abgesehen von den Medienkosten (sofern zutreffend) gewährt.</w:t>
      </w:r>
      <w:r w:rsidR="009E4976" w:rsidRPr="00BB5519">
        <w:rPr>
          <w:rFonts w:ascii="Tahoma" w:hAnsi="Tahoma" w:cs="Tahoma"/>
          <w:sz w:val="18"/>
          <w:lang w:val="de-DE"/>
        </w:rPr>
        <w:t xml:space="preserve"> </w:t>
      </w:r>
      <w:r w:rsidRPr="00BB5519">
        <w:rPr>
          <w:rFonts w:ascii="Tahoma" w:hAnsi="Tahoma" w:cs="Tahoma"/>
          <w:sz w:val="18"/>
          <w:lang w:val="de-DE"/>
        </w:rPr>
        <w:t>Die Anzahl von System Center 2012-Lizenzen, auf die ein Kunde im Rahmen dieses Angebots Anspruch hat, variiert, da sie von der Anzahl und der Art der SCE-Lizenzen mit Software Assurance abhängt, die der Kunde erworben hat.</w:t>
      </w:r>
      <w:r w:rsidR="009E4976" w:rsidRPr="00BB5519">
        <w:rPr>
          <w:rFonts w:ascii="Tahoma" w:hAnsi="Tahoma" w:cs="Tahoma"/>
          <w:sz w:val="18"/>
          <w:lang w:val="de-DE"/>
        </w:rPr>
        <w:t xml:space="preserve"> </w:t>
      </w:r>
      <w:r w:rsidRPr="00BB5519">
        <w:rPr>
          <w:rFonts w:ascii="Tahoma" w:hAnsi="Tahoma" w:cs="Tahoma"/>
          <w:sz w:val="18"/>
          <w:lang w:val="de-DE"/>
        </w:rPr>
        <w:t>In der nachstehenden Tabelle finden Sie Einzelheiten.</w:t>
      </w:r>
    </w:p>
    <w:p w:rsidR="00A30254" w:rsidRPr="00BB5519" w:rsidRDefault="00A30254" w:rsidP="00A30254">
      <w:pPr>
        <w:pStyle w:val="EndnoteText"/>
        <w:rPr>
          <w:lang w:val="de-DE"/>
        </w:rPr>
      </w:pPr>
    </w:p>
    <w:tbl>
      <w:tblPr>
        <w:tblStyle w:val="TableGrid1"/>
        <w:tblW w:w="8644" w:type="dxa"/>
        <w:tblInd w:w="824" w:type="dxa"/>
        <w:tblLook w:val="04A0" w:firstRow="1" w:lastRow="0" w:firstColumn="1" w:lastColumn="0" w:noHBand="0" w:noVBand="1"/>
      </w:tblPr>
      <w:tblGrid>
        <w:gridCol w:w="3960"/>
        <w:gridCol w:w="4684"/>
      </w:tblGrid>
      <w:tr w:rsidR="00A30254" w:rsidRPr="00BB5519" w:rsidTr="00842642">
        <w:tc>
          <w:tcPr>
            <w:tcW w:w="3960" w:type="dxa"/>
            <w:shd w:val="clear" w:color="auto" w:fill="FABF8F"/>
            <w:hideMark/>
          </w:tcPr>
          <w:p w:rsidR="00A30254" w:rsidRPr="00BB5519" w:rsidRDefault="00A30254" w:rsidP="00CE334A">
            <w:pPr>
              <w:ind w:left="162"/>
              <w:jc w:val="center"/>
              <w:rPr>
                <w:rFonts w:cs="Tahoma"/>
                <w:b/>
                <w:bCs/>
                <w:color w:val="000000"/>
                <w:szCs w:val="18"/>
                <w:lang w:val="de-DE"/>
              </w:rPr>
            </w:pPr>
            <w:r w:rsidRPr="00BB5519">
              <w:rPr>
                <w:rFonts w:cs="Tahoma"/>
                <w:b/>
                <w:bCs/>
                <w:color w:val="000000"/>
                <w:szCs w:val="18"/>
                <w:lang w:val="de-DE"/>
              </w:rPr>
              <w:t>Qualifizierende Lizenzen mit Software Assurance</w:t>
            </w:r>
          </w:p>
        </w:tc>
        <w:tc>
          <w:tcPr>
            <w:tcW w:w="4684" w:type="dxa"/>
            <w:shd w:val="clear" w:color="auto" w:fill="FABF8F"/>
            <w:hideMark/>
          </w:tcPr>
          <w:p w:rsidR="00A30254" w:rsidRPr="00BB5519" w:rsidRDefault="00A30254" w:rsidP="00CE334A">
            <w:pPr>
              <w:ind w:left="162"/>
              <w:jc w:val="center"/>
              <w:rPr>
                <w:rFonts w:cs="Tahoma"/>
                <w:b/>
                <w:bCs/>
                <w:color w:val="000000"/>
                <w:szCs w:val="18"/>
              </w:rPr>
            </w:pPr>
            <w:r w:rsidRPr="00BB5519">
              <w:rPr>
                <w:rFonts w:cs="Tahoma"/>
                <w:b/>
                <w:bCs/>
                <w:color w:val="000000"/>
                <w:szCs w:val="18"/>
              </w:rPr>
              <w:t>System Center 2012-Lizenzgewährung</w:t>
            </w:r>
          </w:p>
        </w:tc>
      </w:tr>
      <w:tr w:rsidR="00A30254" w:rsidRPr="00D244F0" w:rsidTr="00842642">
        <w:tc>
          <w:tcPr>
            <w:tcW w:w="3960" w:type="dxa"/>
            <w:hideMark/>
          </w:tcPr>
          <w:p w:rsidR="00A30254" w:rsidRPr="00BB5519" w:rsidRDefault="00A30254" w:rsidP="00CE334A">
            <w:pPr>
              <w:ind w:left="162"/>
              <w:rPr>
                <w:rFonts w:cs="Tahoma"/>
                <w:bCs/>
                <w:color w:val="000000"/>
                <w:szCs w:val="18"/>
              </w:rPr>
            </w:pPr>
            <w:r w:rsidRPr="00BB5519">
              <w:rPr>
                <w:rFonts w:cs="Tahoma"/>
                <w:bCs/>
                <w:color w:val="000000"/>
                <w:szCs w:val="18"/>
              </w:rPr>
              <w:t>System Center Essentials 2010</w:t>
            </w:r>
          </w:p>
        </w:tc>
        <w:tc>
          <w:tcPr>
            <w:tcW w:w="4684" w:type="dxa"/>
            <w:hideMark/>
          </w:tcPr>
          <w:p w:rsidR="00A30254" w:rsidRPr="00BB5519" w:rsidRDefault="00A30254" w:rsidP="00CE334A">
            <w:pPr>
              <w:ind w:left="162"/>
              <w:rPr>
                <w:rFonts w:cs="Tahoma"/>
                <w:bCs/>
                <w:color w:val="000000"/>
                <w:szCs w:val="18"/>
                <w:lang w:val="de-DE"/>
              </w:rPr>
            </w:pPr>
            <w:r w:rsidRPr="00BB5519">
              <w:rPr>
                <w:rFonts w:cs="Tahoma"/>
                <w:bCs/>
                <w:color w:val="000000"/>
                <w:szCs w:val="18"/>
                <w:lang w:val="de-DE"/>
              </w:rPr>
              <w:t>eine Server Management-Lizenz für System Center 2012 Standard für alle acht* qualifizierenden Lizenzen</w:t>
            </w:r>
          </w:p>
        </w:tc>
      </w:tr>
      <w:tr w:rsidR="00A30254" w:rsidRPr="00D244F0" w:rsidTr="00842642">
        <w:tc>
          <w:tcPr>
            <w:tcW w:w="3960" w:type="dxa"/>
            <w:hideMark/>
          </w:tcPr>
          <w:p w:rsidR="00A30254" w:rsidRPr="00BB5519" w:rsidRDefault="00A30254" w:rsidP="00CE334A">
            <w:pPr>
              <w:ind w:left="162"/>
              <w:rPr>
                <w:rFonts w:cs="Tahoma"/>
                <w:bCs/>
                <w:color w:val="000000"/>
                <w:szCs w:val="18"/>
                <w:lang w:val="de-DE"/>
              </w:rPr>
            </w:pPr>
            <w:r w:rsidRPr="00BB5519">
              <w:rPr>
                <w:rFonts w:cs="Tahoma"/>
                <w:bCs/>
                <w:color w:val="000000"/>
                <w:szCs w:val="18"/>
                <w:lang w:val="de-DE"/>
              </w:rPr>
              <w:t>System Center Essentials 2010 mit SQL</w:t>
            </w:r>
          </w:p>
        </w:tc>
        <w:tc>
          <w:tcPr>
            <w:tcW w:w="4684" w:type="dxa"/>
            <w:hideMark/>
          </w:tcPr>
          <w:p w:rsidR="00A30254" w:rsidRPr="00BB5519" w:rsidRDefault="00A30254" w:rsidP="00CE334A">
            <w:pPr>
              <w:ind w:left="162"/>
              <w:rPr>
                <w:rFonts w:cs="Tahoma"/>
                <w:bCs/>
                <w:color w:val="000000"/>
                <w:szCs w:val="18"/>
                <w:lang w:val="de-DE"/>
              </w:rPr>
            </w:pPr>
            <w:r w:rsidRPr="00BB5519">
              <w:rPr>
                <w:rFonts w:cs="Tahoma"/>
                <w:bCs/>
                <w:color w:val="000000"/>
                <w:szCs w:val="18"/>
                <w:lang w:val="de-DE"/>
              </w:rPr>
              <w:t>eine Server Management-Lizenz für System Center 2012 Standard für jede qualifizierende Lizenz</w:t>
            </w:r>
          </w:p>
        </w:tc>
      </w:tr>
      <w:tr w:rsidR="00A30254" w:rsidRPr="00D244F0" w:rsidTr="00842642">
        <w:tc>
          <w:tcPr>
            <w:tcW w:w="3960" w:type="dxa"/>
            <w:hideMark/>
          </w:tcPr>
          <w:p w:rsidR="00A30254" w:rsidRPr="00BB5519" w:rsidRDefault="00A30254" w:rsidP="00CE334A">
            <w:pPr>
              <w:ind w:left="162"/>
              <w:rPr>
                <w:rFonts w:cs="Tahoma"/>
                <w:bCs/>
                <w:color w:val="000000"/>
                <w:szCs w:val="18"/>
                <w:lang w:val="de-DE"/>
              </w:rPr>
            </w:pPr>
            <w:r w:rsidRPr="00BB5519">
              <w:rPr>
                <w:rFonts w:cs="Tahoma"/>
                <w:bCs/>
                <w:color w:val="000000"/>
                <w:szCs w:val="18"/>
                <w:lang w:val="de-DE"/>
              </w:rPr>
              <w:t>Server-Management-Lizenz für System Center Essentials 2010</w:t>
            </w:r>
          </w:p>
        </w:tc>
        <w:tc>
          <w:tcPr>
            <w:tcW w:w="4684" w:type="dxa"/>
            <w:hideMark/>
          </w:tcPr>
          <w:p w:rsidR="00A30254" w:rsidRPr="00BB5519" w:rsidRDefault="00A30254" w:rsidP="00CE334A">
            <w:pPr>
              <w:ind w:left="162"/>
              <w:rPr>
                <w:rFonts w:cs="Tahoma"/>
                <w:bCs/>
                <w:color w:val="000000"/>
                <w:szCs w:val="18"/>
                <w:lang w:val="de-DE"/>
              </w:rPr>
            </w:pPr>
            <w:r w:rsidRPr="00BB5519">
              <w:rPr>
                <w:rFonts w:cs="Tahoma"/>
                <w:bCs/>
                <w:color w:val="000000"/>
                <w:szCs w:val="18"/>
                <w:lang w:val="de-DE"/>
              </w:rPr>
              <w:t>eine Server Management-Lizenz für System Center 2012 Standard für alle acht* qualifizierenden Lizenzen</w:t>
            </w:r>
          </w:p>
        </w:tc>
      </w:tr>
      <w:tr w:rsidR="00A30254" w:rsidRPr="00D244F0" w:rsidTr="00842642">
        <w:tc>
          <w:tcPr>
            <w:tcW w:w="3960" w:type="dxa"/>
            <w:hideMark/>
          </w:tcPr>
          <w:p w:rsidR="00A30254" w:rsidRPr="00BB5519" w:rsidRDefault="00A30254" w:rsidP="00CE334A">
            <w:pPr>
              <w:ind w:left="162"/>
              <w:rPr>
                <w:lang w:val="fr-FR"/>
              </w:rPr>
            </w:pPr>
            <w:r w:rsidRPr="00BB5519">
              <w:rPr>
                <w:rFonts w:cs="Tahoma"/>
                <w:bCs/>
                <w:color w:val="000000"/>
                <w:szCs w:val="18"/>
                <w:lang w:val="fr-FR"/>
              </w:rPr>
              <w:t>System Center Essentials 2010 Plus</w:t>
            </w:r>
          </w:p>
          <w:p w:rsidR="00A30254" w:rsidRPr="00BB5519" w:rsidRDefault="00A30254" w:rsidP="00CE334A">
            <w:pPr>
              <w:ind w:left="162"/>
              <w:rPr>
                <w:rFonts w:cs="Tahoma"/>
                <w:bCs/>
                <w:color w:val="000000"/>
                <w:szCs w:val="18"/>
                <w:lang w:val="fr-FR"/>
              </w:rPr>
            </w:pPr>
            <w:r w:rsidRPr="00BB5519">
              <w:rPr>
                <w:rFonts w:cs="Tahoma"/>
                <w:bCs/>
                <w:color w:val="000000"/>
                <w:szCs w:val="18"/>
                <w:lang w:val="fr-FR"/>
              </w:rPr>
              <w:t>Server-Management-Lizenz-Suite</w:t>
            </w:r>
          </w:p>
        </w:tc>
        <w:tc>
          <w:tcPr>
            <w:tcW w:w="4684" w:type="dxa"/>
            <w:hideMark/>
          </w:tcPr>
          <w:p w:rsidR="00A30254" w:rsidRPr="00BB5519" w:rsidRDefault="00A30254" w:rsidP="00CE334A">
            <w:pPr>
              <w:ind w:left="162"/>
              <w:rPr>
                <w:rFonts w:cs="Tahoma"/>
                <w:bCs/>
                <w:color w:val="000000"/>
                <w:szCs w:val="18"/>
                <w:lang w:val="de-DE"/>
              </w:rPr>
            </w:pPr>
            <w:r w:rsidRPr="00BB5519">
              <w:rPr>
                <w:rFonts w:cs="Tahoma"/>
                <w:bCs/>
                <w:color w:val="000000"/>
                <w:szCs w:val="18"/>
                <w:lang w:val="de-DE"/>
              </w:rPr>
              <w:t>eine Server Management-Lizenz für System Center 2012 Standard für alle zwei** qualifizierenden Lizenzen</w:t>
            </w:r>
          </w:p>
        </w:tc>
      </w:tr>
      <w:tr w:rsidR="00A30254" w:rsidRPr="00D244F0" w:rsidTr="00842642">
        <w:tc>
          <w:tcPr>
            <w:tcW w:w="3960" w:type="dxa"/>
            <w:hideMark/>
          </w:tcPr>
          <w:p w:rsidR="00A30254" w:rsidRPr="00BB5519" w:rsidRDefault="00A30254" w:rsidP="00CE334A">
            <w:pPr>
              <w:ind w:left="162"/>
              <w:rPr>
                <w:rFonts w:cs="Tahoma"/>
                <w:bCs/>
                <w:color w:val="000000"/>
                <w:szCs w:val="18"/>
                <w:lang w:val="de-DE"/>
              </w:rPr>
            </w:pPr>
            <w:r w:rsidRPr="00BB5519">
              <w:rPr>
                <w:rFonts w:cs="Tahoma"/>
                <w:bCs/>
                <w:color w:val="000000"/>
                <w:szCs w:val="18"/>
                <w:lang w:val="de-DE"/>
              </w:rPr>
              <w:t>Client-Management-Lizenz für System Center Essentials 2010</w:t>
            </w:r>
          </w:p>
        </w:tc>
        <w:tc>
          <w:tcPr>
            <w:tcW w:w="4684" w:type="dxa"/>
            <w:hideMark/>
          </w:tcPr>
          <w:p w:rsidR="00A30254" w:rsidRPr="00BB5519" w:rsidRDefault="00A30254" w:rsidP="009374EE">
            <w:pPr>
              <w:ind w:left="162"/>
              <w:rPr>
                <w:rFonts w:cs="Tahoma"/>
                <w:bCs/>
                <w:color w:val="000000"/>
                <w:szCs w:val="18"/>
                <w:lang w:val="de-DE"/>
              </w:rPr>
            </w:pPr>
            <w:r w:rsidRPr="00BB5519">
              <w:rPr>
                <w:rFonts w:cs="Tahoma"/>
                <w:bCs/>
                <w:color w:val="000000"/>
                <w:szCs w:val="18"/>
                <w:lang w:val="de-DE"/>
              </w:rPr>
              <w:t>eine Client-Management-Lizenz für System Center</w:t>
            </w:r>
            <w:r w:rsidR="009374EE">
              <w:rPr>
                <w:rFonts w:cs="Tahoma"/>
                <w:bCs/>
                <w:color w:val="000000"/>
                <w:szCs w:val="18"/>
                <w:lang w:val="de-DE"/>
              </w:rPr>
              <w:t> </w:t>
            </w:r>
            <w:r w:rsidRPr="00BB5519">
              <w:rPr>
                <w:rFonts w:cs="Tahoma"/>
                <w:bCs/>
                <w:color w:val="000000"/>
                <w:szCs w:val="18"/>
                <w:lang w:val="de-DE"/>
              </w:rPr>
              <w:t>2012 Configuration Manager für jede qualifizierende</w:t>
            </w:r>
            <w:r w:rsidR="009374EE">
              <w:rPr>
                <w:rFonts w:cs="Tahoma"/>
                <w:bCs/>
                <w:color w:val="000000"/>
                <w:szCs w:val="18"/>
                <w:lang w:val="de-DE"/>
              </w:rPr>
              <w:t> </w:t>
            </w:r>
            <w:r w:rsidRPr="00BB5519">
              <w:rPr>
                <w:rFonts w:cs="Tahoma"/>
                <w:bCs/>
                <w:color w:val="000000"/>
                <w:szCs w:val="18"/>
                <w:lang w:val="de-DE"/>
              </w:rPr>
              <w:t>Lizenz</w:t>
            </w:r>
          </w:p>
        </w:tc>
      </w:tr>
      <w:tr w:rsidR="00A30254" w:rsidRPr="00D244F0" w:rsidTr="00842642">
        <w:tc>
          <w:tcPr>
            <w:tcW w:w="3960" w:type="dxa"/>
            <w:hideMark/>
          </w:tcPr>
          <w:p w:rsidR="00A30254" w:rsidRPr="00BB5519" w:rsidRDefault="00A30254" w:rsidP="00CE334A">
            <w:pPr>
              <w:ind w:left="162"/>
              <w:rPr>
                <w:rFonts w:cs="Tahoma"/>
                <w:bCs/>
                <w:color w:val="000000"/>
                <w:szCs w:val="18"/>
              </w:rPr>
            </w:pPr>
            <w:r w:rsidRPr="00BB5519">
              <w:rPr>
                <w:rFonts w:cs="Tahoma"/>
                <w:bCs/>
                <w:color w:val="000000"/>
                <w:szCs w:val="18"/>
              </w:rPr>
              <w:t>Client-Management-Lizenz für System Center Essentials 2010 Plus</w:t>
            </w:r>
          </w:p>
        </w:tc>
        <w:tc>
          <w:tcPr>
            <w:tcW w:w="4684" w:type="dxa"/>
            <w:hideMark/>
          </w:tcPr>
          <w:p w:rsidR="00A30254" w:rsidRPr="00BB5519" w:rsidRDefault="00A30254" w:rsidP="009374EE">
            <w:pPr>
              <w:ind w:left="162"/>
              <w:rPr>
                <w:rFonts w:cs="Tahoma"/>
                <w:bCs/>
                <w:color w:val="000000"/>
                <w:szCs w:val="18"/>
                <w:lang w:val="de-DE"/>
              </w:rPr>
            </w:pPr>
            <w:r w:rsidRPr="00BB5519">
              <w:rPr>
                <w:rFonts w:cs="Tahoma"/>
                <w:bCs/>
                <w:color w:val="000000"/>
                <w:szCs w:val="18"/>
                <w:lang w:val="de-DE"/>
              </w:rPr>
              <w:t>eine Client-Management-Lizenz für System Center</w:t>
            </w:r>
            <w:r w:rsidR="009374EE">
              <w:rPr>
                <w:rFonts w:cs="Tahoma"/>
                <w:bCs/>
                <w:color w:val="000000"/>
                <w:szCs w:val="18"/>
                <w:lang w:val="de-DE"/>
              </w:rPr>
              <w:t> </w:t>
            </w:r>
            <w:r w:rsidRPr="00BB5519">
              <w:rPr>
                <w:rFonts w:cs="Tahoma"/>
                <w:bCs/>
                <w:color w:val="000000"/>
                <w:szCs w:val="18"/>
                <w:lang w:val="de-DE"/>
              </w:rPr>
              <w:t>2012 Configuration Manager für jede qualifizierende</w:t>
            </w:r>
            <w:r w:rsidR="009374EE">
              <w:rPr>
                <w:rFonts w:cs="Tahoma"/>
                <w:bCs/>
                <w:color w:val="000000"/>
                <w:szCs w:val="18"/>
                <w:lang w:val="de-DE"/>
              </w:rPr>
              <w:t> </w:t>
            </w:r>
            <w:r w:rsidRPr="00BB5519">
              <w:rPr>
                <w:rFonts w:cs="Tahoma"/>
                <w:bCs/>
                <w:color w:val="000000"/>
                <w:szCs w:val="18"/>
                <w:lang w:val="de-DE"/>
              </w:rPr>
              <w:t>Lizenz</w:t>
            </w:r>
          </w:p>
        </w:tc>
      </w:tr>
      <w:tr w:rsidR="00A30254" w:rsidRPr="00D244F0" w:rsidTr="00842642">
        <w:tc>
          <w:tcPr>
            <w:tcW w:w="3960" w:type="dxa"/>
            <w:hideMark/>
          </w:tcPr>
          <w:p w:rsidR="00A30254" w:rsidRPr="00BB5519" w:rsidRDefault="00A30254" w:rsidP="00CE334A">
            <w:pPr>
              <w:ind w:left="162"/>
              <w:rPr>
                <w:rFonts w:cs="Tahoma"/>
                <w:bCs/>
                <w:color w:val="000000"/>
                <w:szCs w:val="18"/>
              </w:rPr>
            </w:pPr>
            <w:r w:rsidRPr="00BB5519">
              <w:rPr>
                <w:rFonts w:cs="Tahoma"/>
                <w:bCs/>
                <w:color w:val="000000"/>
                <w:szCs w:val="18"/>
              </w:rPr>
              <w:t>Serverlizenz für Virtual Machine Manager Workgroup Edition</w:t>
            </w:r>
          </w:p>
        </w:tc>
        <w:tc>
          <w:tcPr>
            <w:tcW w:w="4684" w:type="dxa"/>
            <w:hideMark/>
          </w:tcPr>
          <w:p w:rsidR="00A30254" w:rsidRPr="00BB5519" w:rsidRDefault="00A30254" w:rsidP="009374EE">
            <w:pPr>
              <w:ind w:left="162"/>
              <w:rPr>
                <w:rFonts w:cs="Tahoma"/>
                <w:bCs/>
                <w:color w:val="000000"/>
                <w:szCs w:val="18"/>
                <w:lang w:val="de-DE"/>
              </w:rPr>
            </w:pPr>
            <w:r w:rsidRPr="00BB5519">
              <w:rPr>
                <w:rFonts w:cs="Tahoma"/>
                <w:bCs/>
                <w:color w:val="000000"/>
                <w:szCs w:val="18"/>
                <w:lang w:val="de-DE"/>
              </w:rPr>
              <w:t>eine Server Management-Lizenz für System Center</w:t>
            </w:r>
            <w:r w:rsidR="009374EE">
              <w:rPr>
                <w:rFonts w:cs="Tahoma"/>
                <w:bCs/>
                <w:color w:val="000000"/>
                <w:szCs w:val="18"/>
                <w:lang w:val="de-DE"/>
              </w:rPr>
              <w:t> </w:t>
            </w:r>
            <w:r w:rsidRPr="00BB5519">
              <w:rPr>
                <w:rFonts w:cs="Tahoma"/>
                <w:bCs/>
                <w:color w:val="000000"/>
                <w:szCs w:val="18"/>
                <w:lang w:val="de-DE"/>
              </w:rPr>
              <w:t>2012 Standard für alle zwei** qualifizierenden</w:t>
            </w:r>
            <w:r w:rsidR="009374EE">
              <w:rPr>
                <w:rFonts w:cs="Tahoma"/>
                <w:bCs/>
                <w:color w:val="000000"/>
                <w:szCs w:val="18"/>
                <w:lang w:val="de-DE"/>
              </w:rPr>
              <w:t> </w:t>
            </w:r>
            <w:r w:rsidRPr="00BB5519">
              <w:rPr>
                <w:rFonts w:cs="Tahoma"/>
                <w:bCs/>
                <w:color w:val="000000"/>
                <w:szCs w:val="18"/>
                <w:lang w:val="de-DE"/>
              </w:rPr>
              <w:t>Lizenzen</w:t>
            </w:r>
          </w:p>
        </w:tc>
      </w:tr>
    </w:tbl>
    <w:p w:rsidR="00A30254" w:rsidRPr="00BB5519" w:rsidRDefault="00A30254" w:rsidP="00842642">
      <w:pPr>
        <w:pStyle w:val="EndnoteText"/>
        <w:spacing w:before="40"/>
        <w:ind w:left="907"/>
        <w:rPr>
          <w:lang w:val="de-DE"/>
        </w:rPr>
      </w:pPr>
      <w:r w:rsidRPr="00BB5519">
        <w:rPr>
          <w:rFonts w:ascii="Tahoma" w:hAnsi="Tahoma" w:cs="Tahoma"/>
          <w:i/>
          <w:sz w:val="16"/>
          <w:szCs w:val="16"/>
          <w:lang w:val="de-DE"/>
        </w:rPr>
        <w:t>*Bei Kunden mit weniger als acht qualifizierenden Lizenzen wird die Lizenzanzahl auf acht aufgerundet, damit die Lizenzgewährung der Kunden gemäß diesem Angebot festgelegt werden kann.</w:t>
      </w:r>
      <w:r w:rsidR="009E4976" w:rsidRPr="00BB5519">
        <w:rPr>
          <w:rFonts w:ascii="Tahoma" w:hAnsi="Tahoma" w:cs="Tahoma"/>
          <w:i/>
          <w:sz w:val="16"/>
          <w:szCs w:val="16"/>
          <w:lang w:val="de-DE"/>
        </w:rPr>
        <w:t xml:space="preserve"> </w:t>
      </w:r>
      <w:r w:rsidRPr="00BB5519">
        <w:rPr>
          <w:rFonts w:ascii="Tahoma" w:hAnsi="Tahoma" w:cs="Tahoma"/>
          <w:i/>
          <w:sz w:val="16"/>
          <w:szCs w:val="16"/>
          <w:lang w:val="de-DE"/>
        </w:rPr>
        <w:t>Gleichermaßen wird bei Kunden mit mehr als acht qualifizierenden Lizenzen die Lizenzanzahl auf das nächste Vielfache von acht aufgerundet, damit die Lizenzgewährung der Kunden gemäß diesem Angebot festgelegt werden kann.</w:t>
      </w:r>
    </w:p>
    <w:p w:rsidR="00A30254" w:rsidRPr="00BB5519" w:rsidRDefault="00A30254" w:rsidP="00A30254">
      <w:pPr>
        <w:pStyle w:val="EndnoteText"/>
        <w:rPr>
          <w:lang w:val="de-DE"/>
        </w:rPr>
      </w:pPr>
    </w:p>
    <w:p w:rsidR="00A30254" w:rsidRPr="00BB5519" w:rsidRDefault="00A30254" w:rsidP="00A30254">
      <w:pPr>
        <w:pStyle w:val="EndnoteText"/>
        <w:rPr>
          <w:lang w:val="de-DE"/>
        </w:rPr>
      </w:pPr>
      <w:r w:rsidRPr="00BB5519">
        <w:rPr>
          <w:rFonts w:ascii="Tahoma" w:hAnsi="Tahoma" w:cs="Tahoma"/>
          <w:i/>
          <w:sz w:val="16"/>
          <w:szCs w:val="16"/>
          <w:lang w:val="de-DE"/>
        </w:rPr>
        <w:t>**Bei Kunden mit weniger als zwei qualifizierenden Lizenzen wird die Lizenzanzahl auf zwei aufgerundet, damit die Lizenzgewährung der Kunden gemäß diesem Angebot festgelegt werden kann.</w:t>
      </w:r>
      <w:r w:rsidR="009E4976" w:rsidRPr="00BB5519">
        <w:rPr>
          <w:rFonts w:ascii="Tahoma" w:hAnsi="Tahoma" w:cs="Tahoma"/>
          <w:i/>
          <w:sz w:val="16"/>
          <w:szCs w:val="16"/>
          <w:lang w:val="de-DE"/>
        </w:rPr>
        <w:t xml:space="preserve"> </w:t>
      </w:r>
      <w:r w:rsidRPr="00BB5519">
        <w:rPr>
          <w:rFonts w:ascii="Tahoma" w:hAnsi="Tahoma" w:cs="Tahoma"/>
          <w:i/>
          <w:sz w:val="16"/>
          <w:szCs w:val="16"/>
          <w:lang w:val="de-DE"/>
        </w:rPr>
        <w:t>Gleichermaßen wird bei Kunden mit mehr als zwei qualifizierenden Lizenzen die Lizenzanzahl auf das nächste Vielfache von zwei aufgerundet, damit die Lizenzgewährung der Kunden gemäß diesem Angebot festgelegt werden kann.</w:t>
      </w:r>
    </w:p>
    <w:p w:rsidR="00A30254" w:rsidRPr="00BB5519" w:rsidRDefault="00A30254" w:rsidP="00CE334A">
      <w:pPr>
        <w:spacing w:line="276" w:lineRule="auto"/>
        <w:rPr>
          <w:lang w:val="de-DE"/>
        </w:rPr>
      </w:pPr>
    </w:p>
    <w:p w:rsidR="00A30254" w:rsidRPr="00BB5519" w:rsidRDefault="00A30254" w:rsidP="00842642">
      <w:pPr>
        <w:pStyle w:val="EndnoteText"/>
        <w:ind w:left="720"/>
        <w:rPr>
          <w:lang w:val="de-DE"/>
        </w:rPr>
      </w:pPr>
      <w:r w:rsidRPr="00BB5519">
        <w:rPr>
          <w:rFonts w:ascii="Tahoma" w:hAnsi="Tahoma" w:cs="Tahoma"/>
          <w:sz w:val="18"/>
          <w:szCs w:val="18"/>
          <w:lang w:val="de-DE"/>
        </w:rPr>
        <w:t>Alle im Rahmen dieses Angebots gewährten Lizenzen umfassen Software Assurance. Diese gilt bis zum Ablauf von Software Assurance für die qualifizierenden SCE-Lizenzen. Danach können die Kunden Software</w:t>
      </w:r>
      <w:r w:rsidR="00842642">
        <w:rPr>
          <w:rFonts w:ascii="Tahoma" w:hAnsi="Tahoma" w:cs="Tahoma"/>
          <w:sz w:val="18"/>
          <w:szCs w:val="18"/>
          <w:lang w:val="de-DE"/>
        </w:rPr>
        <w:t> </w:t>
      </w:r>
      <w:r w:rsidRPr="00BB5519">
        <w:rPr>
          <w:rFonts w:ascii="Tahoma" w:hAnsi="Tahoma" w:cs="Tahoma"/>
          <w:sz w:val="18"/>
          <w:szCs w:val="18"/>
          <w:lang w:val="de-DE"/>
        </w:rPr>
        <w:t xml:space="preserve">Assurance für die System Center 2012-Lizenz verlängern. </w:t>
      </w:r>
    </w:p>
    <w:p w:rsidR="00A30254" w:rsidRDefault="00A30254" w:rsidP="00CE334A">
      <w:pPr>
        <w:spacing w:line="276" w:lineRule="auto"/>
        <w:rPr>
          <w:lang w:val="de-DE"/>
        </w:rPr>
      </w:pPr>
    </w:p>
    <w:p w:rsidR="00E30AB2" w:rsidRPr="00BB5519" w:rsidRDefault="00E30AB2" w:rsidP="00CE334A">
      <w:pPr>
        <w:spacing w:line="276" w:lineRule="auto"/>
        <w:rPr>
          <w:lang w:val="de-DE"/>
        </w:rPr>
      </w:pPr>
    </w:p>
    <w:p w:rsidR="00A30254" w:rsidRPr="00BB5519" w:rsidRDefault="00A30254" w:rsidP="00CE334A">
      <w:pPr>
        <w:pStyle w:val="EndnoteText"/>
        <w:ind w:left="720"/>
        <w:rPr>
          <w:lang w:val="de-DE"/>
        </w:rPr>
      </w:pPr>
      <w:r w:rsidRPr="00BB5519">
        <w:rPr>
          <w:rFonts w:ascii="Tahoma" w:hAnsi="Tahoma" w:cs="Tahoma"/>
          <w:sz w:val="18"/>
          <w:szCs w:val="18"/>
          <w:lang w:val="de-DE"/>
        </w:rPr>
        <w:lastRenderedPageBreak/>
        <w:t>Die Nutzung der laut diesem Angebot gewährten Software unterliegt den Bestimmungen des Lizenzvertrages des Kunden sowie den Produktbenutzungsrechten der Software. Das Recht zur Verwendung der gewährten Software gilt bis zum Ablauf des Rechts zur Verwendung der qualifizierenden SCE-Lizenz. Im Rahmen dieses Angebots gewährte Lizenzen dürfen nicht getrennt von den zugehörigen qualifizierenden SCE-Lizenzen übertragen werden.</w:t>
      </w:r>
    </w:p>
    <w:p w:rsidR="00A30254" w:rsidRPr="00BB5519" w:rsidRDefault="00A30254" w:rsidP="00CE334A">
      <w:pPr>
        <w:pStyle w:val="EndnoteText"/>
        <w:ind w:left="720"/>
        <w:rPr>
          <w:lang w:val="de-DE"/>
        </w:rPr>
      </w:pPr>
    </w:p>
    <w:p w:rsidR="00A30254" w:rsidRPr="00BB5519" w:rsidRDefault="00A30254" w:rsidP="00CE334A">
      <w:pPr>
        <w:ind w:left="720"/>
        <w:rPr>
          <w:lang w:val="de-DE"/>
        </w:rPr>
      </w:pPr>
      <w:r w:rsidRPr="00BB5519">
        <w:rPr>
          <w:lang w:val="de-DE"/>
        </w:rPr>
        <w:t xml:space="preserve">Auch nach dem 1. März 2013 erworbene </w:t>
      </w:r>
      <w:r w:rsidRPr="00BB5519">
        <w:rPr>
          <w:rFonts w:eastAsia="Calibri" w:cs="Tahoma"/>
          <w:color w:val="000000"/>
          <w:szCs w:val="18"/>
          <w:lang w:val="de-DE"/>
        </w:rPr>
        <w:t>SCE</w:t>
      </w:r>
      <w:r w:rsidRPr="00BB5519">
        <w:rPr>
          <w:rFonts w:cs="Tahoma"/>
          <w:bCs/>
          <w:szCs w:val="18"/>
          <w:lang w:val="de-DE"/>
        </w:rPr>
        <w:t xml:space="preserve"> -Lizenzen, die im Rahmen des jährlichen True Up-Prozesses für Konzernbeitritte oder Beitritte für Bildungslösungen, bei dem Lizenzen für </w:t>
      </w:r>
      <w:r w:rsidRPr="00BB5519">
        <w:rPr>
          <w:rFonts w:eastAsia="Calibri" w:cs="Tahoma"/>
          <w:color w:val="000000"/>
          <w:szCs w:val="18"/>
          <w:lang w:val="de-DE"/>
        </w:rPr>
        <w:t>SCE</w:t>
      </w:r>
      <w:r w:rsidRPr="00BB5519">
        <w:rPr>
          <w:rFonts w:cs="Tahoma"/>
          <w:bCs/>
          <w:szCs w:val="18"/>
          <w:lang w:val="de-DE"/>
        </w:rPr>
        <w:t xml:space="preserve"> vor dem 1. März 2013 erworben wurden, sind im Sinne dieses Angebots ebenfalls qualifizierende SCE-Lizenzen.</w:t>
      </w:r>
    </w:p>
    <w:p w:rsidR="00A30254" w:rsidRPr="00BB5519" w:rsidRDefault="00A30254" w:rsidP="00CE334A">
      <w:pPr>
        <w:ind w:left="720"/>
        <w:rPr>
          <w:lang w:val="de-DE"/>
        </w:rPr>
      </w:pPr>
    </w:p>
    <w:p w:rsidR="00A30254" w:rsidRPr="00BB5519" w:rsidRDefault="00A30254" w:rsidP="00842642">
      <w:pPr>
        <w:keepNext/>
        <w:keepLines/>
        <w:ind w:left="720"/>
        <w:rPr>
          <w:lang w:val="de-DE"/>
        </w:rPr>
      </w:pPr>
      <w:r w:rsidRPr="00BB5519">
        <w:rPr>
          <w:rFonts w:cs="Tahoma"/>
          <w:bCs/>
          <w:szCs w:val="18"/>
          <w:lang w:val="de-DE"/>
        </w:rPr>
        <w:t>Für den Beitritt für Bildungslösungen, Konzern-Abonnement-Verträge, Campus- und School-Verträge und Open Value Subscription-Vertragskunden werden vorübergehend bis zum Ende der Lizenz-Beitrittslaufzeit die gleichen Rechte gewährt, sofern die Lizenzen und die Software Assurance während des Gewährungszeitraums gültig sind und der Kunde das Abonnement ununterbrochen aufrechterhält.</w:t>
      </w:r>
      <w:r w:rsidR="009E4976" w:rsidRPr="00BB5519">
        <w:rPr>
          <w:rFonts w:cs="Tahoma"/>
          <w:bCs/>
          <w:szCs w:val="18"/>
          <w:lang w:val="de-DE"/>
        </w:rPr>
        <w:t xml:space="preserve"> </w:t>
      </w:r>
      <w:r w:rsidRPr="00BB5519">
        <w:rPr>
          <w:rFonts w:cs="Tahoma"/>
          <w:bCs/>
          <w:szCs w:val="18"/>
          <w:lang w:val="de-DE"/>
        </w:rPr>
        <w:t>Diese Rechte werden erst nach Ausübung der Buy-Out-Option zeitlich unbeschränkt und unterliegen weiterhin allen Bestimmungen des Lizenzvertrages des Kunden.</w:t>
      </w:r>
    </w:p>
    <w:p w:rsidR="00A30254" w:rsidRPr="00BB5519" w:rsidRDefault="00A30254" w:rsidP="00602EF4">
      <w:pPr>
        <w:spacing w:after="60"/>
        <w:ind w:left="720"/>
        <w:rPr>
          <w:lang w:val="de-DE"/>
        </w:rPr>
      </w:pPr>
    </w:p>
    <w:p w:rsidR="00CE2BD2" w:rsidRPr="00BB5519" w:rsidRDefault="00CE2BD2" w:rsidP="006D6A83">
      <w:pPr>
        <w:spacing w:after="60"/>
        <w:ind w:left="720"/>
        <w:rPr>
          <w:lang w:val="de-DE"/>
        </w:rPr>
      </w:pPr>
      <w:r w:rsidRPr="00BB5519">
        <w:rPr>
          <w:rFonts w:cs="Tahoma"/>
          <w:b/>
          <w:color w:val="000000"/>
          <w:szCs w:val="20"/>
          <w:lang w:val="de-DE"/>
        </w:rPr>
        <w:t>Migrationspfad von System Center Essentials 2007 (SCE 2007) auf System Center Essentials 2010 (SCE 2010)</w:t>
      </w:r>
    </w:p>
    <w:p w:rsidR="00A30254" w:rsidRPr="00BB5519" w:rsidRDefault="00A30254" w:rsidP="00A30254">
      <w:pPr>
        <w:ind w:left="720"/>
        <w:rPr>
          <w:lang w:val="de-DE"/>
        </w:rPr>
      </w:pPr>
      <w:r w:rsidRPr="00BB5519">
        <w:rPr>
          <w:rFonts w:cs="Tahoma"/>
          <w:color w:val="000000"/>
          <w:szCs w:val="20"/>
          <w:lang w:val="de-DE"/>
        </w:rPr>
        <w:t>Die Bestimmungen, die das Recht der Kunden auf ein Upgrade von SCE 2007 auf SCE 2010 gemäß Software Assurance regeln, finden Sie in der Produktliste vom Februar 2013.</w:t>
      </w:r>
    </w:p>
    <w:p w:rsidR="00CE2BD2" w:rsidRPr="00BB5519" w:rsidRDefault="00CE2BD2" w:rsidP="0037081F">
      <w:pPr>
        <w:ind w:left="720"/>
        <w:rPr>
          <w:lang w:val="de-DE"/>
        </w:rPr>
      </w:pPr>
    </w:p>
    <w:p w:rsidR="00CE2BD2" w:rsidRPr="00BB5519" w:rsidRDefault="00CE2BD2" w:rsidP="00CE2BD2">
      <w:pPr>
        <w:ind w:left="720"/>
        <w:rPr>
          <w:lang w:val="de-DE"/>
        </w:rPr>
      </w:pPr>
    </w:p>
    <w:p w:rsidR="00ED5504" w:rsidRPr="00BB5519" w:rsidRDefault="00F66FB0" w:rsidP="00ED5504">
      <w:pPr>
        <w:pStyle w:val="Heading3"/>
        <w:rPr>
          <w:lang w:val="de-DE"/>
        </w:rPr>
      </w:pPr>
      <w:bookmarkStart w:id="1480" w:name="_80_System_Center"/>
      <w:bookmarkStart w:id="1481" w:name="_95_System_Center"/>
      <w:bookmarkStart w:id="1482" w:name="_81_System_Center"/>
      <w:bookmarkStart w:id="1483" w:name="_82_System_Center"/>
      <w:bookmarkStart w:id="1484" w:name="_83_System_Center"/>
      <w:bookmarkStart w:id="1485" w:name="_84__System"/>
      <w:bookmarkStart w:id="1486" w:name="_87_85_System"/>
      <w:bookmarkStart w:id="1487" w:name="_Toc336338353"/>
      <w:bookmarkStart w:id="1488" w:name="_Toc354055041"/>
      <w:bookmarkStart w:id="1489" w:name="Srv_88SystemCtrReportMgr2006"/>
      <w:bookmarkStart w:id="1490" w:name="Srv_89SysCtrSvrMgmtSuiteEnterprise"/>
      <w:bookmarkEnd w:id="1480"/>
      <w:bookmarkEnd w:id="1481"/>
      <w:bookmarkEnd w:id="1482"/>
      <w:bookmarkEnd w:id="1483"/>
      <w:bookmarkEnd w:id="1484"/>
      <w:bookmarkEnd w:id="1485"/>
      <w:bookmarkEnd w:id="1486"/>
      <w:r w:rsidRPr="00BB5519">
        <w:rPr>
          <w:rFonts w:ascii="Tahoma" w:hAnsi="Tahoma"/>
          <w:caps/>
          <w:color w:val="F66400"/>
          <w:sz w:val="22"/>
          <w:vertAlign w:val="superscript"/>
          <w:lang w:val="de-DE"/>
        </w:rPr>
        <w:t>86</w:t>
      </w:r>
      <w:r w:rsidRPr="00BB5519">
        <w:rPr>
          <w:rFonts w:ascii="Tahoma" w:hAnsi="Tahoma"/>
          <w:color w:val="F66400"/>
          <w:sz w:val="22"/>
          <w:lang w:val="de-DE"/>
        </w:rPr>
        <w:t xml:space="preserve"> System Center Reporting Manager 2006</w:t>
      </w:r>
      <w:bookmarkEnd w:id="1487"/>
      <w:bookmarkEnd w:id="1488"/>
    </w:p>
    <w:bookmarkEnd w:id="1489"/>
    <w:p w:rsidR="00ED5504" w:rsidRPr="00BB5519" w:rsidRDefault="00ED5504" w:rsidP="00D511CC">
      <w:pPr>
        <w:pStyle w:val="EndnoteText"/>
        <w:ind w:left="0"/>
        <w:rPr>
          <w:lang w:val="de-DE"/>
        </w:rPr>
      </w:pPr>
    </w:p>
    <w:p w:rsidR="00ED5504" w:rsidRPr="00BB5519" w:rsidRDefault="00ED5504" w:rsidP="00D511CC">
      <w:pPr>
        <w:pStyle w:val="EndnoteText"/>
        <w:ind w:left="720"/>
        <w:rPr>
          <w:lang w:val="de-DE"/>
        </w:rPr>
      </w:pPr>
      <w:r w:rsidRPr="00BB5519">
        <w:rPr>
          <w:rFonts w:ascii="Tahoma" w:hAnsi="Tahoma" w:cs="Tahoma"/>
          <w:sz w:val="18"/>
          <w:lang w:val="de-DE"/>
        </w:rPr>
        <w:t>Dieses Produkt hat den Status End-Of-Life (EOL) und wird nicht mehr angeboten.</w:t>
      </w:r>
    </w:p>
    <w:p w:rsidR="00ED5504" w:rsidRPr="00BB5519" w:rsidRDefault="00ED5504" w:rsidP="00D511CC">
      <w:pPr>
        <w:pStyle w:val="EndnoteText"/>
        <w:ind w:left="720"/>
        <w:rPr>
          <w:lang w:val="de-DE"/>
        </w:rPr>
      </w:pPr>
    </w:p>
    <w:p w:rsidR="00ED5504" w:rsidRPr="00BB5519" w:rsidRDefault="00ED5504" w:rsidP="00842642">
      <w:pPr>
        <w:pStyle w:val="EndnoteText"/>
        <w:spacing w:after="60"/>
        <w:ind w:left="720"/>
        <w:rPr>
          <w:lang w:val="de-DE"/>
        </w:rPr>
      </w:pPr>
      <w:r w:rsidRPr="00BB5519">
        <w:rPr>
          <w:rFonts w:ascii="Tahoma" w:hAnsi="Tahoma" w:cs="Tahoma"/>
          <w:b/>
          <w:sz w:val="18"/>
          <w:lang w:val="de-DE"/>
        </w:rPr>
        <w:t>Einmalige Lizenzgewährung für Inhaber von Lizenzen für System Center Reporting Manager</w:t>
      </w:r>
      <w:r w:rsidR="00842642">
        <w:rPr>
          <w:rFonts w:ascii="Tahoma" w:hAnsi="Tahoma" w:cs="Tahoma"/>
          <w:b/>
          <w:sz w:val="18"/>
          <w:lang w:val="de-DE"/>
        </w:rPr>
        <w:t> </w:t>
      </w:r>
      <w:r w:rsidRPr="00BB5519">
        <w:rPr>
          <w:rFonts w:ascii="Tahoma" w:hAnsi="Tahoma" w:cs="Tahoma"/>
          <w:b/>
          <w:sz w:val="18"/>
          <w:lang w:val="de-DE"/>
        </w:rPr>
        <w:t>2006</w:t>
      </w:r>
    </w:p>
    <w:p w:rsidR="00ED5504" w:rsidRPr="00BB5519" w:rsidRDefault="00ED5504" w:rsidP="00D511CC">
      <w:pPr>
        <w:pStyle w:val="EndnoteText"/>
        <w:ind w:left="720"/>
        <w:rPr>
          <w:lang w:val="de-DE"/>
        </w:rPr>
      </w:pPr>
      <w:r w:rsidRPr="00BB5519">
        <w:rPr>
          <w:rFonts w:ascii="Tahoma" w:hAnsi="Tahoma" w:cs="Tahoma"/>
          <w:sz w:val="18"/>
          <w:lang w:val="de-DE"/>
        </w:rPr>
        <w:t>Als einmalige Ausnahme im Zusammenhang mit der Einstellung von System Center Reporting Manager 2006 gewähren wir Select-, Konzern-, Open-Lizenz- und Open Value-Kunden sowie Kunden mit Campus- und School-Vertrag mit aktiver Software Assurance für jede Lizenz für System Center Reporting Manager 2006 ab dem 31. Mai 2010 die folgenden Lizenzen ohne zusätzliche Kosten abgesehen von den Medienkosten (sofern zutreffend)</w:t>
      </w:r>
      <w:r w:rsidRPr="00BB5519">
        <w:rPr>
          <w:rFonts w:ascii="Tahoma" w:hAnsi="Tahoma" w:cs="Tahoma"/>
          <w:color w:val="000000"/>
          <w:sz w:val="18"/>
          <w:szCs w:val="20"/>
          <w:lang w:val="de-DE"/>
        </w:rPr>
        <w:t>:</w:t>
      </w:r>
    </w:p>
    <w:p w:rsidR="00ED5504" w:rsidRPr="00BB5519" w:rsidRDefault="00ED5504" w:rsidP="00D511CC">
      <w:pPr>
        <w:pStyle w:val="EndnoteText"/>
        <w:rPr>
          <w:lang w:val="de-DE"/>
        </w:rPr>
      </w:pPr>
    </w:p>
    <w:p w:rsidR="00ED5504" w:rsidRPr="00BB5519" w:rsidRDefault="00ED5504" w:rsidP="00D511CC">
      <w:pPr>
        <w:pStyle w:val="EndnoteText"/>
        <w:numPr>
          <w:ilvl w:val="0"/>
          <w:numId w:val="7"/>
        </w:numPr>
        <w:tabs>
          <w:tab w:val="left" w:pos="1440"/>
        </w:tabs>
        <w:spacing w:after="60"/>
        <w:ind w:left="1440"/>
        <w:rPr>
          <w:lang w:val="de-DE"/>
        </w:rPr>
      </w:pPr>
      <w:r w:rsidRPr="00BB5519">
        <w:rPr>
          <w:rFonts w:ascii="Tahoma" w:hAnsi="Tahoma" w:cs="Tahoma"/>
          <w:sz w:val="18"/>
          <w:lang w:val="de-DE"/>
        </w:rPr>
        <w:t>Eine Lizenz für System Center Service Manager 2010 Management Server (ohne SQL-Technologie)</w:t>
      </w:r>
    </w:p>
    <w:p w:rsidR="00ED5504" w:rsidRPr="00BB5519" w:rsidRDefault="00ED5504" w:rsidP="00D511CC">
      <w:pPr>
        <w:pStyle w:val="EndnoteText"/>
        <w:numPr>
          <w:ilvl w:val="0"/>
          <w:numId w:val="7"/>
        </w:numPr>
        <w:spacing w:after="60"/>
        <w:ind w:left="1440"/>
        <w:rPr>
          <w:lang w:val="de-DE"/>
        </w:rPr>
      </w:pPr>
      <w:r w:rsidRPr="00BB5519">
        <w:rPr>
          <w:rFonts w:ascii="Tahoma" w:hAnsi="Tahoma" w:cs="Tahoma"/>
          <w:sz w:val="18"/>
          <w:lang w:val="de-DE"/>
        </w:rPr>
        <w:t>Fünf Server-Management-Lizenzen für System Center Service Manager 2010</w:t>
      </w:r>
    </w:p>
    <w:p w:rsidR="00ED5504" w:rsidRPr="00BB5519" w:rsidRDefault="00ED5504" w:rsidP="00D511CC">
      <w:pPr>
        <w:pStyle w:val="EndnoteText"/>
        <w:numPr>
          <w:ilvl w:val="0"/>
          <w:numId w:val="7"/>
        </w:numPr>
        <w:spacing w:after="60"/>
        <w:ind w:left="1440"/>
        <w:rPr>
          <w:lang w:val="de-DE"/>
        </w:rPr>
      </w:pPr>
      <w:r w:rsidRPr="00BB5519">
        <w:rPr>
          <w:rFonts w:ascii="Tahoma" w:hAnsi="Tahoma" w:cs="Tahoma"/>
          <w:sz w:val="18"/>
          <w:lang w:val="de-DE"/>
        </w:rPr>
        <w:t>Dreißig Client-Management-Lizenzen für System Center Service Manager 2010</w:t>
      </w:r>
    </w:p>
    <w:p w:rsidR="00ED5504" w:rsidRPr="00BB5519" w:rsidRDefault="00ED5504" w:rsidP="00D511CC">
      <w:pPr>
        <w:pStyle w:val="EndnoteText"/>
        <w:ind w:left="0"/>
        <w:rPr>
          <w:lang w:val="de-DE"/>
        </w:rPr>
      </w:pPr>
    </w:p>
    <w:p w:rsidR="00ED5504" w:rsidRPr="00BB5519" w:rsidRDefault="00ED5504" w:rsidP="00D511CC">
      <w:pPr>
        <w:pStyle w:val="EndnoteText"/>
        <w:ind w:left="720"/>
        <w:rPr>
          <w:lang w:val="de-DE"/>
        </w:rPr>
      </w:pPr>
      <w:r w:rsidRPr="00BB5519">
        <w:rPr>
          <w:rFonts w:ascii="Tahoma" w:hAnsi="Tahoma" w:cs="Tahoma"/>
          <w:sz w:val="18"/>
          <w:lang w:val="de-DE"/>
        </w:rPr>
        <w:t xml:space="preserve">Alle im Rahmen dieses Angebots gewährten Lizenzen umfassen Software Assurance. Diese gilt bis zum Ablauf von Software Assurance für System Center Reporting Manager 2006. Danach können die Kunden Software Assurance für die gewährten Lizenzen verlängern. </w:t>
      </w:r>
    </w:p>
    <w:p w:rsidR="00ED5504" w:rsidRPr="00BB5519" w:rsidRDefault="00ED5504" w:rsidP="00D511CC">
      <w:pPr>
        <w:pStyle w:val="EndnoteText"/>
        <w:ind w:left="720"/>
        <w:rPr>
          <w:lang w:val="de-DE"/>
        </w:rPr>
      </w:pPr>
    </w:p>
    <w:p w:rsidR="00ED5504" w:rsidRPr="00BB5519" w:rsidRDefault="00ED5504" w:rsidP="00842642">
      <w:pPr>
        <w:pStyle w:val="EndnoteText"/>
        <w:ind w:left="720"/>
        <w:rPr>
          <w:lang w:val="de-DE"/>
        </w:rPr>
      </w:pPr>
      <w:r w:rsidRPr="00BB5519">
        <w:rPr>
          <w:rFonts w:ascii="Tahoma" w:hAnsi="Tahoma" w:cs="Tahoma"/>
          <w:sz w:val="18"/>
          <w:lang w:val="de-DE"/>
        </w:rPr>
        <w:t>Die Nutzung der laut diesem Angebot gewährten Software unterliegt den Bestimmungen des Lizenzvertrages des Kunden sowie den Produktbenutzungsrechten der Software. Das Recht zur Nutzung der</w:t>
      </w:r>
      <w:r w:rsidR="00842642">
        <w:rPr>
          <w:rFonts w:ascii="Tahoma" w:hAnsi="Tahoma" w:cs="Tahoma"/>
          <w:sz w:val="18"/>
          <w:lang w:val="de-DE"/>
        </w:rPr>
        <w:t> </w:t>
      </w:r>
      <w:r w:rsidRPr="00BB5519">
        <w:rPr>
          <w:rFonts w:ascii="Tahoma" w:hAnsi="Tahoma" w:cs="Tahoma"/>
          <w:sz w:val="18"/>
          <w:lang w:val="de-DE"/>
        </w:rPr>
        <w:t>gewährten Software gilt bis zum Ablauf des Rechts zur Nutzung der qualifizierenden Lizenz für System Center Reporting Manager 2006. Im Rahmen dieses Angebots gewährte Lizenzen dürfen nicht getrennt von</w:t>
      </w:r>
      <w:r w:rsidR="00842642">
        <w:rPr>
          <w:rFonts w:ascii="Tahoma" w:hAnsi="Tahoma" w:cs="Tahoma"/>
          <w:sz w:val="18"/>
          <w:lang w:val="de-DE"/>
        </w:rPr>
        <w:t> </w:t>
      </w:r>
      <w:r w:rsidRPr="00BB5519">
        <w:rPr>
          <w:rFonts w:ascii="Tahoma" w:hAnsi="Tahoma" w:cs="Tahoma"/>
          <w:sz w:val="18"/>
          <w:lang w:val="de-DE"/>
        </w:rPr>
        <w:t>den zugehörigen qualifizierenden Lizenzen übertragen werden.</w:t>
      </w:r>
    </w:p>
    <w:p w:rsidR="00ED5504" w:rsidRPr="00BB5519" w:rsidRDefault="00ED5504" w:rsidP="00D511CC">
      <w:pPr>
        <w:pStyle w:val="EndnoteText"/>
        <w:ind w:left="720"/>
        <w:rPr>
          <w:lang w:val="de-DE"/>
        </w:rPr>
      </w:pPr>
    </w:p>
    <w:p w:rsidR="00ED5504" w:rsidRPr="00BB5519" w:rsidRDefault="00ED5504" w:rsidP="00D511CC">
      <w:pPr>
        <w:ind w:left="720"/>
        <w:rPr>
          <w:lang w:val="de-DE"/>
        </w:rPr>
      </w:pPr>
      <w:r w:rsidRPr="00BB5519">
        <w:rPr>
          <w:rFonts w:eastAsia="Calibri" w:cs="Tahoma"/>
          <w:color w:val="000000"/>
          <w:szCs w:val="18"/>
          <w:lang w:val="de-DE"/>
        </w:rPr>
        <w:t>System Center Reporting Manager 2006-</w:t>
      </w:r>
      <w:r w:rsidRPr="00BB5519">
        <w:rPr>
          <w:rFonts w:cs="Tahoma"/>
          <w:bCs/>
          <w:szCs w:val="18"/>
          <w:lang w:val="de-DE"/>
        </w:rPr>
        <w:t xml:space="preserve"> Lizenzen, die nach dem 31.</w:t>
      </w:r>
      <w:r w:rsidR="009E4976" w:rsidRPr="00BB5519">
        <w:rPr>
          <w:rFonts w:cs="Tahoma"/>
          <w:bCs/>
          <w:szCs w:val="18"/>
          <w:lang w:val="de-DE"/>
        </w:rPr>
        <w:t xml:space="preserve"> </w:t>
      </w:r>
      <w:r w:rsidRPr="00BB5519">
        <w:rPr>
          <w:rFonts w:cs="Tahoma"/>
          <w:bCs/>
          <w:szCs w:val="18"/>
          <w:lang w:val="de-DE"/>
        </w:rPr>
        <w:t xml:space="preserve">Mai 2010 im Rahmen des jährlichen True Up-Prozesses für Konzernbeitritte erworben wurden, bei dem Lizenzen für </w:t>
      </w:r>
      <w:r w:rsidRPr="00BB5519">
        <w:rPr>
          <w:rFonts w:eastAsia="Calibri" w:cs="Tahoma"/>
          <w:color w:val="000000"/>
          <w:szCs w:val="18"/>
          <w:lang w:val="de-DE"/>
        </w:rPr>
        <w:t>System Center Reporting Manager 2006</w:t>
      </w:r>
      <w:r w:rsidRPr="00BB5519">
        <w:rPr>
          <w:rFonts w:cs="Tahoma"/>
          <w:bCs/>
          <w:szCs w:val="18"/>
          <w:lang w:val="de-DE"/>
        </w:rPr>
        <w:t xml:space="preserve"> erstmals vor dem 31. Mai 2010 erworben wurden, berechtigen im Rahmen dieses Angebots zu Lizenzen für System Center Service Manager 2010 Management Server und Server-/</w:t>
      </w:r>
      <w:r w:rsidR="00842642">
        <w:rPr>
          <w:rFonts w:cs="Tahoma"/>
          <w:bCs/>
          <w:szCs w:val="18"/>
          <w:lang w:val="de-DE"/>
        </w:rPr>
        <w:br/>
      </w:r>
      <w:r w:rsidRPr="00BB5519">
        <w:rPr>
          <w:rFonts w:cs="Tahoma"/>
          <w:bCs/>
          <w:szCs w:val="18"/>
          <w:lang w:val="de-DE"/>
        </w:rPr>
        <w:t>Client-Management-Lizenzen.</w:t>
      </w:r>
    </w:p>
    <w:p w:rsidR="00ED5504" w:rsidRDefault="00ED5504" w:rsidP="00D511CC">
      <w:pPr>
        <w:ind w:left="720"/>
        <w:rPr>
          <w:lang w:val="de-DE"/>
        </w:rPr>
      </w:pPr>
    </w:p>
    <w:p w:rsidR="00E30AB2" w:rsidRPr="00BB5519" w:rsidRDefault="00E30AB2" w:rsidP="00D511CC">
      <w:pPr>
        <w:ind w:left="720"/>
        <w:rPr>
          <w:lang w:val="de-DE"/>
        </w:rPr>
      </w:pPr>
    </w:p>
    <w:p w:rsidR="00ED5504" w:rsidRPr="00BB5519" w:rsidRDefault="00ED5504" w:rsidP="00842642">
      <w:pPr>
        <w:pStyle w:val="EndnoteText"/>
        <w:ind w:left="720" w:right="-90"/>
        <w:rPr>
          <w:lang w:val="de-DE"/>
        </w:rPr>
      </w:pPr>
      <w:r w:rsidRPr="00BB5519">
        <w:rPr>
          <w:rFonts w:ascii="Tahoma" w:hAnsi="Tahoma" w:cs="Tahoma"/>
          <w:bCs/>
          <w:sz w:val="18"/>
          <w:szCs w:val="18"/>
          <w:lang w:val="de-DE"/>
        </w:rPr>
        <w:lastRenderedPageBreak/>
        <w:t>Für Konzern-Abonnement-Verträge, mit Campus- und School-Verträge und Open Value Subscription-Verträge</w:t>
      </w:r>
      <w:r w:rsidR="00842642">
        <w:rPr>
          <w:rFonts w:ascii="Tahoma" w:hAnsi="Tahoma" w:cs="Tahoma"/>
          <w:bCs/>
          <w:sz w:val="18"/>
          <w:szCs w:val="18"/>
          <w:lang w:val="de-DE"/>
        </w:rPr>
        <w:t> </w:t>
      </w:r>
      <w:r w:rsidRPr="00BB5519">
        <w:rPr>
          <w:rFonts w:ascii="Tahoma" w:hAnsi="Tahoma" w:cs="Tahoma"/>
          <w:bCs/>
          <w:sz w:val="18"/>
          <w:szCs w:val="18"/>
          <w:lang w:val="de-DE"/>
        </w:rPr>
        <w:t>werden vorübergehend bis zum Ende der Lizenz-Beitrittslaufzeit die gleichen Rechte gewährt, sofern die Lizenzen und die Software Assurance während des Gewährungszeitraums gültig sind und der Kunde das Abonnement ununterbrochen aufrechterhält.</w:t>
      </w:r>
      <w:r w:rsidR="009E4976" w:rsidRPr="00BB5519">
        <w:rPr>
          <w:rFonts w:ascii="Tahoma" w:hAnsi="Tahoma" w:cs="Tahoma"/>
          <w:bCs/>
          <w:sz w:val="18"/>
          <w:szCs w:val="18"/>
          <w:lang w:val="de-DE"/>
        </w:rPr>
        <w:t xml:space="preserve"> </w:t>
      </w:r>
      <w:r w:rsidRPr="00BB5519">
        <w:rPr>
          <w:rFonts w:ascii="Tahoma" w:hAnsi="Tahoma" w:cs="Tahoma"/>
          <w:bCs/>
          <w:sz w:val="18"/>
          <w:szCs w:val="18"/>
          <w:lang w:val="de-DE"/>
        </w:rPr>
        <w:t>Diese Rechte werden erst nach Ausübung der Buy-Out-Option zeitlich unbeschränkt und unterliegen weiterhin allen Bestimmungen des Lizenzvertrages des Kunden.</w:t>
      </w:r>
    </w:p>
    <w:p w:rsidR="00023FE7" w:rsidRPr="00E30AB2" w:rsidRDefault="00023FE7" w:rsidP="00D511CC">
      <w:pPr>
        <w:pStyle w:val="EndnoteText"/>
        <w:rPr>
          <w:sz w:val="16"/>
          <w:szCs w:val="16"/>
          <w:lang w:val="de-DE"/>
        </w:rPr>
      </w:pPr>
    </w:p>
    <w:p w:rsidR="00ED5504" w:rsidRPr="00E30AB2" w:rsidRDefault="00ED5504" w:rsidP="00E30AB2">
      <w:pPr>
        <w:pStyle w:val="EndnoteText"/>
        <w:rPr>
          <w:sz w:val="16"/>
          <w:szCs w:val="16"/>
          <w:lang w:val="de-DE"/>
        </w:rPr>
      </w:pPr>
    </w:p>
    <w:p w:rsidR="00023FE7" w:rsidRPr="00BB5519" w:rsidRDefault="00F66FB0" w:rsidP="00E30AB2">
      <w:pPr>
        <w:pStyle w:val="Heading3"/>
        <w:rPr>
          <w:lang w:val="de-DE"/>
        </w:rPr>
      </w:pPr>
      <w:bookmarkStart w:id="1491" w:name="Srv_85SysCtrSvrMgmtSuiteEnterprise"/>
      <w:bookmarkStart w:id="1492" w:name="_85_System_Center"/>
      <w:bookmarkStart w:id="1493" w:name="_98_System_Center"/>
      <w:bookmarkStart w:id="1494" w:name="_Toc336338354"/>
      <w:bookmarkStart w:id="1495" w:name="_Toc354055042"/>
      <w:bookmarkEnd w:id="1491"/>
      <w:bookmarkEnd w:id="1492"/>
      <w:bookmarkEnd w:id="1493"/>
      <w:r w:rsidRPr="00BB5519">
        <w:rPr>
          <w:rFonts w:ascii="Tahoma" w:hAnsi="Tahoma"/>
          <w:caps/>
          <w:color w:val="F66400"/>
          <w:sz w:val="22"/>
          <w:vertAlign w:val="superscript"/>
          <w:lang w:val="de-DE"/>
        </w:rPr>
        <w:t xml:space="preserve">87 </w:t>
      </w:r>
      <w:r w:rsidRPr="00BB5519">
        <w:rPr>
          <w:rFonts w:ascii="Tahoma" w:hAnsi="Tahoma"/>
          <w:color w:val="F66400"/>
          <w:sz w:val="22"/>
          <w:lang w:val="de-DE"/>
        </w:rPr>
        <w:t>System Center Server Management Suite Enterprise</w:t>
      </w:r>
      <w:bookmarkEnd w:id="1494"/>
      <w:bookmarkEnd w:id="1495"/>
    </w:p>
    <w:bookmarkEnd w:id="1490"/>
    <w:p w:rsidR="00023FE7" w:rsidRPr="00E30AB2" w:rsidRDefault="00023FE7" w:rsidP="00E30AB2">
      <w:pPr>
        <w:pStyle w:val="EndnoteText"/>
        <w:ind w:left="720"/>
        <w:rPr>
          <w:sz w:val="16"/>
          <w:szCs w:val="16"/>
          <w:lang w:val="de-DE"/>
        </w:rPr>
      </w:pPr>
    </w:p>
    <w:p w:rsidR="00FF4CAB" w:rsidRPr="00BB5519" w:rsidRDefault="00FF4CAB" w:rsidP="00E30AB2">
      <w:pPr>
        <w:pStyle w:val="EndnoteText"/>
        <w:ind w:left="720"/>
        <w:rPr>
          <w:lang w:val="de-DE"/>
        </w:rPr>
      </w:pPr>
      <w:r w:rsidRPr="00BB5519">
        <w:rPr>
          <w:rFonts w:ascii="Tahoma" w:hAnsi="Tahoma" w:cs="Tahoma"/>
          <w:color w:val="000000"/>
          <w:sz w:val="18"/>
          <w:lang w:val="de-DE"/>
        </w:rPr>
        <w:t>Dieses Produkt hat den Status End-Of-Life (EOL) und wird nicht mehr angeboten.</w:t>
      </w:r>
    </w:p>
    <w:p w:rsidR="00D511CC" w:rsidRPr="00E30AB2" w:rsidRDefault="00D511CC" w:rsidP="00E30AB2">
      <w:pPr>
        <w:pStyle w:val="EndnoteText"/>
        <w:ind w:left="720"/>
        <w:rPr>
          <w:sz w:val="16"/>
          <w:szCs w:val="16"/>
          <w:lang w:val="de-DE"/>
        </w:rPr>
      </w:pPr>
    </w:p>
    <w:p w:rsidR="00FF4CAB" w:rsidRPr="00BB5519" w:rsidRDefault="00FF4CAB" w:rsidP="00E30AB2">
      <w:pPr>
        <w:pStyle w:val="FootnoteBulletLevel1"/>
        <w:tabs>
          <w:tab w:val="clear" w:pos="900"/>
        </w:tabs>
        <w:spacing w:before="0" w:after="60"/>
        <w:ind w:left="720" w:firstLine="0"/>
        <w:rPr>
          <w:lang w:val="de-DE"/>
        </w:rPr>
      </w:pPr>
      <w:r w:rsidRPr="00BB5519">
        <w:rPr>
          <w:rFonts w:ascii="Tahoma" w:hAnsi="Tahoma" w:cs="Tahoma"/>
          <w:b/>
          <w:sz w:val="18"/>
          <w:lang w:val="de-DE"/>
        </w:rPr>
        <w:t>Details zur einmaligen Gewährung von Übergangslizenzen für System Center 2012</w:t>
      </w:r>
    </w:p>
    <w:p w:rsidR="00FF4CAB" w:rsidRPr="00BB5519" w:rsidRDefault="00FF4CAB" w:rsidP="00D511CC">
      <w:pPr>
        <w:ind w:left="720"/>
        <w:rPr>
          <w:lang w:val="de-DE"/>
        </w:rPr>
      </w:pPr>
      <w:r w:rsidRPr="00BB5519">
        <w:rPr>
          <w:lang w:val="de-DE"/>
        </w:rPr>
        <w:t>Weitere Informationen zur Gewährung von Übergangslizenzen finden Sie im Produkthinweis zu System Center 2012-Angeboten.</w:t>
      </w:r>
    </w:p>
    <w:p w:rsidR="00FF4CAB" w:rsidRPr="00E30AB2" w:rsidRDefault="00FF4CAB" w:rsidP="00D511CC">
      <w:pPr>
        <w:ind w:left="720"/>
        <w:rPr>
          <w:sz w:val="16"/>
          <w:szCs w:val="16"/>
          <w:lang w:val="de-DE"/>
        </w:rPr>
      </w:pPr>
    </w:p>
    <w:p w:rsidR="00023FE7" w:rsidRPr="00BB5519" w:rsidRDefault="00023FE7" w:rsidP="00D511CC">
      <w:pPr>
        <w:ind w:left="720"/>
        <w:rPr>
          <w:lang w:val="de-DE"/>
        </w:rPr>
      </w:pPr>
      <w:r w:rsidRPr="00BB5519">
        <w:rPr>
          <w:rFonts w:cs="Tahoma"/>
          <w:szCs w:val="20"/>
          <w:lang w:val="de-DE"/>
        </w:rPr>
        <w:t xml:space="preserve">System Center Server Management Suite Enterprise hat </w:t>
      </w:r>
      <w:r w:rsidRPr="00BB5519">
        <w:rPr>
          <w:rFonts w:cs="Tahoma"/>
          <w:color w:val="000000"/>
          <w:szCs w:val="20"/>
          <w:lang w:val="de-DE"/>
        </w:rPr>
        <w:t>keine Versionsnummer, und die Produktbenutzungsrechte hängen vom Status der Software Assurance für System Center Server Management Suite Enterprise ab.</w:t>
      </w:r>
      <w:r w:rsidR="009E4976" w:rsidRPr="00BB5519">
        <w:rPr>
          <w:rFonts w:cs="Tahoma"/>
          <w:color w:val="000000"/>
          <w:szCs w:val="20"/>
          <w:lang w:val="de-DE"/>
        </w:rPr>
        <w:t xml:space="preserve"> </w:t>
      </w:r>
      <w:r w:rsidRPr="00BB5519">
        <w:rPr>
          <w:rFonts w:cs="Tahoma"/>
          <w:color w:val="000000"/>
          <w:szCs w:val="20"/>
          <w:lang w:val="de-DE"/>
        </w:rPr>
        <w:t>Falls Software Assurance unterbrochen wird, hängen die Zugriffsrechte im Rahmen zeitlich unbeschränkter Lizenzen von den Produktbenutzungsrechten ab, die vor der Unterbrechung galten.</w:t>
      </w:r>
      <w:r w:rsidR="009E4976" w:rsidRPr="00BB5519">
        <w:rPr>
          <w:rFonts w:cs="Tahoma"/>
          <w:color w:val="000000"/>
          <w:szCs w:val="20"/>
          <w:lang w:val="de-DE"/>
        </w:rPr>
        <w:t xml:space="preserve"> </w:t>
      </w:r>
    </w:p>
    <w:p w:rsidR="00E72B93" w:rsidRPr="00E30AB2" w:rsidRDefault="00E72B93" w:rsidP="00D511CC">
      <w:pPr>
        <w:ind w:left="720"/>
        <w:rPr>
          <w:sz w:val="16"/>
          <w:szCs w:val="16"/>
          <w:lang w:val="de-DE"/>
        </w:rPr>
      </w:pPr>
    </w:p>
    <w:p w:rsidR="005C164D" w:rsidRPr="00BB5519" w:rsidRDefault="005C164D" w:rsidP="00D511CC">
      <w:pPr>
        <w:ind w:left="720"/>
        <w:jc w:val="both"/>
        <w:rPr>
          <w:lang w:val="de-DE"/>
        </w:rPr>
      </w:pPr>
      <w:r w:rsidRPr="00BB5519">
        <w:rPr>
          <w:rFonts w:cs="Tahoma"/>
          <w:color w:val="000000"/>
          <w:szCs w:val="18"/>
          <w:lang w:val="de-DE"/>
        </w:rPr>
        <w:t>Ab dem 1. November 2010 bietet eine Lizenz für System Center Server Management Suite Enterprise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p>
    <w:p w:rsidR="00023FE7" w:rsidRPr="00E30AB2" w:rsidRDefault="00023FE7" w:rsidP="00D511CC">
      <w:pPr>
        <w:ind w:left="720"/>
        <w:rPr>
          <w:sz w:val="16"/>
          <w:szCs w:val="16"/>
          <w:lang w:val="de-DE"/>
        </w:rPr>
      </w:pPr>
    </w:p>
    <w:p w:rsidR="004323B9" w:rsidRPr="00BB5519" w:rsidRDefault="00D511CC" w:rsidP="00D511CC">
      <w:pPr>
        <w:spacing w:after="60"/>
        <w:ind w:left="720"/>
        <w:rPr>
          <w:lang w:val="de-DE"/>
        </w:rPr>
      </w:pPr>
      <w:r w:rsidRPr="00BB5519">
        <w:rPr>
          <w:rFonts w:cs="Tahoma"/>
          <w:b/>
          <w:szCs w:val="20"/>
          <w:lang w:val="de-DE"/>
        </w:rPr>
        <w:t>Lizenzgewährung</w:t>
      </w:r>
    </w:p>
    <w:p w:rsidR="004323B9" w:rsidRPr="00BB5519" w:rsidRDefault="004323B9" w:rsidP="00D511CC">
      <w:pPr>
        <w:pStyle w:val="FootnoteBulletLevel1"/>
        <w:tabs>
          <w:tab w:val="left" w:pos="900"/>
        </w:tabs>
        <w:spacing w:before="0" w:after="0"/>
        <w:ind w:left="720" w:firstLine="0"/>
        <w:rPr>
          <w:lang w:val="de-DE"/>
        </w:rPr>
      </w:pPr>
      <w:r w:rsidRPr="00BB5519">
        <w:rPr>
          <w:rFonts w:ascii="Tahoma" w:hAnsi="Tahoma" w:cs="Tahoma"/>
          <w:sz w:val="18"/>
          <w:lang w:val="de-DE"/>
        </w:rPr>
        <w:t>Einmalige Lizenzgewährung für System Center Server Management Suite Datacenter (SMSD) an Lizenzinhaber von System Center Server Management Suite Enterprise (SMSE).</w:t>
      </w:r>
    </w:p>
    <w:p w:rsidR="000A18AA" w:rsidRPr="00E30AB2" w:rsidRDefault="000A18AA" w:rsidP="00D511CC">
      <w:pPr>
        <w:pStyle w:val="FootnoteBulletLevel1"/>
        <w:tabs>
          <w:tab w:val="left" w:pos="900"/>
        </w:tabs>
        <w:spacing w:before="0" w:after="0"/>
        <w:ind w:left="720" w:firstLine="0"/>
        <w:rPr>
          <w:sz w:val="16"/>
          <w:szCs w:val="16"/>
          <w:lang w:val="de-DE"/>
        </w:rPr>
      </w:pPr>
    </w:p>
    <w:p w:rsidR="004323B9" w:rsidRPr="00BB5519" w:rsidRDefault="004323B9" w:rsidP="00D511CC">
      <w:pPr>
        <w:pStyle w:val="FootnoteBulletLevel1"/>
        <w:tabs>
          <w:tab w:val="clear" w:pos="900"/>
          <w:tab w:val="left" w:pos="720"/>
        </w:tabs>
        <w:spacing w:before="0" w:after="0"/>
        <w:ind w:left="720" w:firstLine="0"/>
      </w:pPr>
      <w:r w:rsidRPr="00BB5519">
        <w:rPr>
          <w:rFonts w:ascii="Tahoma" w:hAnsi="Tahoma" w:cs="Tahoma"/>
          <w:sz w:val="18"/>
          <w:lang w:val="de-DE"/>
        </w:rPr>
        <w:t xml:space="preserve">Als einmalige Ausnahme im Zusammenhang mit dem Übergang von SMSE* von einer Suite zur Verwaltung beliebig vieler Betriebssystemumgebungen auf einem lizenzierten Gerät zu einer Suite für die Verwaltung von maximal vier Betriebssystemumgebungen auf einem lizenzierten Gerät gewähren wir Select-, Konzern-, Open-Lizenz- und Open Value-Kunden sowie Kunden mit Campus- und School-Vertrag mit aktiver Software Assurance für SMSE ab dem 1. </w:t>
      </w:r>
      <w:r w:rsidRPr="00BB5519">
        <w:rPr>
          <w:rFonts w:ascii="Tahoma" w:hAnsi="Tahoma" w:cs="Tahoma"/>
          <w:sz w:val="18"/>
        </w:rPr>
        <w:t>Juli 2009 Folgendes:</w:t>
      </w:r>
      <w:r w:rsidRPr="00BB5519">
        <w:rPr>
          <w:rFonts w:ascii="Tahoma" w:hAnsi="Tahoma" w:cs="Tahoma"/>
          <w:color w:val="000000"/>
          <w:sz w:val="18"/>
        </w:rPr>
        <w:t>:</w:t>
      </w:r>
    </w:p>
    <w:p w:rsidR="000A18AA" w:rsidRPr="00E30AB2" w:rsidRDefault="000A18AA" w:rsidP="00D511CC">
      <w:pPr>
        <w:pStyle w:val="FootnoteBulletLevel1"/>
        <w:tabs>
          <w:tab w:val="clear" w:pos="900"/>
          <w:tab w:val="left" w:pos="720"/>
        </w:tabs>
        <w:spacing w:before="0" w:after="0"/>
        <w:ind w:left="720" w:firstLine="0"/>
        <w:rPr>
          <w:sz w:val="16"/>
          <w:szCs w:val="16"/>
        </w:rPr>
      </w:pPr>
    </w:p>
    <w:p w:rsidR="004323B9" w:rsidRPr="00BB5519" w:rsidRDefault="004323B9" w:rsidP="00414988">
      <w:pPr>
        <w:numPr>
          <w:ilvl w:val="0"/>
          <w:numId w:val="3"/>
        </w:numPr>
        <w:ind w:left="1440"/>
        <w:rPr>
          <w:lang w:val="de-DE"/>
        </w:rPr>
      </w:pPr>
      <w:r w:rsidRPr="00BB5519">
        <w:rPr>
          <w:rFonts w:cs="Tahoma"/>
          <w:color w:val="000000"/>
          <w:szCs w:val="20"/>
          <w:lang w:val="de-DE"/>
        </w:rPr>
        <w:t>Vier zusätzliche SMSD-Lizenzen für jede qualifizierende SMSE-Lizenz des Kunden mit aktiver Software Assurance ab dem 1. Juli 2009. Diese vier gewährten SMSD-Lizenzen müssen einem Gerät zugewiesen werden und dürfen nicht zur Nutzung auf zwei oder mehr Geräten getrennt</w:t>
      </w:r>
      <w:r w:rsidR="00414988">
        <w:rPr>
          <w:rFonts w:cs="Tahoma"/>
          <w:color w:val="000000"/>
          <w:szCs w:val="20"/>
          <w:lang w:val="de-DE"/>
        </w:rPr>
        <w:t> </w:t>
      </w:r>
      <w:r w:rsidRPr="00BB5519">
        <w:rPr>
          <w:rFonts w:cs="Tahoma"/>
          <w:color w:val="000000"/>
          <w:szCs w:val="20"/>
          <w:lang w:val="de-DE"/>
        </w:rPr>
        <w:t>werden.</w:t>
      </w:r>
    </w:p>
    <w:p w:rsidR="000A18AA" w:rsidRPr="00E30AB2" w:rsidRDefault="000A18AA" w:rsidP="000A18AA">
      <w:pPr>
        <w:rPr>
          <w:sz w:val="16"/>
          <w:szCs w:val="16"/>
          <w:lang w:val="de-DE"/>
        </w:rPr>
      </w:pPr>
    </w:p>
    <w:p w:rsidR="004323B9" w:rsidRPr="00BB5519" w:rsidRDefault="004323B9" w:rsidP="00D511CC">
      <w:pPr>
        <w:pStyle w:val="FootnoteBulletLevel1"/>
        <w:tabs>
          <w:tab w:val="clear" w:pos="900"/>
        </w:tabs>
        <w:spacing w:before="0" w:after="0"/>
        <w:ind w:left="720" w:firstLine="0"/>
        <w:rPr>
          <w:lang w:val="de-DE"/>
        </w:rPr>
      </w:pPr>
      <w:r w:rsidRPr="00BB5519">
        <w:rPr>
          <w:rFonts w:ascii="Tahoma" w:hAnsi="Tahoma" w:cs="Tahoma"/>
          <w:sz w:val="18"/>
          <w:lang w:val="de-DE"/>
        </w:rPr>
        <w:t>Die Verwaltungsrechte im Zusammenhang mit den zusätzlichen SMSD-Lizenzen werden statt der Verwaltungsrechte für die qualifizierende SMSE-Lizenz gewährt.</w:t>
      </w:r>
      <w:r w:rsidR="009E4976" w:rsidRPr="00BB5519">
        <w:rPr>
          <w:rFonts w:ascii="Tahoma" w:hAnsi="Tahoma" w:cs="Tahoma"/>
          <w:sz w:val="18"/>
          <w:lang w:val="de-DE"/>
        </w:rPr>
        <w:t xml:space="preserve"> </w:t>
      </w:r>
      <w:r w:rsidRPr="00BB5519">
        <w:rPr>
          <w:rFonts w:ascii="Tahoma" w:hAnsi="Tahoma" w:cs="Tahoma"/>
          <w:sz w:val="18"/>
          <w:lang w:val="de-DE"/>
        </w:rPr>
        <w:t>Durch Zuweisung der gewährten SMSD-Lizenzen verzichtet der Kunde auf seine Verwaltungsrechte im Rahmen der zugehörigen SMSE-Lizenz.</w:t>
      </w:r>
    </w:p>
    <w:p w:rsidR="004323B9" w:rsidRPr="00BB5519" w:rsidRDefault="004323B9" w:rsidP="00D511CC">
      <w:pPr>
        <w:pStyle w:val="FootnoteBulletLevel1"/>
        <w:tabs>
          <w:tab w:val="clear" w:pos="900"/>
        </w:tabs>
        <w:spacing w:before="0" w:after="0"/>
        <w:ind w:left="720" w:firstLine="0"/>
        <w:rPr>
          <w:lang w:val="de-DE"/>
        </w:rPr>
      </w:pPr>
      <w:r w:rsidRPr="00BB5519">
        <w:rPr>
          <w:rFonts w:ascii="Tahoma" w:hAnsi="Tahoma" w:cs="Tahoma"/>
          <w:sz w:val="18"/>
          <w:lang w:val="de-DE"/>
        </w:rPr>
        <w:t>Laut diesem Angebot gewährte Lizenzen unterliegen der folgenden Einschränkung:</w:t>
      </w:r>
      <w:r w:rsidRPr="00BB5519">
        <w:rPr>
          <w:rFonts w:ascii="Tahoma" w:hAnsi="Tahoma" w:cs="Tahoma"/>
          <w:color w:val="000000"/>
          <w:sz w:val="18"/>
          <w:lang w:val="de-DE"/>
        </w:rPr>
        <w:t xml:space="preserve"> Ein Satz gewährter SMSD-Lizenzen muss einem einzigen Gerät zugewiesen werden</w:t>
      </w:r>
      <w:r w:rsidRPr="00BB5519">
        <w:rPr>
          <w:rFonts w:ascii="Tahoma" w:hAnsi="Tahoma" w:cs="Tahoma"/>
          <w:sz w:val="18"/>
          <w:lang w:val="de-DE"/>
        </w:rPr>
        <w:t>.</w:t>
      </w:r>
    </w:p>
    <w:p w:rsidR="000A18AA" w:rsidRPr="00E30AB2" w:rsidRDefault="000A18AA" w:rsidP="00D511CC">
      <w:pPr>
        <w:pStyle w:val="FootnoteBulletLevel1"/>
        <w:tabs>
          <w:tab w:val="clear" w:pos="900"/>
        </w:tabs>
        <w:spacing w:before="0" w:after="0"/>
        <w:ind w:left="720" w:firstLine="0"/>
        <w:rPr>
          <w:sz w:val="16"/>
          <w:szCs w:val="16"/>
          <w:lang w:val="de-DE"/>
        </w:rPr>
      </w:pPr>
    </w:p>
    <w:p w:rsidR="00CF7343" w:rsidRPr="00BB5519" w:rsidRDefault="004323B9" w:rsidP="000A18AA">
      <w:pPr>
        <w:pStyle w:val="FootnoteBulletLevel1"/>
        <w:tabs>
          <w:tab w:val="clear" w:pos="900"/>
        </w:tabs>
        <w:spacing w:before="0" w:after="60"/>
        <w:ind w:left="720" w:firstLine="0"/>
        <w:rPr>
          <w:lang w:val="de-DE"/>
        </w:rPr>
      </w:pPr>
      <w:r w:rsidRPr="00BB5519">
        <w:rPr>
          <w:rFonts w:ascii="Tahoma" w:hAnsi="Tahoma" w:cs="Tahoma"/>
          <w:b/>
          <w:color w:val="000000"/>
          <w:sz w:val="18"/>
          <w:lang w:val="de-DE"/>
        </w:rPr>
        <w:t>Optionen bei der Verlängerung von Software Assurance</w:t>
      </w:r>
      <w:r w:rsidR="009E4976" w:rsidRPr="00BB5519">
        <w:rPr>
          <w:rFonts w:ascii="Tahoma" w:hAnsi="Tahoma" w:cs="Tahoma"/>
          <w:b/>
          <w:color w:val="000000"/>
          <w:sz w:val="18"/>
          <w:lang w:val="de-DE"/>
        </w:rPr>
        <w:t xml:space="preserve"> </w:t>
      </w:r>
    </w:p>
    <w:p w:rsidR="004323B9" w:rsidRPr="00BB5519" w:rsidRDefault="004323B9" w:rsidP="00D511CC">
      <w:pPr>
        <w:pStyle w:val="FootnoteBulletLevel1"/>
        <w:tabs>
          <w:tab w:val="clear" w:pos="900"/>
        </w:tabs>
        <w:spacing w:before="0" w:after="0"/>
        <w:ind w:left="720" w:firstLine="0"/>
      </w:pPr>
      <w:r w:rsidRPr="00BB5519">
        <w:rPr>
          <w:rFonts w:ascii="Tahoma" w:hAnsi="Tahoma" w:cs="Tahoma"/>
          <w:color w:val="000000"/>
          <w:sz w:val="18"/>
          <w:lang w:val="de-DE"/>
        </w:rPr>
        <w:t xml:space="preserve">Im Rahmen dieses Angebots gewährte Lizenzen umfassen Software Assurance bis zum Ablauf von Software Assurance für die zugehörigen qualifizierenden Lizenzen. </w:t>
      </w:r>
      <w:r w:rsidRPr="00BB5519">
        <w:rPr>
          <w:rFonts w:ascii="Tahoma" w:hAnsi="Tahoma" w:cs="Tahoma"/>
          <w:sz w:val="18"/>
        </w:rPr>
        <w:t>Danach können die Kunden Software Assurance folgendermaßen verlängern:</w:t>
      </w:r>
    </w:p>
    <w:p w:rsidR="000A18AA" w:rsidRPr="00E30AB2" w:rsidRDefault="000A18AA" w:rsidP="00D511CC">
      <w:pPr>
        <w:pStyle w:val="FootnoteBulletLevel1"/>
        <w:tabs>
          <w:tab w:val="clear" w:pos="900"/>
        </w:tabs>
        <w:spacing w:before="0" w:after="0"/>
        <w:ind w:left="720" w:firstLine="0"/>
        <w:rPr>
          <w:sz w:val="16"/>
          <w:szCs w:val="16"/>
        </w:rPr>
      </w:pPr>
    </w:p>
    <w:p w:rsidR="004323B9" w:rsidRPr="00E30AB2" w:rsidRDefault="004323B9" w:rsidP="000A18AA">
      <w:pPr>
        <w:pStyle w:val="FootnoteBulletLevel1"/>
        <w:numPr>
          <w:ilvl w:val="0"/>
          <w:numId w:val="13"/>
        </w:numPr>
        <w:tabs>
          <w:tab w:val="left" w:pos="720"/>
        </w:tabs>
        <w:spacing w:before="0" w:after="60"/>
        <w:ind w:left="1440"/>
        <w:rPr>
          <w:spacing w:val="-2"/>
          <w:lang w:val="de-DE"/>
        </w:rPr>
      </w:pPr>
      <w:r w:rsidRPr="00E30AB2">
        <w:rPr>
          <w:rFonts w:ascii="Tahoma" w:hAnsi="Tahoma" w:cs="Tahoma"/>
          <w:spacing w:val="-2"/>
          <w:sz w:val="18"/>
          <w:lang w:val="de-DE"/>
        </w:rPr>
        <w:t xml:space="preserve">Sie können Software Assurance für die ursprüngliche SMSE-Lizenz verlängern. Die Verwaltungsrechte im Rahmen der SMSE-Software Assurance hängen von den zum Zeitpunkt der Verlängerung geltenden Rechten ab. Durch die Verlängerung des Upgrade-Programms für die ursprüngliche </w:t>
      </w:r>
      <w:r w:rsidR="00E30AB2">
        <w:rPr>
          <w:rFonts w:ascii="Tahoma" w:hAnsi="Tahoma" w:cs="Tahoma"/>
          <w:spacing w:val="-2"/>
          <w:sz w:val="18"/>
          <w:lang w:val="de-DE"/>
        </w:rPr>
        <w:br/>
      </w:r>
      <w:r w:rsidRPr="00E30AB2">
        <w:rPr>
          <w:rFonts w:ascii="Tahoma" w:hAnsi="Tahoma" w:cs="Tahoma"/>
          <w:spacing w:val="-2"/>
          <w:sz w:val="18"/>
          <w:lang w:val="de-DE"/>
        </w:rPr>
        <w:t>SMSE-Lizenz verzichtet der Kunde auf seine Rechte an den vier zusätzlichen SMSD-Lizenzen.</w:t>
      </w:r>
    </w:p>
    <w:p w:rsidR="004323B9" w:rsidRPr="00BB5519" w:rsidRDefault="004323B9" w:rsidP="000A18AA">
      <w:pPr>
        <w:pStyle w:val="FootnoteBulletLevel1"/>
        <w:numPr>
          <w:ilvl w:val="0"/>
          <w:numId w:val="14"/>
        </w:numPr>
        <w:tabs>
          <w:tab w:val="left" w:pos="720"/>
        </w:tabs>
        <w:spacing w:before="0" w:after="60"/>
        <w:ind w:left="1440"/>
        <w:rPr>
          <w:lang w:val="de-DE"/>
        </w:rPr>
      </w:pPr>
      <w:r w:rsidRPr="00BB5519">
        <w:rPr>
          <w:rFonts w:ascii="Tahoma" w:hAnsi="Tahoma" w:cs="Tahoma"/>
          <w:sz w:val="18"/>
          <w:lang w:val="de-DE"/>
        </w:rPr>
        <w:t>Die Kunden können Software Assurance für die zusätzlichen SMSD-Lizenzen verlängern.</w:t>
      </w:r>
    </w:p>
    <w:p w:rsidR="004323B9" w:rsidRPr="00BB5519" w:rsidRDefault="004323B9" w:rsidP="000A18AA">
      <w:pPr>
        <w:pStyle w:val="FootnoteBulletLevel1"/>
        <w:numPr>
          <w:ilvl w:val="2"/>
          <w:numId w:val="15"/>
        </w:numPr>
        <w:tabs>
          <w:tab w:val="left" w:pos="720"/>
        </w:tabs>
        <w:spacing w:before="0" w:after="60"/>
        <w:ind w:left="1980"/>
        <w:rPr>
          <w:lang w:val="de-DE"/>
        </w:rPr>
      </w:pPr>
      <w:r w:rsidRPr="00BB5519">
        <w:rPr>
          <w:rFonts w:ascii="Tahoma" w:hAnsi="Tahoma" w:cs="Tahoma"/>
          <w:sz w:val="18"/>
          <w:lang w:val="de-DE"/>
        </w:rPr>
        <w:lastRenderedPageBreak/>
        <w:t>Dabei haben sie die Möglichkeit, Software Assurance für alle vier zusätzlichen SMSD-Lizenzen, die bei diesem Angebot gewährt werden, zu verlängern. Bei dieser Option fällt die Verpflichtung, die vier Lizenzen einem Gerät zuzuweisen, weg.</w:t>
      </w:r>
    </w:p>
    <w:p w:rsidR="004323B9" w:rsidRPr="00BB5519" w:rsidRDefault="004323B9" w:rsidP="000A18AA">
      <w:pPr>
        <w:pStyle w:val="FootnoteBulletLevel1"/>
        <w:numPr>
          <w:ilvl w:val="2"/>
          <w:numId w:val="15"/>
        </w:numPr>
        <w:tabs>
          <w:tab w:val="left" w:pos="720"/>
        </w:tabs>
        <w:spacing w:before="0" w:after="60"/>
        <w:ind w:left="1980"/>
        <w:rPr>
          <w:lang w:val="de-DE"/>
        </w:rPr>
      </w:pPr>
      <w:r w:rsidRPr="00BB5519">
        <w:rPr>
          <w:rFonts w:ascii="Tahoma" w:hAnsi="Tahoma" w:cs="Tahoma"/>
          <w:sz w:val="18"/>
          <w:lang w:val="de-DE"/>
        </w:rPr>
        <w:t>Kunden, die Software Assurance vor dem 1. Juli 2011 verlängern, können dies für zwei der vier zusätzlichen SMSD-Lizenzen tun, die bei diesem Angebot gewährt werden. In diesem Fall gilt Software Assurance für alle vier SMSD-Lizenzen als verlängert.</w:t>
      </w:r>
      <w:r w:rsidR="009E4976" w:rsidRPr="00BB5519">
        <w:rPr>
          <w:rFonts w:ascii="Tahoma" w:hAnsi="Tahoma" w:cs="Tahoma"/>
          <w:sz w:val="18"/>
          <w:lang w:val="de-DE"/>
        </w:rPr>
        <w:t xml:space="preserve"> </w:t>
      </w:r>
      <w:r w:rsidRPr="00BB5519">
        <w:rPr>
          <w:rFonts w:ascii="Tahoma" w:hAnsi="Tahoma" w:cs="Tahoma"/>
          <w:sz w:val="18"/>
          <w:lang w:val="de-DE"/>
        </w:rPr>
        <w:t>Bei dieser Option gilt die Verpflichtung, die vier Lizenzen bei Verlängerung einem Gerät zuzuweisen, auch weiterhin.</w:t>
      </w:r>
      <w:r w:rsidR="009E4976" w:rsidRPr="00BB5519">
        <w:rPr>
          <w:rFonts w:ascii="Tahoma" w:hAnsi="Tahoma" w:cs="Tahoma"/>
          <w:sz w:val="18"/>
          <w:lang w:val="de-DE"/>
        </w:rPr>
        <w:t xml:space="preserve"> </w:t>
      </w:r>
      <w:r w:rsidRPr="00BB5519">
        <w:rPr>
          <w:rFonts w:ascii="Tahoma" w:hAnsi="Tahoma" w:cs="Tahoma"/>
          <w:sz w:val="18"/>
          <w:lang w:val="de-DE"/>
        </w:rPr>
        <w:t>Bei der nächsten Verlängerung von Software Assurance können die Kunden diese auch nur für die SMSD-Lizenzen des Satzes aus vier Lizenzen verlängern, die sie tatsächlich benötigen. Zu diesem Zeitpunkt gilt anders als bei der ersten Verlängerung, dass SMSD-Lizenzen, für die Software Assurance nicht verlängert wurde, nicht mehr an diesem Programm teilnehmen. Die Pflicht, alle vier zusätzlichen SMSD-Lizenzen einem Gerät zuzuweisen, fällt bei dieser Verlängerung nur weg, wenn Software Assurance für alle vier Lizenzen verlängert wird.</w:t>
      </w:r>
    </w:p>
    <w:p w:rsidR="00D63733" w:rsidRPr="00BB5519" w:rsidRDefault="00D63733" w:rsidP="00D511CC">
      <w:pPr>
        <w:pStyle w:val="FootnoteBulletLevel1"/>
        <w:tabs>
          <w:tab w:val="clear" w:pos="900"/>
          <w:tab w:val="left" w:pos="720"/>
        </w:tabs>
        <w:spacing w:before="0" w:after="0"/>
        <w:ind w:firstLine="0"/>
        <w:rPr>
          <w:lang w:val="de-DE"/>
        </w:rPr>
      </w:pPr>
    </w:p>
    <w:p w:rsidR="00CF7343" w:rsidRPr="00BB5519" w:rsidRDefault="004323B9" w:rsidP="00FE7ED4">
      <w:pPr>
        <w:pStyle w:val="FootnoteBulletLevel1"/>
        <w:tabs>
          <w:tab w:val="clear" w:pos="900"/>
          <w:tab w:val="left" w:pos="720"/>
        </w:tabs>
        <w:spacing w:before="0" w:after="60"/>
        <w:ind w:left="720" w:firstLine="0"/>
        <w:rPr>
          <w:lang w:val="de-DE"/>
        </w:rPr>
      </w:pPr>
      <w:r w:rsidRPr="00BB5519">
        <w:rPr>
          <w:rFonts w:ascii="Tahoma" w:hAnsi="Tahoma" w:cs="Tahoma"/>
          <w:b/>
          <w:sz w:val="18"/>
          <w:lang w:val="de-DE"/>
        </w:rPr>
        <w:t>Aufheben der Einschränkung, ein</w:t>
      </w:r>
      <w:r w:rsidRPr="00BB5519">
        <w:rPr>
          <w:rFonts w:ascii="Tahoma" w:hAnsi="Tahoma" w:cs="Tahoma"/>
          <w:b/>
          <w:color w:val="000000"/>
          <w:sz w:val="18"/>
          <w:lang w:val="de-DE"/>
        </w:rPr>
        <w:t>en Satz gewährter SMSD-Lizenzen einem Gerät zuweisen zu</w:t>
      </w:r>
      <w:r w:rsidR="00FE7ED4">
        <w:rPr>
          <w:rFonts w:ascii="Tahoma" w:hAnsi="Tahoma" w:cs="Tahoma"/>
          <w:b/>
          <w:color w:val="000000"/>
          <w:sz w:val="18"/>
          <w:lang w:val="de-DE"/>
        </w:rPr>
        <w:t> </w:t>
      </w:r>
      <w:r w:rsidRPr="00BB5519">
        <w:rPr>
          <w:rFonts w:ascii="Tahoma" w:hAnsi="Tahoma" w:cs="Tahoma"/>
          <w:b/>
          <w:color w:val="000000"/>
          <w:sz w:val="18"/>
          <w:lang w:val="de-DE"/>
        </w:rPr>
        <w:t>müssen</w:t>
      </w:r>
    </w:p>
    <w:p w:rsidR="004323B9" w:rsidRPr="00BB5519" w:rsidRDefault="004323B9" w:rsidP="00D511CC">
      <w:pPr>
        <w:pStyle w:val="FootnoteBulletLevel1"/>
        <w:tabs>
          <w:tab w:val="clear" w:pos="900"/>
          <w:tab w:val="left" w:pos="720"/>
        </w:tabs>
        <w:spacing w:before="0" w:after="0"/>
        <w:ind w:left="720" w:firstLine="0"/>
        <w:rPr>
          <w:lang w:val="de-DE"/>
        </w:rPr>
      </w:pPr>
      <w:r w:rsidRPr="00BB5519">
        <w:rPr>
          <w:rFonts w:ascii="Tahoma" w:hAnsi="Tahoma" w:cs="Tahoma"/>
          <w:sz w:val="18"/>
          <w:lang w:val="de-DE"/>
        </w:rPr>
        <w:t xml:space="preserve">Vor der ersten Verlängerung von Software Assurance nach dieser Lizenzgewährung können Kunden zu einem beliebigen Zeitpunkt die Einschränkung, </w:t>
      </w:r>
      <w:r w:rsidRPr="00BB5519">
        <w:rPr>
          <w:rFonts w:ascii="Tahoma" w:hAnsi="Tahoma" w:cs="Tahoma"/>
          <w:color w:val="000000"/>
          <w:sz w:val="18"/>
          <w:lang w:val="de-DE"/>
        </w:rPr>
        <w:t>einen Satz gewährter SMSD-Lizenzen einem Gerät zuweisen zu müssen, aufheben. Dazu</w:t>
      </w:r>
      <w:r w:rsidRPr="00BB5519">
        <w:rPr>
          <w:rFonts w:ascii="Tahoma" w:hAnsi="Tahoma" w:cs="Tahoma"/>
          <w:sz w:val="18"/>
          <w:lang w:val="de-DE"/>
        </w:rPr>
        <w:t xml:space="preserve"> müssen sie nur Software Assurance für zwei der SMSD-Lizenzen eines Satzes zusätzlicher Lizenzen erwerben.</w:t>
      </w:r>
      <w:r w:rsidR="009E4976" w:rsidRPr="00BB5519">
        <w:rPr>
          <w:rFonts w:ascii="Tahoma" w:hAnsi="Tahoma" w:cs="Tahoma"/>
          <w:sz w:val="18"/>
          <w:lang w:val="de-DE"/>
        </w:rPr>
        <w:t xml:space="preserve"> </w:t>
      </w:r>
    </w:p>
    <w:p w:rsidR="000A18AA" w:rsidRPr="00BB5519" w:rsidRDefault="000A18AA" w:rsidP="00D511CC">
      <w:pPr>
        <w:pStyle w:val="FootnoteBulletLevel1"/>
        <w:tabs>
          <w:tab w:val="clear" w:pos="900"/>
          <w:tab w:val="left" w:pos="720"/>
        </w:tabs>
        <w:spacing w:before="0" w:after="0"/>
        <w:ind w:left="720" w:firstLine="0"/>
        <w:rPr>
          <w:lang w:val="de-DE"/>
        </w:rPr>
      </w:pPr>
    </w:p>
    <w:p w:rsidR="004323B9" w:rsidRPr="00BB5519" w:rsidRDefault="004323B9" w:rsidP="00D511CC">
      <w:pPr>
        <w:pStyle w:val="FootnoteBulletLevel1"/>
        <w:tabs>
          <w:tab w:val="clear" w:pos="900"/>
          <w:tab w:val="left" w:pos="720"/>
        </w:tabs>
        <w:spacing w:before="0" w:after="0"/>
        <w:ind w:left="720" w:firstLine="0"/>
        <w:rPr>
          <w:lang w:val="de-DE"/>
        </w:rPr>
      </w:pPr>
      <w:r w:rsidRPr="00BB5519">
        <w:rPr>
          <w:rFonts w:ascii="Tahoma" w:hAnsi="Tahoma" w:cs="Tahoma"/>
          <w:sz w:val="18"/>
          <w:lang w:val="de-DE"/>
        </w:rPr>
        <w:t>Das Recht von Kunden zur Nutzung der Software im Rahmen der zusätzlichen SMSD-Lizenzen wird durch diesen Hinweis auf die Produktbedingungen sowie den Nachweis der zugehörigen qualifizierenden Lizenzen belegt.</w:t>
      </w:r>
      <w:r w:rsidR="009E4976" w:rsidRPr="00BB5519">
        <w:rPr>
          <w:rFonts w:ascii="Tahoma" w:hAnsi="Tahoma" w:cs="Tahoma"/>
          <w:sz w:val="18"/>
          <w:lang w:val="de-DE"/>
        </w:rPr>
        <w:t xml:space="preserve"> </w:t>
      </w:r>
      <w:r w:rsidRPr="00BB5519">
        <w:rPr>
          <w:rFonts w:ascii="Tahoma" w:hAnsi="Tahoma" w:cs="Tahoma"/>
          <w:sz w:val="18"/>
          <w:lang w:val="de-DE"/>
        </w:rPr>
        <w:t>Die Nutzung der Software laut diesem Angebot unterliegt den Bestimmungen des Lizenzvertrages des Kunden sowie den Produktbenutzungsrechten der Software. Das Recht zur Nutzung der Software im Rahmen der zusätzlichen Lizenz gilt bis zum Ablauf des Rechts zur Nutzung der Software gemäß den zugehörigen qualifizierenden Lizenzen. Im Rahmen dieses Angebots gewährte Lizenzen dürfen nicht getrennt von den zugehörigen qualifizierenden Lizenzen übertragen werden.</w:t>
      </w:r>
    </w:p>
    <w:p w:rsidR="000A18AA" w:rsidRPr="00BB5519" w:rsidRDefault="000A18AA" w:rsidP="00D511CC">
      <w:pPr>
        <w:pStyle w:val="FootnoteBulletLevel1"/>
        <w:tabs>
          <w:tab w:val="clear" w:pos="900"/>
          <w:tab w:val="left" w:pos="720"/>
        </w:tabs>
        <w:spacing w:before="0" w:after="0"/>
        <w:ind w:left="720" w:firstLine="0"/>
        <w:rPr>
          <w:lang w:val="de-DE"/>
        </w:rPr>
      </w:pPr>
    </w:p>
    <w:p w:rsidR="00F23A1B" w:rsidRPr="00BB5519" w:rsidRDefault="004323B9" w:rsidP="000A18AA">
      <w:pPr>
        <w:pStyle w:val="FootnoteBulletLevel1"/>
        <w:tabs>
          <w:tab w:val="clear" w:pos="900"/>
          <w:tab w:val="left" w:pos="720"/>
        </w:tabs>
        <w:spacing w:before="0" w:after="0"/>
        <w:ind w:left="720" w:firstLine="0"/>
        <w:rPr>
          <w:lang w:val="de-DE"/>
        </w:rPr>
      </w:pPr>
      <w:r w:rsidRPr="00BB5519">
        <w:rPr>
          <w:rFonts w:ascii="Tahoma" w:hAnsi="Tahoma" w:cs="Tahoma"/>
          <w:sz w:val="18"/>
          <w:lang w:val="de-DE"/>
        </w:rPr>
        <w:t xml:space="preserve">*Die geänderte SMSE-Lizenzierung gilt für System Center Operations Manager 2007 R2 sowie für neue Versionen der anderen Produkte, die zu System Center Server Management Suite Enterprise gehören </w:t>
      </w:r>
      <w:r w:rsidR="00FE7ED4">
        <w:rPr>
          <w:rFonts w:ascii="Tahoma" w:hAnsi="Tahoma" w:cs="Tahoma"/>
          <w:sz w:val="18"/>
          <w:lang w:val="de-DE"/>
        </w:rPr>
        <w:br/>
      </w:r>
      <w:r w:rsidRPr="00BB5519">
        <w:rPr>
          <w:rFonts w:ascii="Tahoma" w:hAnsi="Tahoma" w:cs="Tahoma"/>
          <w:sz w:val="18"/>
          <w:lang w:val="de-DE"/>
        </w:rPr>
        <w:t>(z. B. System Center Virtual Machine Manager 2008 R2).</w:t>
      </w:r>
    </w:p>
    <w:p w:rsidR="000A18AA" w:rsidRPr="00BB5519" w:rsidRDefault="000A18AA" w:rsidP="000A18AA">
      <w:pPr>
        <w:pStyle w:val="FootnoteBulletLevel1"/>
        <w:tabs>
          <w:tab w:val="clear" w:pos="900"/>
          <w:tab w:val="left" w:pos="720"/>
        </w:tabs>
        <w:spacing w:before="0" w:after="0"/>
        <w:rPr>
          <w:lang w:val="de-DE"/>
        </w:rPr>
      </w:pPr>
    </w:p>
    <w:p w:rsidR="000A18AA" w:rsidRPr="00BB5519" w:rsidRDefault="000A18AA" w:rsidP="000A18AA">
      <w:pPr>
        <w:pStyle w:val="FootnoteBulletLevel1"/>
        <w:tabs>
          <w:tab w:val="clear" w:pos="900"/>
          <w:tab w:val="left" w:pos="720"/>
        </w:tabs>
        <w:spacing w:before="0" w:after="0"/>
        <w:rPr>
          <w:lang w:val="de-DE"/>
        </w:rPr>
      </w:pPr>
    </w:p>
    <w:p w:rsidR="00F411FE" w:rsidRPr="00BB5519" w:rsidRDefault="00F66FB0" w:rsidP="0097015A">
      <w:pPr>
        <w:pStyle w:val="Heading3"/>
        <w:rPr>
          <w:lang w:val="de-DE"/>
        </w:rPr>
      </w:pPr>
      <w:bookmarkStart w:id="1496" w:name="_86_System_Center"/>
      <w:bookmarkStart w:id="1497" w:name="_88_System_Center"/>
      <w:bookmarkStart w:id="1498" w:name="_Toc336338355"/>
      <w:bookmarkStart w:id="1499" w:name="_Toc354055043"/>
      <w:bookmarkStart w:id="1500" w:name="Srv_90SysCtrSvrMgmtSuiteDatacenter"/>
      <w:bookmarkEnd w:id="1496"/>
      <w:bookmarkEnd w:id="1497"/>
      <w:r w:rsidRPr="00BB5519">
        <w:rPr>
          <w:rFonts w:ascii="Tahoma" w:hAnsi="Tahoma" w:cs="Tahoma"/>
          <w:caps/>
          <w:color w:val="FF7415"/>
          <w:sz w:val="22"/>
          <w:szCs w:val="22"/>
          <w:vertAlign w:val="superscript"/>
          <w:lang w:val="de-DE"/>
        </w:rPr>
        <w:t xml:space="preserve">88 </w:t>
      </w:r>
      <w:r w:rsidRPr="00BB5519">
        <w:rPr>
          <w:rFonts w:ascii="Tahoma" w:hAnsi="Tahoma" w:cs="Tahoma"/>
          <w:color w:val="FF7415"/>
          <w:sz w:val="22"/>
          <w:szCs w:val="22"/>
          <w:lang w:val="de-DE"/>
        </w:rPr>
        <w:t>System Center Server Management Suite Datacenter</w:t>
      </w:r>
      <w:bookmarkEnd w:id="1498"/>
      <w:bookmarkEnd w:id="1499"/>
    </w:p>
    <w:bookmarkEnd w:id="1500"/>
    <w:p w:rsidR="00F411FE" w:rsidRPr="00BB5519" w:rsidRDefault="00F411FE" w:rsidP="00F411FE">
      <w:pPr>
        <w:ind w:left="360"/>
        <w:rPr>
          <w:lang w:val="de-DE"/>
        </w:rPr>
      </w:pPr>
    </w:p>
    <w:p w:rsidR="00FF4CAB" w:rsidRPr="00BB5519" w:rsidRDefault="00FF4CAB" w:rsidP="000A18AA">
      <w:pPr>
        <w:pStyle w:val="EndnoteText"/>
        <w:ind w:left="720"/>
        <w:rPr>
          <w:lang w:val="de-DE"/>
        </w:rPr>
      </w:pPr>
      <w:r w:rsidRPr="00BB5519">
        <w:rPr>
          <w:rFonts w:ascii="Tahoma" w:hAnsi="Tahoma" w:cs="Tahoma"/>
          <w:color w:val="000000"/>
          <w:sz w:val="18"/>
          <w:lang w:val="de-DE"/>
        </w:rPr>
        <w:t xml:space="preserve">Dieses Produkt hat den Status End-Of-Life (EOL) und wird nicht mehr angeboten. </w:t>
      </w:r>
    </w:p>
    <w:p w:rsidR="004F0CAE" w:rsidRPr="00BB5519" w:rsidRDefault="004F0CAE" w:rsidP="000A18AA">
      <w:pPr>
        <w:pStyle w:val="EndnoteText"/>
        <w:ind w:left="720"/>
        <w:rPr>
          <w:lang w:val="de-DE"/>
        </w:rPr>
      </w:pPr>
    </w:p>
    <w:p w:rsidR="00FF4CAB" w:rsidRPr="00BB5519" w:rsidRDefault="00FF4CAB" w:rsidP="004F0CAE">
      <w:pPr>
        <w:pStyle w:val="FootnoteBulletLevel1"/>
        <w:tabs>
          <w:tab w:val="clear" w:pos="900"/>
        </w:tabs>
        <w:spacing w:before="0" w:after="60"/>
        <w:ind w:left="720" w:firstLine="0"/>
        <w:rPr>
          <w:lang w:val="de-DE"/>
        </w:rPr>
      </w:pPr>
      <w:r w:rsidRPr="00BB5519">
        <w:rPr>
          <w:rFonts w:ascii="Tahoma" w:hAnsi="Tahoma" w:cs="Tahoma"/>
          <w:b/>
          <w:sz w:val="18"/>
          <w:lang w:val="de-DE"/>
        </w:rPr>
        <w:t>Details zur einmaligen Gewährung von Übergangslizenzen für System Center 2012</w:t>
      </w:r>
    </w:p>
    <w:p w:rsidR="00FF4CAB" w:rsidRPr="00BB5519" w:rsidRDefault="00FF4CAB" w:rsidP="000A18AA">
      <w:pPr>
        <w:ind w:left="720"/>
        <w:rPr>
          <w:lang w:val="de-DE"/>
        </w:rPr>
      </w:pPr>
      <w:r w:rsidRPr="00BB5519">
        <w:rPr>
          <w:lang w:val="de-DE"/>
        </w:rPr>
        <w:t>Weitere Informationen zur Gewährung von Übergangslizenzen finden Sie im Produkthinweis zu System Center 2012-Angeboten.</w:t>
      </w:r>
    </w:p>
    <w:p w:rsidR="00FF4CAB" w:rsidRPr="00BB5519" w:rsidRDefault="00FF4CAB" w:rsidP="000A18AA">
      <w:pPr>
        <w:ind w:left="720"/>
        <w:rPr>
          <w:lang w:val="de-DE"/>
        </w:rPr>
      </w:pPr>
    </w:p>
    <w:p w:rsidR="00F411FE" w:rsidRPr="00BB5519" w:rsidRDefault="00F411FE" w:rsidP="00FE7ED4">
      <w:pPr>
        <w:ind w:left="720"/>
        <w:rPr>
          <w:lang w:val="de-DE"/>
        </w:rPr>
      </w:pPr>
      <w:r w:rsidRPr="00BB5519">
        <w:rPr>
          <w:rFonts w:cs="Tahoma"/>
          <w:szCs w:val="20"/>
          <w:lang w:val="de-DE"/>
        </w:rPr>
        <w:t>System Center Server Management Suite Datacenter hat keine Versionsnummer, und die Produktbenutzungsrechte hängen vom Status der Software Assurance für System Center Server Management Suite Datacenter ab.</w:t>
      </w:r>
      <w:r w:rsidR="009E4976" w:rsidRPr="00BB5519">
        <w:rPr>
          <w:rFonts w:cs="Tahoma"/>
          <w:szCs w:val="20"/>
          <w:lang w:val="de-DE"/>
        </w:rPr>
        <w:t xml:space="preserve"> </w:t>
      </w:r>
      <w:r w:rsidRPr="00BB5519">
        <w:rPr>
          <w:rFonts w:cs="Tahoma"/>
          <w:szCs w:val="20"/>
          <w:lang w:val="de-DE"/>
        </w:rPr>
        <w:t>Falls Software Assurance unterbrochen wird, hängen die Zugriffsrechte</w:t>
      </w:r>
      <w:r w:rsidR="00FE7ED4">
        <w:rPr>
          <w:rFonts w:cs="Tahoma"/>
          <w:szCs w:val="20"/>
          <w:lang w:val="de-DE"/>
        </w:rPr>
        <w:t> </w:t>
      </w:r>
      <w:r w:rsidRPr="00BB5519">
        <w:rPr>
          <w:rFonts w:cs="Tahoma"/>
          <w:szCs w:val="20"/>
          <w:lang w:val="de-DE"/>
        </w:rPr>
        <w:t>im Rahmen zeitlich unbeschränkter Lizenzen von den Produktbenutzungsrechten ab, die</w:t>
      </w:r>
      <w:r w:rsidR="00FE7ED4">
        <w:rPr>
          <w:rFonts w:cs="Tahoma"/>
          <w:szCs w:val="20"/>
          <w:lang w:val="de-DE"/>
        </w:rPr>
        <w:t> </w:t>
      </w:r>
      <w:r w:rsidRPr="00BB5519">
        <w:rPr>
          <w:rFonts w:cs="Tahoma"/>
          <w:szCs w:val="20"/>
          <w:lang w:val="de-DE"/>
        </w:rPr>
        <w:t>vor</w:t>
      </w:r>
      <w:r w:rsidR="00FE7ED4">
        <w:rPr>
          <w:rFonts w:cs="Tahoma"/>
          <w:szCs w:val="20"/>
          <w:lang w:val="de-DE"/>
        </w:rPr>
        <w:t> </w:t>
      </w:r>
      <w:r w:rsidRPr="00BB5519">
        <w:rPr>
          <w:rFonts w:cs="Tahoma"/>
          <w:szCs w:val="20"/>
          <w:lang w:val="de-DE"/>
        </w:rPr>
        <w:t>der Unterbrechung galten.</w:t>
      </w:r>
      <w:r w:rsidR="009E4976" w:rsidRPr="00BB5519">
        <w:rPr>
          <w:rFonts w:cs="Tahoma"/>
          <w:szCs w:val="20"/>
          <w:lang w:val="de-DE"/>
        </w:rPr>
        <w:t xml:space="preserve"> </w:t>
      </w:r>
    </w:p>
    <w:p w:rsidR="00E72B93" w:rsidRPr="00BB5519" w:rsidRDefault="00E72B93" w:rsidP="000A18AA">
      <w:pPr>
        <w:ind w:left="720"/>
        <w:rPr>
          <w:lang w:val="de-DE"/>
        </w:rPr>
      </w:pPr>
    </w:p>
    <w:p w:rsidR="00143CF6" w:rsidRPr="00BB5519" w:rsidRDefault="005C164D" w:rsidP="003165D6">
      <w:pPr>
        <w:ind w:left="720"/>
        <w:rPr>
          <w:lang w:val="de-DE"/>
        </w:rPr>
      </w:pPr>
      <w:r w:rsidRPr="00BB5519">
        <w:rPr>
          <w:rFonts w:cs="Tahoma"/>
          <w:color w:val="000000"/>
          <w:szCs w:val="18"/>
          <w:lang w:val="de-DE"/>
        </w:rPr>
        <w:t>Ab dem 1. November 2010 bietet eine Lizenz für System Center Server Management Suite Datacenter mit aktiver Software Assurance Server-Management-Rechte für System Center Enterprise-Server-Management-Lizenzen für Operations Manager 2007 R2, Configuration Manager 2007 R3, Data Protection Manager 2010, Service Manager 2010 sowie Virtual Machine Manager 2008 R2. Darüber hinaus ist die Serverlizenz für Virtual Machine Manager 2008 R2 und Data Protection Manager 2010 enthalten. Informationen zu den Nutzungsrechten finden Sie in den PUR.</w:t>
      </w:r>
      <w:bookmarkStart w:id="1501" w:name="_90_System_Center"/>
      <w:bookmarkEnd w:id="1501"/>
    </w:p>
    <w:p w:rsidR="00FF4CAB" w:rsidRPr="00BB5519" w:rsidRDefault="00FF4CAB" w:rsidP="00FE7ED4">
      <w:pPr>
        <w:keepNext/>
        <w:keepLines/>
        <w:rPr>
          <w:lang w:val="de-DE"/>
        </w:rPr>
      </w:pPr>
      <w:bookmarkStart w:id="1502" w:name="Srv_92TechNetPlusSingleUser"/>
    </w:p>
    <w:p w:rsidR="00FF4CAB" w:rsidRPr="00BB5519" w:rsidRDefault="00FF4CAB" w:rsidP="00FE7ED4">
      <w:pPr>
        <w:keepNext/>
        <w:keepLines/>
        <w:rPr>
          <w:lang w:val="de-DE"/>
        </w:rPr>
      </w:pPr>
    </w:p>
    <w:p w:rsidR="00FF4CAB" w:rsidRPr="00BB5519" w:rsidRDefault="00F66FB0" w:rsidP="00F67384">
      <w:pPr>
        <w:pStyle w:val="Heading3"/>
        <w:keepNext/>
        <w:keepLines/>
        <w:pageBreakBefore/>
        <w:ind w:left="252" w:hanging="252"/>
        <w:rPr>
          <w:lang w:val="de-DE"/>
        </w:rPr>
      </w:pPr>
      <w:bookmarkStart w:id="1503" w:name="_87_System_Center"/>
      <w:bookmarkStart w:id="1504" w:name="_89_System_Center"/>
      <w:bookmarkStart w:id="1505" w:name="_Toc336338357"/>
      <w:bookmarkStart w:id="1506" w:name="_Toc354055044"/>
      <w:bookmarkStart w:id="1507" w:name="Srv_100SysCenterVMM2008R2"/>
      <w:bookmarkEnd w:id="1503"/>
      <w:bookmarkEnd w:id="1504"/>
      <w:r w:rsidRPr="00BB5519">
        <w:rPr>
          <w:rFonts w:ascii="Tahoma" w:hAnsi="Tahoma" w:cs="Tahoma"/>
          <w:caps/>
          <w:color w:val="FF6F0D"/>
          <w:sz w:val="22"/>
          <w:szCs w:val="22"/>
          <w:vertAlign w:val="superscript"/>
          <w:lang w:val="de-DE"/>
        </w:rPr>
        <w:lastRenderedPageBreak/>
        <w:t>89</w:t>
      </w:r>
      <w:r w:rsidRPr="00BB5519">
        <w:rPr>
          <w:rFonts w:ascii="Tahoma" w:hAnsi="Tahoma" w:cs="Tahoma"/>
          <w:color w:val="FF6F0D"/>
          <w:sz w:val="22"/>
          <w:szCs w:val="22"/>
          <w:lang w:val="de-DE"/>
        </w:rPr>
        <w:t xml:space="preserve"> System Center Virtual Machine Manager 2008 R2 – Client- und Server-Management-Lizenzen</w:t>
      </w:r>
      <w:bookmarkEnd w:id="1505"/>
      <w:bookmarkEnd w:id="1506"/>
    </w:p>
    <w:bookmarkEnd w:id="1507"/>
    <w:p w:rsidR="00FF4CAB" w:rsidRPr="00BB5519" w:rsidRDefault="00FF4CAB" w:rsidP="00FE7ED4">
      <w:pPr>
        <w:rPr>
          <w:lang w:val="de-DE"/>
        </w:rPr>
      </w:pPr>
    </w:p>
    <w:p w:rsidR="00FF4CAB" w:rsidRPr="00BB5519" w:rsidRDefault="00FF4CAB" w:rsidP="00FE7ED4">
      <w:pPr>
        <w:ind w:left="720"/>
        <w:rPr>
          <w:lang w:val="de-DE"/>
        </w:rPr>
      </w:pPr>
      <w:r w:rsidRPr="00BB5519">
        <w:rPr>
          <w:lang w:val="de-DE"/>
        </w:rPr>
        <w:t>Diese Produkte haben den Status End-Of-Life (EOL) und werden nicht mehr angeboten.</w:t>
      </w:r>
    </w:p>
    <w:p w:rsidR="004F0CAE" w:rsidRPr="00BB5519" w:rsidRDefault="004F0CAE" w:rsidP="004F0CAE">
      <w:pPr>
        <w:ind w:left="720"/>
        <w:rPr>
          <w:lang w:val="de-DE"/>
        </w:rPr>
      </w:pPr>
    </w:p>
    <w:p w:rsidR="00FF4CAB" w:rsidRPr="00BB5519" w:rsidRDefault="00FF4CAB" w:rsidP="004F0CAE">
      <w:pPr>
        <w:adjustRightInd w:val="0"/>
        <w:spacing w:after="60"/>
        <w:ind w:left="720"/>
        <w:textAlignment w:val="baseline"/>
        <w:rPr>
          <w:lang w:val="de-DE"/>
        </w:rPr>
      </w:pPr>
      <w:r w:rsidRPr="00BB5519">
        <w:rPr>
          <w:rFonts w:cs="Tahoma"/>
          <w:b/>
          <w:szCs w:val="20"/>
          <w:lang w:val="de-DE"/>
        </w:rPr>
        <w:t>Details zur einmaligen Gewährung von Übergangslizenzen für System Center 2012</w:t>
      </w:r>
    </w:p>
    <w:p w:rsidR="00586FCE" w:rsidRPr="00BB5519" w:rsidRDefault="00FF4CAB" w:rsidP="004F0CAE">
      <w:pPr>
        <w:ind w:left="720"/>
        <w:rPr>
          <w:lang w:val="de-DE"/>
        </w:rPr>
      </w:pPr>
      <w:r w:rsidRPr="00BB5519">
        <w:rPr>
          <w:lang w:val="de-DE"/>
        </w:rPr>
        <w:t>Weitere Informationen zur Gewährung von Übergangslizenzen finden Sie im Produkthinweis zu System Center 2012-Ang</w:t>
      </w:r>
      <w:bookmarkStart w:id="1508" w:name="_Toc336338358"/>
      <w:bookmarkStart w:id="1509" w:name="Srv_101SystemCenter2012"/>
      <w:r w:rsidRPr="00BB5519">
        <w:rPr>
          <w:lang w:val="de-DE"/>
        </w:rPr>
        <w:t>eboten.</w:t>
      </w:r>
    </w:p>
    <w:p w:rsidR="004F0CAE" w:rsidRPr="00BB5519" w:rsidRDefault="004F0CAE" w:rsidP="004F0CAE">
      <w:pPr>
        <w:rPr>
          <w:lang w:val="de-DE"/>
        </w:rPr>
      </w:pPr>
    </w:p>
    <w:p w:rsidR="004F0CAE" w:rsidRPr="00BB5519" w:rsidRDefault="004F0CAE" w:rsidP="004F0CAE">
      <w:pPr>
        <w:rPr>
          <w:lang w:val="de-DE"/>
        </w:rPr>
      </w:pPr>
    </w:p>
    <w:p w:rsidR="00FF4CAB" w:rsidRPr="00BB5519" w:rsidRDefault="00F66FB0" w:rsidP="00FF4CAB">
      <w:pPr>
        <w:pStyle w:val="Heading3"/>
        <w:rPr>
          <w:lang w:val="de-DE"/>
        </w:rPr>
      </w:pPr>
      <w:bookmarkStart w:id="1510" w:name="_91_89_System"/>
      <w:bookmarkStart w:id="1511" w:name="_Toc354055045"/>
      <w:bookmarkEnd w:id="1510"/>
      <w:r w:rsidRPr="00BB5519">
        <w:rPr>
          <w:rFonts w:ascii="Tahoma" w:hAnsi="Tahoma" w:cs="Tahoma"/>
          <w:caps/>
          <w:color w:val="FF6F0D"/>
          <w:sz w:val="22"/>
          <w:szCs w:val="22"/>
          <w:vertAlign w:val="superscript"/>
          <w:lang w:val="de-DE"/>
        </w:rPr>
        <w:t>90</w:t>
      </w:r>
      <w:r w:rsidRPr="00BB5519">
        <w:rPr>
          <w:rFonts w:ascii="Tahoma" w:hAnsi="Tahoma" w:cs="Tahoma"/>
          <w:color w:val="FF6F0D"/>
          <w:sz w:val="22"/>
          <w:szCs w:val="22"/>
          <w:lang w:val="de-DE"/>
        </w:rPr>
        <w:t xml:space="preserve"> System Center 2012</w:t>
      </w:r>
      <w:bookmarkEnd w:id="1508"/>
      <w:bookmarkEnd w:id="1511"/>
    </w:p>
    <w:bookmarkEnd w:id="1509"/>
    <w:p w:rsidR="00FF4CAB" w:rsidRPr="00BB5519" w:rsidRDefault="00FF4CAB" w:rsidP="004F0CAE">
      <w:pPr>
        <w:rPr>
          <w:lang w:val="de-DE"/>
        </w:rPr>
      </w:pPr>
    </w:p>
    <w:p w:rsidR="00FF4CAB" w:rsidRPr="00BB5519" w:rsidRDefault="00FF4CAB" w:rsidP="004F0CAE">
      <w:pPr>
        <w:ind w:left="720"/>
        <w:rPr>
          <w:lang w:val="de-DE"/>
        </w:rPr>
      </w:pPr>
      <w:r w:rsidRPr="00BB5519">
        <w:rPr>
          <w:rFonts w:cs="Tahoma"/>
          <w:color w:val="000000"/>
          <w:szCs w:val="24"/>
          <w:lang w:val="de-DE"/>
        </w:rPr>
        <w:t>Spätere Versionen von System Center Data Protection Manager 2010, System Center Operations Manager 2008 R2, System Center Service Manager 2010 und System Center Virtual Machine Manager 2008 R2 werden nicht verfügbar sein.</w:t>
      </w:r>
      <w:r w:rsidR="009E4976" w:rsidRPr="00BB5519">
        <w:rPr>
          <w:rFonts w:cs="Tahoma"/>
          <w:color w:val="000000"/>
          <w:szCs w:val="24"/>
          <w:lang w:val="de-DE"/>
        </w:rPr>
        <w:t xml:space="preserve"> </w:t>
      </w:r>
      <w:r w:rsidRPr="00BB5519">
        <w:rPr>
          <w:rFonts w:cs="Tahoma"/>
          <w:color w:val="000000"/>
          <w:szCs w:val="24"/>
          <w:lang w:val="de-DE"/>
        </w:rPr>
        <w:t>Dementsprechend werden spätere Versionen von System Center Configuration Manager 2007 R3 unter separaten Softwarelizenzen oder Server-Management-Lizenzen nicht verfügbar sein. Als Ausnahme erhalten Software Assurance-Kunden, die am 1. April 2012 über Software Assurance für diesen Produkten entsprechende Software- und Management-Lizenzen verfügten, bei Verfügbarkeit von System Center 2012 die Lizenzen, um auf Systems Center 2012-Software anstelle dieser Produkte wie folgt upzugraden und diese zu verwenden.</w:t>
      </w:r>
    </w:p>
    <w:p w:rsidR="00FF4CAB" w:rsidRPr="00BB5519" w:rsidRDefault="00FF4CAB" w:rsidP="004F0CAE">
      <w:pPr>
        <w:ind w:left="900"/>
        <w:rPr>
          <w:lang w:val="de-DE"/>
        </w:rPr>
      </w:pPr>
    </w:p>
    <w:p w:rsidR="00FF4CAB" w:rsidRPr="00BB5519" w:rsidRDefault="00FF4CAB" w:rsidP="004F0CAE">
      <w:pPr>
        <w:ind w:left="900"/>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BB5519" w:rsidTr="00B81BE7">
        <w:trPr>
          <w:tblHeader/>
        </w:trPr>
        <w:tc>
          <w:tcPr>
            <w:tcW w:w="3960" w:type="dxa"/>
            <w:tcBorders>
              <w:top w:val="single" w:sz="4" w:space="0" w:color="000000"/>
              <w:bottom w:val="single" w:sz="6" w:space="0" w:color="000000"/>
            </w:tcBorders>
            <w:shd w:val="clear" w:color="auto" w:fill="FABF8F"/>
          </w:tcPr>
          <w:p w:rsidR="00FF4CAB" w:rsidRPr="00BB5519" w:rsidRDefault="00FF4CAB" w:rsidP="00FF4CAB">
            <w:pPr>
              <w:jc w:val="center"/>
              <w:rPr>
                <w:rFonts w:cs="Tahoma"/>
                <w:b/>
                <w:color w:val="000000"/>
                <w:szCs w:val="20"/>
              </w:rPr>
            </w:pPr>
            <w:r w:rsidRPr="00BB5519">
              <w:rPr>
                <w:rFonts w:cs="Tahoma"/>
                <w:b/>
                <w:color w:val="000000"/>
                <w:szCs w:val="20"/>
              </w:rPr>
              <w:t>Qualifizierende Lizenzen</w:t>
            </w:r>
          </w:p>
        </w:tc>
        <w:tc>
          <w:tcPr>
            <w:tcW w:w="4050" w:type="dxa"/>
            <w:tcBorders>
              <w:top w:val="single" w:sz="4" w:space="0" w:color="000000"/>
              <w:bottom w:val="single" w:sz="6" w:space="0" w:color="000000"/>
            </w:tcBorders>
            <w:shd w:val="clear" w:color="auto" w:fill="FABF8F"/>
          </w:tcPr>
          <w:p w:rsidR="00FF4CAB" w:rsidRPr="00BB5519" w:rsidRDefault="00FF4CAB" w:rsidP="00FF4CAB">
            <w:pPr>
              <w:jc w:val="center"/>
              <w:rPr>
                <w:rFonts w:cs="Tahoma"/>
                <w:b/>
                <w:color w:val="000000"/>
                <w:szCs w:val="20"/>
              </w:rPr>
            </w:pPr>
            <w:r w:rsidRPr="00BB5519">
              <w:rPr>
                <w:rFonts w:cs="Tahoma"/>
                <w:b/>
                <w:color w:val="000000"/>
                <w:szCs w:val="20"/>
              </w:rPr>
              <w:t>System Center 2012-Lizenzen:</w:t>
            </w:r>
          </w:p>
        </w:tc>
      </w:tr>
      <w:tr w:rsidR="00FF4CAB" w:rsidRPr="00BB5519" w:rsidTr="00CA14C9">
        <w:tc>
          <w:tcPr>
            <w:tcW w:w="3960" w:type="dxa"/>
            <w:tcBorders>
              <w:top w:val="single" w:sz="6" w:space="0" w:color="000000"/>
            </w:tcBorders>
            <w:shd w:val="clear" w:color="auto" w:fill="FFFFFF"/>
          </w:tcPr>
          <w:p w:rsidR="00FF4CAB" w:rsidRPr="00BB5519" w:rsidRDefault="00FF4CAB" w:rsidP="00FF4CAB">
            <w:pPr>
              <w:rPr>
                <w:rFonts w:cs="Tahoma"/>
                <w:color w:val="000000"/>
                <w:szCs w:val="20"/>
              </w:rPr>
            </w:pPr>
            <w:r w:rsidRPr="00BB5519">
              <w:rPr>
                <w:rFonts w:cs="Tahoma"/>
                <w:color w:val="000000"/>
                <w:szCs w:val="20"/>
              </w:rPr>
              <w:t>System Center Client Management Suite (Client-ML) pro Betriebssystemumgebung</w:t>
            </w:r>
          </w:p>
        </w:tc>
        <w:tc>
          <w:tcPr>
            <w:tcW w:w="4050" w:type="dxa"/>
            <w:tcBorders>
              <w:top w:val="single" w:sz="6" w:space="0" w:color="000000"/>
            </w:tcBorders>
            <w:shd w:val="clear" w:color="auto" w:fill="FFFFFF"/>
          </w:tcPr>
          <w:p w:rsidR="00FF4CAB" w:rsidRPr="00BB5519" w:rsidRDefault="00FF4CAB" w:rsidP="00FF4CAB">
            <w:pPr>
              <w:rPr>
                <w:rFonts w:cs="Tahoma"/>
                <w:color w:val="000000"/>
                <w:szCs w:val="20"/>
              </w:rPr>
            </w:pPr>
            <w:r w:rsidRPr="00BB5519">
              <w:rPr>
                <w:rFonts w:cs="Tahoma"/>
                <w:color w:val="000000"/>
                <w:szCs w:val="20"/>
              </w:rPr>
              <w:t>1 System Center 2012 Client Management Suite (Client-ML) pro Betriebssystemumgebung</w:t>
            </w:r>
          </w:p>
        </w:tc>
      </w:tr>
      <w:tr w:rsidR="00FF4CAB" w:rsidRPr="00D244F0" w:rsidTr="00CA14C9">
        <w:tc>
          <w:tcPr>
            <w:tcW w:w="3960" w:type="dxa"/>
            <w:shd w:val="clear" w:color="auto" w:fill="FFFFFF"/>
          </w:tcPr>
          <w:p w:rsidR="00FF4CAB" w:rsidRPr="00BB5519" w:rsidRDefault="00FF4CAB" w:rsidP="00FF4CAB">
            <w:pPr>
              <w:rPr>
                <w:rFonts w:cs="Tahoma"/>
                <w:color w:val="000000"/>
                <w:szCs w:val="20"/>
                <w:lang w:val="fr-FR"/>
              </w:rPr>
            </w:pPr>
            <w:r w:rsidRPr="00BB5519">
              <w:rPr>
                <w:rFonts w:cs="Tahoma"/>
                <w:color w:val="000000"/>
                <w:szCs w:val="20"/>
                <w:lang w:val="fr-FR"/>
              </w:rPr>
              <w:t>System Center Client Management Suite (Client-ML) pro Nutzer</w:t>
            </w:r>
          </w:p>
        </w:tc>
        <w:tc>
          <w:tcPr>
            <w:tcW w:w="4050" w:type="dxa"/>
            <w:shd w:val="clear" w:color="auto" w:fill="FFFFFF"/>
          </w:tcPr>
          <w:p w:rsidR="00FF4CAB" w:rsidRPr="00BB5519" w:rsidRDefault="00FF4CAB" w:rsidP="00FF4CAB">
            <w:pPr>
              <w:rPr>
                <w:rFonts w:cs="Tahoma"/>
                <w:color w:val="000000"/>
                <w:szCs w:val="20"/>
                <w:lang w:val="fr-FR"/>
              </w:rPr>
            </w:pPr>
            <w:r w:rsidRPr="00BB5519">
              <w:rPr>
                <w:rFonts w:cs="Tahoma"/>
                <w:color w:val="000000"/>
                <w:szCs w:val="20"/>
                <w:lang w:val="fr-FR"/>
              </w:rPr>
              <w:t>1 System Center 2012 Client Management Suite (Client-ML) pro Nutzer</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System Center Configuration Manager 2007 R3</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D244F0"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(Client-ML) für System Center Configuration Manager 2007 R3 pro Betriebssystemumgebung</w:t>
            </w:r>
          </w:p>
        </w:tc>
        <w:tc>
          <w:tcPr>
            <w:tcW w:w="4050" w:type="dxa"/>
            <w:shd w:val="clear" w:color="auto" w:fill="FFFFFF"/>
          </w:tcPr>
          <w:p w:rsidR="00FF4CAB" w:rsidRPr="00BB5519" w:rsidRDefault="00FF4CAB" w:rsidP="00FF4CAB">
            <w:pPr>
              <w:rPr>
                <w:rFonts w:cs="Tahoma"/>
                <w:color w:val="000000"/>
                <w:szCs w:val="20"/>
                <w:lang w:val="de-DE"/>
              </w:rPr>
            </w:pPr>
            <w:r w:rsidRPr="00BB5519">
              <w:rPr>
                <w:rFonts w:cs="Tahoma"/>
                <w:szCs w:val="20"/>
                <w:lang w:val="de-DE"/>
              </w:rPr>
              <w:t>1 Client-Management-Lizenz (Client-ML) für System Center 2012 Configuration Manager pro Betriebssystemumgebung</w:t>
            </w:r>
          </w:p>
        </w:tc>
      </w:tr>
      <w:tr w:rsidR="00FF4CAB" w:rsidRPr="00D244F0"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(Client-ML) für System Center Configuration Manager 2007 R3 pro Nutzer</w:t>
            </w:r>
          </w:p>
        </w:tc>
        <w:tc>
          <w:tcPr>
            <w:tcW w:w="4050" w:type="dxa"/>
            <w:shd w:val="clear" w:color="auto" w:fill="FFFFFF"/>
          </w:tcPr>
          <w:p w:rsidR="00FF4CAB" w:rsidRPr="00BB5519" w:rsidRDefault="00FF4CAB" w:rsidP="00FF4CAB">
            <w:pPr>
              <w:rPr>
                <w:rFonts w:cs="Tahoma"/>
                <w:color w:val="000000"/>
                <w:szCs w:val="20"/>
                <w:lang w:val="de-DE"/>
              </w:rPr>
            </w:pPr>
            <w:r w:rsidRPr="00BB5519">
              <w:rPr>
                <w:rFonts w:cs="Tahoma"/>
                <w:szCs w:val="20"/>
                <w:lang w:val="de-DE"/>
              </w:rPr>
              <w:t>1 Client-Management-Lizenz (Client-ML) für System Center 2012 Configuration Manager pro Nutzer</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Client-Management-Lizenz (Client-ML) für System Center Configuration Manager 2007 R3 (nur Studenten)</w:t>
            </w:r>
            <w:r w:rsidRPr="00BB5519">
              <w:rPr>
                <w:rFonts w:cs="Tahoma"/>
                <w:color w:val="000000"/>
                <w:szCs w:val="20"/>
                <w:vertAlign w:val="superscript"/>
              </w:rPr>
              <w:t>*</w:t>
            </w:r>
          </w:p>
        </w:tc>
        <w:tc>
          <w:tcPr>
            <w:tcW w:w="4050" w:type="dxa"/>
            <w:shd w:val="clear" w:color="auto" w:fill="FFFFFF"/>
          </w:tcPr>
          <w:p w:rsidR="00FF4CAB" w:rsidRPr="00BB5519" w:rsidRDefault="00FF4CAB" w:rsidP="00FF4CAB">
            <w:pPr>
              <w:rPr>
                <w:rFonts w:cs="Tahoma"/>
                <w:color w:val="000000"/>
                <w:szCs w:val="20"/>
              </w:rPr>
            </w:pPr>
            <w:r w:rsidRPr="00BB5519">
              <w:rPr>
                <w:rFonts w:cs="Tahoma"/>
                <w:szCs w:val="20"/>
              </w:rPr>
              <w:t>1 Client-Management-Lizenz (Client-ML) für System Center 2012 Configuration Manager (nur Studenten)</w:t>
            </w:r>
            <w:r w:rsidRPr="00BB5519">
              <w:rPr>
                <w:rFonts w:cs="Tahoma"/>
                <w:szCs w:val="20"/>
                <w:vertAlign w:val="superscript"/>
              </w:rPr>
              <w:t>*</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Enterprise-Server-Management-Lizenz für System Center Configuration Manager 2007 R3</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 xml:space="preserve">Standard-Server-Management-Lizenz für System Center Configuration Manager 2007 R3 </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System Center Configuration Manager 2007 R3 mit SQL Server 2008-Technologie</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D244F0"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für System Center Data Protection Manager 2010 pro Nutzer</w:t>
            </w:r>
          </w:p>
        </w:tc>
        <w:tc>
          <w:tcPr>
            <w:tcW w:w="4050" w:type="dxa"/>
            <w:shd w:val="clear" w:color="auto" w:fill="FFFFFF"/>
          </w:tcPr>
          <w:p w:rsidR="00FF4CAB" w:rsidRPr="00BB5519" w:rsidRDefault="00FF4CAB" w:rsidP="00FF4CAB">
            <w:pPr>
              <w:rPr>
                <w:rFonts w:cs="Tahoma"/>
                <w:color w:val="000000"/>
                <w:szCs w:val="20"/>
                <w:lang w:val="fr-FR"/>
              </w:rPr>
            </w:pPr>
            <w:r w:rsidRPr="00BB5519">
              <w:rPr>
                <w:rFonts w:cs="Tahoma"/>
                <w:color w:val="000000"/>
                <w:szCs w:val="20"/>
                <w:lang w:val="fr-FR"/>
              </w:rPr>
              <w:t>1 System Center 2012 Client Management Suite (Client-ML) pro Nutzer</w:t>
            </w:r>
          </w:p>
        </w:tc>
      </w:tr>
      <w:tr w:rsidR="00FF4CAB" w:rsidRPr="00BB5519"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für System Center Data Protection Manager 2010 pro Betriebssystemumgebung</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System Center 2012 Client Management Suite (Client-ML) pro Betriebssystemumgebung</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Enterprise-Server-Management-Lizenz für System Center Data Protection Manager 2010</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Standard-Server-Management-Lizenz für System Center Data Protection Manager 2010</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D244F0" w:rsidRDefault="00FF4CAB" w:rsidP="00FF4CAB">
            <w:pPr>
              <w:rPr>
                <w:rFonts w:cs="Tahoma"/>
                <w:color w:val="000000"/>
                <w:szCs w:val="20"/>
                <w:lang w:val="da-DK"/>
              </w:rPr>
            </w:pPr>
            <w:r w:rsidRPr="00D244F0">
              <w:rPr>
                <w:rFonts w:cs="Tahoma"/>
                <w:color w:val="000000"/>
                <w:szCs w:val="20"/>
                <w:lang w:val="da-DK"/>
              </w:rPr>
              <w:t>System Center Operations Manager 2007 R2</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System Center Operations Manager 2007 R2 mit SQL Server 2008-Technologie</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lastRenderedPageBreak/>
              <w:t>Standard-Server-Management-Lizenz für System Center Operations Manager 2007 R2</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Enterprise-Server-Management-Lizenz für System Center Operations Manager 2007 R2</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pro OSE für System Center Operations Manager 2007 R2</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System Center 2012 Client Management Suite (Client-ML) pro Betriebssystemumgebung</w:t>
            </w:r>
          </w:p>
        </w:tc>
      </w:tr>
      <w:tr w:rsidR="00FF4CAB" w:rsidRPr="00D244F0"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pro Nutzer für System Center Operations Manager 2007 R2</w:t>
            </w:r>
          </w:p>
        </w:tc>
        <w:tc>
          <w:tcPr>
            <w:tcW w:w="4050" w:type="dxa"/>
            <w:shd w:val="clear" w:color="auto" w:fill="FFFFFF"/>
          </w:tcPr>
          <w:p w:rsidR="00FF4CAB" w:rsidRPr="00BB5519" w:rsidRDefault="00FF4CAB" w:rsidP="00FF4CAB">
            <w:pPr>
              <w:rPr>
                <w:rFonts w:cs="Tahoma"/>
                <w:color w:val="000000"/>
                <w:szCs w:val="20"/>
                <w:lang w:val="fr-FR"/>
              </w:rPr>
            </w:pPr>
            <w:r w:rsidRPr="00BB5519">
              <w:rPr>
                <w:rFonts w:cs="Tahoma"/>
                <w:color w:val="000000"/>
                <w:szCs w:val="20"/>
                <w:lang w:val="fr-FR"/>
              </w:rPr>
              <w:t>1 System Center 2012 Client Management Suite (Client-ML) pro Nutzer</w:t>
            </w:r>
          </w:p>
        </w:tc>
      </w:tr>
      <w:tr w:rsidR="00FF4CAB" w:rsidRPr="00D244F0"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System Center Server Management Suite Enterprise</w:t>
            </w:r>
          </w:p>
        </w:tc>
        <w:tc>
          <w:tcPr>
            <w:tcW w:w="405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2 Standard-Server-Management-Lizenzen für System Center 2012 (Server-MLs)</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System Center Server Management Suite Datacenter</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Server-Management-Lizenz für System Center 2012 Datacenter (Server-ML) für 2 qualifizierende System Center Server Management Suite Datacenter-Lizenzen</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System Center Service Manager 2010</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System Center Service Manager 2010 mit SQL Server 2008-Technologie</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BB5519"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(Client-ML) für System Center Service Manager 2010 pro Betriebssystemumgebung</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System Center 2012 Client Management Suite (Client-ML) pro Betriebssystemumgebung</w:t>
            </w:r>
          </w:p>
        </w:tc>
      </w:tr>
      <w:tr w:rsidR="00FF4CAB" w:rsidRPr="00D244F0" w:rsidTr="00CA14C9">
        <w:tc>
          <w:tcPr>
            <w:tcW w:w="3960" w:type="dxa"/>
            <w:shd w:val="clear" w:color="auto" w:fill="FFFFFF"/>
          </w:tcPr>
          <w:p w:rsidR="00FF4CAB" w:rsidRPr="00BB5519" w:rsidRDefault="00FF4CAB" w:rsidP="00B81BE7">
            <w:pPr>
              <w:rPr>
                <w:rFonts w:cs="Tahoma"/>
                <w:color w:val="000000"/>
                <w:szCs w:val="20"/>
                <w:lang w:val="de-DE"/>
              </w:rPr>
            </w:pPr>
            <w:r w:rsidRPr="00BB5519">
              <w:rPr>
                <w:rFonts w:cs="Tahoma"/>
                <w:color w:val="000000"/>
                <w:szCs w:val="20"/>
                <w:lang w:val="de-DE"/>
              </w:rPr>
              <w:t>Client-Management-Lizenz (Client-ML) für System Center Service Manager 2010 pro</w:t>
            </w:r>
            <w:r w:rsidR="00B81BE7">
              <w:rPr>
                <w:rFonts w:cs="Tahoma"/>
                <w:color w:val="000000"/>
                <w:szCs w:val="20"/>
                <w:lang w:val="de-DE"/>
              </w:rPr>
              <w:t> </w:t>
            </w:r>
            <w:r w:rsidRPr="00BB5519">
              <w:rPr>
                <w:rFonts w:cs="Tahoma"/>
                <w:color w:val="000000"/>
                <w:szCs w:val="20"/>
                <w:lang w:val="de-DE"/>
              </w:rPr>
              <w:t>Nutzer</w:t>
            </w:r>
          </w:p>
        </w:tc>
        <w:tc>
          <w:tcPr>
            <w:tcW w:w="4050" w:type="dxa"/>
            <w:shd w:val="clear" w:color="auto" w:fill="FFFFFF"/>
          </w:tcPr>
          <w:p w:rsidR="00FF4CAB" w:rsidRPr="00BB5519" w:rsidRDefault="00FF4CAB" w:rsidP="00FF4CAB">
            <w:pPr>
              <w:rPr>
                <w:rFonts w:cs="Tahoma"/>
                <w:color w:val="000000"/>
                <w:szCs w:val="20"/>
                <w:lang w:val="fr-FR"/>
              </w:rPr>
            </w:pPr>
            <w:r w:rsidRPr="00BB5519">
              <w:rPr>
                <w:rFonts w:cs="Tahoma"/>
                <w:color w:val="000000"/>
                <w:szCs w:val="20"/>
                <w:lang w:val="fr-FR"/>
              </w:rPr>
              <w:t>1 System Center 2012 Client Management Suite (Client-ML) pro Nutzer</w:t>
            </w:r>
          </w:p>
        </w:tc>
      </w:tr>
      <w:tr w:rsidR="00FF4CAB" w:rsidRPr="00BB5519" w:rsidTr="00CA14C9">
        <w:tc>
          <w:tcPr>
            <w:tcW w:w="3960" w:type="dxa"/>
            <w:shd w:val="clear" w:color="auto" w:fill="FFFFFF"/>
          </w:tcPr>
          <w:p w:rsidR="00FF4CAB" w:rsidRPr="00BB5519" w:rsidRDefault="00FF4CAB" w:rsidP="00FF4CAB">
            <w:pPr>
              <w:rPr>
                <w:rFonts w:cs="Tahoma"/>
                <w:color w:val="000000"/>
                <w:szCs w:val="20"/>
              </w:rPr>
            </w:pPr>
            <w:r w:rsidRPr="00BB5519">
              <w:rPr>
                <w:rFonts w:cs="Tahoma"/>
                <w:color w:val="000000"/>
                <w:szCs w:val="20"/>
              </w:rPr>
              <w:t xml:space="preserve">Standard-Server-Management-Lizenz (Server-ML) für System Center Service Manager 2010 </w:t>
            </w:r>
          </w:p>
        </w:tc>
        <w:tc>
          <w:tcPr>
            <w:tcW w:w="4050" w:type="dxa"/>
            <w:shd w:val="clear" w:color="auto" w:fill="FFFFFF"/>
          </w:tcPr>
          <w:p w:rsidR="00FF4CAB" w:rsidRPr="00BB5519" w:rsidRDefault="00FF4CAB" w:rsidP="00FF4CAB">
            <w:pPr>
              <w:rPr>
                <w:rFonts w:cs="Tahoma"/>
                <w:color w:val="000000"/>
                <w:szCs w:val="20"/>
              </w:rPr>
            </w:pPr>
            <w:r w:rsidRPr="00BB5519">
              <w:rPr>
                <w:rFonts w:cs="Tahoma"/>
                <w:color w:val="000000"/>
                <w:szCs w:val="20"/>
              </w:rPr>
              <w:t>1 Standard-Server-Management-Lizenz für System Center 2012 (Server-ML)</w:t>
            </w:r>
          </w:p>
        </w:tc>
      </w:tr>
      <w:tr w:rsidR="00FF4CAB" w:rsidRPr="00D244F0"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für System Center Virtual Machine Manager 2008 R2 pro Betriebssystemumgebung</w:t>
            </w:r>
          </w:p>
        </w:tc>
        <w:tc>
          <w:tcPr>
            <w:tcW w:w="405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1 Client-Management-Lizenz (Client-ML) für System Center Configuration Manager pro Betriebssystemumgebung</w:t>
            </w:r>
          </w:p>
        </w:tc>
      </w:tr>
      <w:tr w:rsidR="00FF4CAB" w:rsidRPr="00D244F0"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Client-Management-Lizenz für System Center Virtual Machine Manager 2008 R2 pro Nutzer</w:t>
            </w:r>
          </w:p>
        </w:tc>
        <w:tc>
          <w:tcPr>
            <w:tcW w:w="4050" w:type="dxa"/>
            <w:shd w:val="clear" w:color="auto" w:fill="FFFFFF"/>
          </w:tcPr>
          <w:p w:rsidR="00FF4CAB" w:rsidRPr="00BB5519" w:rsidRDefault="00FF4CAB" w:rsidP="00B81BE7">
            <w:pPr>
              <w:rPr>
                <w:rFonts w:cs="Tahoma"/>
                <w:color w:val="000000"/>
                <w:szCs w:val="20"/>
                <w:lang w:val="de-DE"/>
              </w:rPr>
            </w:pPr>
            <w:r w:rsidRPr="00BB5519">
              <w:rPr>
                <w:rFonts w:cs="Tahoma"/>
                <w:color w:val="000000"/>
                <w:szCs w:val="20"/>
                <w:lang w:val="de-DE"/>
              </w:rPr>
              <w:t>1 Client-Management-Lizenz (Client-ML) für System Center Configuration Manager pro</w:t>
            </w:r>
            <w:r w:rsidR="00B81BE7">
              <w:rPr>
                <w:rFonts w:cs="Tahoma"/>
                <w:color w:val="000000"/>
                <w:szCs w:val="20"/>
                <w:lang w:val="de-DE"/>
              </w:rPr>
              <w:t> </w:t>
            </w:r>
            <w:r w:rsidRPr="00BB5519">
              <w:rPr>
                <w:rFonts w:cs="Tahoma"/>
                <w:color w:val="000000"/>
                <w:szCs w:val="20"/>
                <w:lang w:val="de-DE"/>
              </w:rPr>
              <w:t>Nutzer</w:t>
            </w:r>
          </w:p>
        </w:tc>
      </w:tr>
      <w:tr w:rsidR="00FF4CAB" w:rsidRPr="00B81BE7" w:rsidTr="00CA14C9">
        <w:tc>
          <w:tcPr>
            <w:tcW w:w="3960" w:type="dxa"/>
            <w:shd w:val="clear" w:color="auto" w:fill="FFFFFF"/>
          </w:tcPr>
          <w:p w:rsidR="00FF4CAB" w:rsidRPr="00BB5519" w:rsidRDefault="00FF4CAB" w:rsidP="00FF4CAB">
            <w:pPr>
              <w:rPr>
                <w:rFonts w:cs="Tahoma"/>
                <w:color w:val="000000"/>
                <w:szCs w:val="20"/>
                <w:lang w:val="de-DE"/>
              </w:rPr>
            </w:pPr>
            <w:r w:rsidRPr="00BB5519">
              <w:rPr>
                <w:rFonts w:cs="Tahoma"/>
                <w:color w:val="000000"/>
                <w:szCs w:val="20"/>
                <w:lang w:val="de-DE"/>
              </w:rPr>
              <w:t>Enterprise-Server-Management-Lizenz für System Center Virtual Machine</w:t>
            </w:r>
            <w:r w:rsidR="00B81BE7">
              <w:rPr>
                <w:rFonts w:cs="Tahoma"/>
                <w:color w:val="000000"/>
                <w:szCs w:val="20"/>
                <w:lang w:val="de-DE"/>
              </w:rPr>
              <w:br/>
            </w:r>
            <w:r w:rsidRPr="00BB5519">
              <w:rPr>
                <w:rFonts w:cs="Tahoma"/>
                <w:color w:val="000000"/>
                <w:szCs w:val="20"/>
                <w:lang w:val="de-DE"/>
              </w:rPr>
              <w:t>Manager 2008 R2</w:t>
            </w:r>
          </w:p>
        </w:tc>
        <w:tc>
          <w:tcPr>
            <w:tcW w:w="4050" w:type="dxa"/>
            <w:shd w:val="clear" w:color="auto" w:fill="FFFFFF"/>
          </w:tcPr>
          <w:p w:rsidR="00FF4CAB" w:rsidRPr="00B81BE7" w:rsidRDefault="00FF4CAB" w:rsidP="00FF4CAB">
            <w:pPr>
              <w:rPr>
                <w:rFonts w:cs="Tahoma"/>
                <w:color w:val="000000"/>
                <w:szCs w:val="20"/>
                <w:lang w:val="de-DE"/>
              </w:rPr>
            </w:pPr>
            <w:r w:rsidRPr="00B81BE7">
              <w:rPr>
                <w:rFonts w:cs="Tahoma"/>
                <w:color w:val="000000"/>
                <w:szCs w:val="20"/>
                <w:lang w:val="de-DE"/>
              </w:rPr>
              <w:t>1 Server-Management-Lizenz für System Center 2012 Datacenter (Server-ML)</w:t>
            </w:r>
          </w:p>
        </w:tc>
      </w:tr>
    </w:tbl>
    <w:p w:rsidR="00FF4CAB" w:rsidRPr="00BB5519" w:rsidRDefault="00FF4CAB" w:rsidP="00FE7ED4">
      <w:pPr>
        <w:spacing w:before="40"/>
        <w:ind w:left="720"/>
        <w:rPr>
          <w:lang w:val="de-DE"/>
        </w:rPr>
      </w:pPr>
      <w:r w:rsidRPr="00BB5519">
        <w:rPr>
          <w:rFonts w:cs="Tahoma"/>
          <w:i/>
          <w:color w:val="000000"/>
          <w:sz w:val="16"/>
          <w:szCs w:val="24"/>
          <w:vertAlign w:val="superscript"/>
          <w:lang w:val="de-DE"/>
        </w:rPr>
        <w:t>*</w:t>
      </w:r>
      <w:r w:rsidRPr="00BB5519">
        <w:rPr>
          <w:rFonts w:ascii="Trebuchet MS" w:hAnsi="Trebuchet MS" w:cs="Tahoma"/>
          <w:i/>
          <w:szCs w:val="20"/>
          <w:lang w:val="de-DE"/>
        </w:rPr>
        <w:t xml:space="preserve"> </w:t>
      </w:r>
      <w:r w:rsidRPr="00BB5519">
        <w:rPr>
          <w:rFonts w:cs="Tahoma"/>
          <w:i/>
          <w:color w:val="000000"/>
          <w:sz w:val="16"/>
          <w:szCs w:val="24"/>
          <w:lang w:val="de-DE"/>
        </w:rPr>
        <w:t>Client-MLs für Studenten sind zur Lizenzierung von PCs, die Studenten oder Einrichtungen gehören und die ausschließlich für die individuelle studentische Nutzung und nicht für die Nutzung in einem Labor oder Hörsaal bestimmt sind, verfügbar</w:t>
      </w:r>
    </w:p>
    <w:p w:rsidR="00FF4CAB" w:rsidRPr="00BB5519" w:rsidRDefault="00FF4CAB" w:rsidP="00376D4B">
      <w:pPr>
        <w:ind w:left="720"/>
        <w:rPr>
          <w:lang w:val="de-DE"/>
        </w:rPr>
      </w:pPr>
    </w:p>
    <w:p w:rsidR="00FF4CAB" w:rsidRPr="00BB5519" w:rsidRDefault="00FF4CAB" w:rsidP="00376D4B">
      <w:pPr>
        <w:ind w:left="720"/>
        <w:rPr>
          <w:lang w:val="de-DE"/>
        </w:rPr>
      </w:pPr>
      <w:r w:rsidRPr="00BB5519">
        <w:rPr>
          <w:rFonts w:cs="Tahoma"/>
          <w:color w:val="000000"/>
          <w:szCs w:val="24"/>
          <w:lang w:val="de-DE"/>
        </w:rPr>
        <w:t xml:space="preserve">Alle im Rahmen dieses Angebots gewährten Lizenzen umfassen Software Assurance. Diese gilt bis zum Ablauf der qualifizierenden Software Assurance. Danach können die Kunden Software Assurance für die gewährten Lizenzen verlängern. </w:t>
      </w:r>
    </w:p>
    <w:p w:rsidR="00FF4CAB" w:rsidRPr="00BB5519" w:rsidRDefault="00FF4CAB" w:rsidP="00376D4B">
      <w:pPr>
        <w:ind w:left="720"/>
        <w:rPr>
          <w:lang w:val="de-DE"/>
        </w:rPr>
      </w:pPr>
    </w:p>
    <w:p w:rsidR="00FF4CAB" w:rsidRPr="00BB5519" w:rsidRDefault="00FF4CAB" w:rsidP="00376D4B">
      <w:pPr>
        <w:ind w:left="720"/>
        <w:rPr>
          <w:lang w:val="de-DE"/>
        </w:rPr>
      </w:pPr>
      <w:r w:rsidRPr="00BB5519">
        <w:rPr>
          <w:rFonts w:cs="Tahoma"/>
          <w:color w:val="000000"/>
          <w:szCs w:val="24"/>
          <w:lang w:val="de-DE"/>
        </w:rPr>
        <w:t>Die Nutzung der Software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System Center 2012 unter den Bestimmungen dieses Angebots zu verwenden. Nach dem Upgrade auf System Center 2012 hat der Kunde nicht mehr das Recht, die Software unter qualifizierenden Lizenzen, die dem Server zugewiesen sind, zu verwenden. Im Rahmen dieses Angebots gewährte Lizenzen dürfen nicht getrennt von den zugehörigen qualifizierenden Lizenzen übertragen werden.</w:t>
      </w:r>
    </w:p>
    <w:p w:rsidR="00FF4CAB" w:rsidRPr="00BB5519" w:rsidRDefault="00FF4CAB" w:rsidP="00376D4B">
      <w:pPr>
        <w:ind w:left="720"/>
        <w:rPr>
          <w:lang w:val="de-DE"/>
        </w:rPr>
      </w:pPr>
    </w:p>
    <w:p w:rsidR="00924690" w:rsidRPr="00BB5519" w:rsidRDefault="00924690" w:rsidP="00924690">
      <w:pPr>
        <w:spacing w:after="60"/>
        <w:ind w:left="720"/>
        <w:rPr>
          <w:lang w:val="de-DE"/>
        </w:rPr>
      </w:pPr>
      <w:r w:rsidRPr="00BB5519">
        <w:rPr>
          <w:rFonts w:eastAsia="Calibri" w:cs="Tahoma"/>
          <w:b/>
          <w:color w:val="000000"/>
          <w:szCs w:val="18"/>
          <w:lang w:val="de-DE"/>
        </w:rPr>
        <w:t>Für Enterprise-Kunden</w:t>
      </w:r>
    </w:p>
    <w:p w:rsidR="00A3706D" w:rsidRPr="00BB5519" w:rsidRDefault="00A3706D" w:rsidP="00376D4B">
      <w:pPr>
        <w:ind w:left="720"/>
        <w:rPr>
          <w:lang w:val="de-DE"/>
        </w:rPr>
      </w:pPr>
      <w:r w:rsidRPr="00BB5519">
        <w:rPr>
          <w:rFonts w:eastAsia="Calibri" w:cs="Tahoma"/>
          <w:color w:val="000000"/>
          <w:szCs w:val="18"/>
          <w:lang w:val="de-DE"/>
        </w:rPr>
        <w:t>Lizenzen</w:t>
      </w:r>
      <w:r w:rsidRPr="00BB5519">
        <w:rPr>
          <w:rFonts w:eastAsia="Calibri" w:cs="Tahoma"/>
          <w:b/>
          <w:bCs/>
          <w:color w:val="000000"/>
          <w:szCs w:val="18"/>
          <w:vertAlign w:val="superscript"/>
          <w:lang w:val="de-DE"/>
        </w:rPr>
        <w:t xml:space="preserve">*, </w:t>
      </w:r>
      <w:r w:rsidRPr="00BB5519">
        <w:rPr>
          <w:rFonts w:eastAsia="Calibri" w:cs="Tahoma"/>
          <w:color w:val="000000"/>
          <w:szCs w:val="18"/>
          <w:lang w:val="de-DE"/>
        </w:rPr>
        <w:t>die am oder vor dem ersten Jahrestag des Wirksamkeitsdatum des Beitritts eines Kunden nach dem 17. Januar 2012 im Rahmen des jährlichen True Up-Prozesses eines Kunden erworben wurden, sind für die oben beschriebene Lizenzgewährung qualifiziert.</w:t>
      </w:r>
      <w:r w:rsidR="009E4976" w:rsidRPr="00BB5519">
        <w:rPr>
          <w:rFonts w:eastAsia="Calibri" w:cs="Tahoma"/>
          <w:color w:val="000000"/>
          <w:szCs w:val="18"/>
          <w:lang w:val="de-DE"/>
        </w:rPr>
        <w:t xml:space="preserve"> </w:t>
      </w:r>
      <w:r w:rsidRPr="00BB5519">
        <w:rPr>
          <w:rFonts w:eastAsia="Calibri" w:cs="Tahoma"/>
          <w:color w:val="000000"/>
          <w:szCs w:val="18"/>
          <w:lang w:val="de-DE"/>
        </w:rPr>
        <w:t xml:space="preserve">Lizenzen, die nach diesem Datum erworben werden, sind nicht für eine Gewährung von System Center 2012-Lizenzen unter diesem Angebot qualifiziert. </w:t>
      </w:r>
    </w:p>
    <w:p w:rsidR="00A3706D" w:rsidRPr="00BB5519" w:rsidRDefault="00A3706D" w:rsidP="00FF54AD">
      <w:pPr>
        <w:keepNext/>
        <w:keepLines/>
        <w:ind w:left="720"/>
        <w:rPr>
          <w:lang w:val="de-DE"/>
        </w:rPr>
      </w:pPr>
      <w:r w:rsidRPr="00BB5519">
        <w:rPr>
          <w:rFonts w:eastAsia="Calibri" w:cs="Tahoma"/>
          <w:b/>
          <w:bCs/>
          <w:color w:val="000000"/>
          <w:szCs w:val="18"/>
          <w:vertAlign w:val="superscript"/>
          <w:lang w:val="de-DE"/>
        </w:rPr>
        <w:lastRenderedPageBreak/>
        <w:t>*</w:t>
      </w:r>
      <w:r w:rsidRPr="00BB5519">
        <w:rPr>
          <w:rFonts w:eastAsia="Calibri" w:cs="Tahoma"/>
          <w:color w:val="000000"/>
          <w:szCs w:val="18"/>
          <w:lang w:val="de-DE"/>
        </w:rPr>
        <w:t>Bei System Center Server Management Suite Enterprise, System Center Server Management Suite Datacenter, System Center Client Management Suite und System Center Configuration Manager Client Management License sind alle Lizenzen, die bis zum Ende des Vertrages erworben werden, für die Gewährung qualifiziert.</w:t>
      </w:r>
    </w:p>
    <w:p w:rsidR="00FF4CAB" w:rsidRPr="00BB5519" w:rsidRDefault="00FF4CAB" w:rsidP="00376D4B">
      <w:pPr>
        <w:ind w:left="720"/>
        <w:rPr>
          <w:lang w:val="de-DE"/>
        </w:rPr>
      </w:pPr>
    </w:p>
    <w:p w:rsidR="00924690" w:rsidRPr="00BB5519" w:rsidRDefault="00FF4CAB" w:rsidP="00924690">
      <w:pPr>
        <w:spacing w:after="60"/>
        <w:ind w:left="720"/>
        <w:rPr>
          <w:lang w:val="de-DE"/>
        </w:rPr>
      </w:pPr>
      <w:r w:rsidRPr="00BB5519">
        <w:rPr>
          <w:rFonts w:eastAsia="Calibri" w:cs="Tahoma"/>
          <w:b/>
          <w:color w:val="000000"/>
          <w:szCs w:val="18"/>
          <w:lang w:val="de-DE"/>
        </w:rPr>
        <w:t>Für Kunden mit Konzern-Abonnement, Campus- und School-Vertrag (einschließlich Beitritt für Bildungslösungen) und Open Value Subscription</w:t>
      </w:r>
    </w:p>
    <w:p w:rsidR="00FF4CAB" w:rsidRPr="00BB5519" w:rsidRDefault="00FF4CAB" w:rsidP="00376D4B">
      <w:pPr>
        <w:ind w:left="720"/>
        <w:rPr>
          <w:lang w:val="de-DE"/>
        </w:rPr>
      </w:pPr>
      <w:r w:rsidRPr="00BB5519">
        <w:rPr>
          <w:rFonts w:cs="Tahoma"/>
          <w:bCs/>
          <w:color w:val="000000"/>
          <w:szCs w:val="18"/>
          <w:lang w:val="de-DE"/>
        </w:rPr>
        <w:t>Lizenzen werden bis zum Ende der Laufzeit des Konzern-Abonnement-Beitritts, Campus- und School- oder Open Value Subscription-Vertrages oder Beitritts für Bildungslösungen zu denselben Bestimmungen, jedoch vorübergehend gewährt, solange der Kunde das Abonnement ununterbrochen aufrechterhält.</w:t>
      </w:r>
      <w:r w:rsidR="009E4976" w:rsidRPr="00BB5519">
        <w:rPr>
          <w:rFonts w:cs="Tahoma"/>
          <w:bCs/>
          <w:color w:val="000000"/>
          <w:szCs w:val="18"/>
          <w:lang w:val="de-DE"/>
        </w:rPr>
        <w:t xml:space="preserve"> </w:t>
      </w:r>
      <w:r w:rsidRPr="00BB5519">
        <w:rPr>
          <w:rFonts w:cs="Tahoma"/>
          <w:bCs/>
          <w:color w:val="000000"/>
          <w:szCs w:val="18"/>
          <w:lang w:val="de-DE"/>
        </w:rPr>
        <w:t>Kunden, die sich für ein Buy-Out von Lizenzen entscheiden, haben zwei Optionen.</w:t>
      </w:r>
      <w:r w:rsidR="009E4976" w:rsidRPr="00BB5519">
        <w:rPr>
          <w:rFonts w:cs="Tahoma"/>
          <w:bCs/>
          <w:color w:val="000000"/>
          <w:szCs w:val="18"/>
          <w:lang w:val="de-DE"/>
        </w:rPr>
        <w:t xml:space="preserve"> </w:t>
      </w:r>
    </w:p>
    <w:p w:rsidR="00FF4CAB" w:rsidRPr="00BB5519" w:rsidRDefault="00FF4CAB" w:rsidP="00376D4B">
      <w:pPr>
        <w:ind w:left="720"/>
        <w:rPr>
          <w:lang w:val="de-DE"/>
        </w:rPr>
      </w:pPr>
    </w:p>
    <w:p w:rsidR="00FF4CAB" w:rsidRPr="00BB5519" w:rsidRDefault="00FF4CAB" w:rsidP="00376D4B">
      <w:pPr>
        <w:ind w:left="720"/>
        <w:rPr>
          <w:lang w:val="de-DE"/>
        </w:rPr>
      </w:pPr>
      <w:r w:rsidRPr="00BB5519">
        <w:rPr>
          <w:rFonts w:cs="Tahoma"/>
          <w:bCs/>
          <w:color w:val="000000"/>
          <w:szCs w:val="18"/>
          <w:lang w:val="de-DE"/>
        </w:rPr>
        <w:t>Option 1:</w:t>
      </w:r>
      <w:r w:rsidR="009E4976" w:rsidRPr="00BB5519">
        <w:rPr>
          <w:rFonts w:cs="Tahoma"/>
          <w:bCs/>
          <w:color w:val="000000"/>
          <w:szCs w:val="18"/>
          <w:lang w:val="de-DE"/>
        </w:rPr>
        <w:t xml:space="preserve"> </w:t>
      </w:r>
      <w:r w:rsidRPr="00BB5519">
        <w:rPr>
          <w:rFonts w:cs="Tahoma"/>
          <w:bCs/>
          <w:color w:val="000000"/>
          <w:szCs w:val="18"/>
          <w:lang w:val="de-DE"/>
        </w:rPr>
        <w:t>Der Kunde erwirbt Lizenzen für System Center-Produkte, die den qualifizierenden Lizenzen des Kunden entsprechen.</w:t>
      </w:r>
      <w:r w:rsidR="009E4976" w:rsidRPr="00BB5519">
        <w:rPr>
          <w:rFonts w:cs="Tahoma"/>
          <w:bCs/>
          <w:color w:val="000000"/>
          <w:szCs w:val="18"/>
          <w:lang w:val="de-DE"/>
        </w:rPr>
        <w:t xml:space="preserve"> </w:t>
      </w:r>
      <w:r w:rsidRPr="00BB5519">
        <w:rPr>
          <w:rFonts w:cs="Tahoma"/>
          <w:bCs/>
          <w:color w:val="000000"/>
          <w:szCs w:val="18"/>
          <w:lang w:val="de-DE"/>
        </w:rPr>
        <w:t>Unter dieser Option ist der Kunde nicht berechtigt, der Lizenz Software Assurance hinzuzufügen oder System Center 2012 oder eine spätere Version der System Center-Software zu verwenden.</w:t>
      </w:r>
    </w:p>
    <w:p w:rsidR="00FF4CAB" w:rsidRPr="00BB5519" w:rsidRDefault="00FF4CAB" w:rsidP="00376D4B">
      <w:pPr>
        <w:ind w:left="720"/>
        <w:rPr>
          <w:lang w:val="de-DE"/>
        </w:rPr>
      </w:pPr>
    </w:p>
    <w:p w:rsidR="00FF4CAB" w:rsidRPr="00BB5519" w:rsidRDefault="00FF4CAB" w:rsidP="00376D4B">
      <w:pPr>
        <w:ind w:left="720"/>
        <w:rPr>
          <w:lang w:val="de-DE"/>
        </w:rPr>
      </w:pPr>
      <w:r w:rsidRPr="00BB5519">
        <w:rPr>
          <w:rFonts w:cs="Tahoma"/>
          <w:bCs/>
          <w:color w:val="000000"/>
          <w:szCs w:val="18"/>
          <w:lang w:val="de-DE"/>
        </w:rPr>
        <w:t>Option 2:</w:t>
      </w:r>
      <w:r w:rsidR="009E4976" w:rsidRPr="00BB5519">
        <w:rPr>
          <w:rFonts w:cs="Tahoma"/>
          <w:bCs/>
          <w:color w:val="000000"/>
          <w:szCs w:val="18"/>
          <w:lang w:val="de-DE"/>
        </w:rPr>
        <w:t xml:space="preserve"> </w:t>
      </w:r>
      <w:r w:rsidRPr="00BB5519">
        <w:rPr>
          <w:rFonts w:cs="Tahoma"/>
          <w:bCs/>
          <w:color w:val="000000"/>
          <w:szCs w:val="18"/>
          <w:lang w:val="de-DE"/>
        </w:rPr>
        <w:t>Der Kunde erwirbt Lizenzen für System Center 2012, die den qualifizierenden Lizenzen des Kunden entsprechen.</w:t>
      </w:r>
      <w:r w:rsidR="009E4976" w:rsidRPr="00BB5519">
        <w:rPr>
          <w:rFonts w:cs="Tahoma"/>
          <w:bCs/>
          <w:color w:val="000000"/>
          <w:szCs w:val="18"/>
          <w:lang w:val="de-DE"/>
        </w:rPr>
        <w:t xml:space="preserve"> </w:t>
      </w:r>
      <w:r w:rsidRPr="00BB5519">
        <w:rPr>
          <w:rFonts w:cs="Tahoma"/>
          <w:bCs/>
          <w:color w:val="000000"/>
          <w:szCs w:val="18"/>
          <w:lang w:val="de-DE"/>
        </w:rPr>
        <w:t>Unter dieser Option ist der Kunde berechtigt, Software Assurance hinzuzufügen.</w:t>
      </w:r>
    </w:p>
    <w:p w:rsidR="00FF4CAB" w:rsidRPr="00BB5519" w:rsidRDefault="00FF4CAB" w:rsidP="00376D4B">
      <w:pPr>
        <w:ind w:left="720"/>
        <w:rPr>
          <w:lang w:val="de-DE"/>
        </w:rPr>
      </w:pPr>
    </w:p>
    <w:p w:rsidR="00924690" w:rsidRPr="00BB5519" w:rsidRDefault="00FF4CAB" w:rsidP="00924690">
      <w:pPr>
        <w:spacing w:after="60"/>
        <w:ind w:left="720"/>
        <w:rPr>
          <w:lang w:val="de-DE"/>
        </w:rPr>
      </w:pPr>
      <w:r w:rsidRPr="00BB5519">
        <w:rPr>
          <w:rFonts w:eastAsia="Calibri" w:cs="Tahoma"/>
          <w:b/>
          <w:color w:val="000000"/>
          <w:szCs w:val="18"/>
          <w:lang w:val="de-DE"/>
        </w:rPr>
        <w:t>Alternative System Center 2012 Standard-Lizenzgewährung für Kunden mit Servern, die über mehr als zwei Prozessoren verfügen</w:t>
      </w:r>
    </w:p>
    <w:p w:rsidR="00FF4CAB" w:rsidRPr="00BB5519" w:rsidRDefault="00FF4CAB" w:rsidP="00FE7ED4">
      <w:pPr>
        <w:ind w:left="720"/>
        <w:rPr>
          <w:lang w:val="de-DE"/>
        </w:rPr>
      </w:pPr>
      <w:r w:rsidRPr="00BB5519">
        <w:rPr>
          <w:rFonts w:cs="Tahoma"/>
          <w:szCs w:val="18"/>
          <w:lang w:val="de-DE"/>
        </w:rPr>
        <w:t>Jede Server-ML für System Center 2012 Standard deckt bis zu zwei Prozessoren auf einem physischen Server ab.</w:t>
      </w:r>
      <w:r w:rsidR="009E4976" w:rsidRPr="00BB5519">
        <w:rPr>
          <w:rFonts w:cs="Tahoma"/>
          <w:szCs w:val="18"/>
          <w:lang w:val="de-DE"/>
        </w:rPr>
        <w:t xml:space="preserve"> </w:t>
      </w:r>
      <w:r w:rsidRPr="00BB5519">
        <w:rPr>
          <w:rFonts w:cs="Tahoma"/>
          <w:szCs w:val="18"/>
          <w:lang w:val="de-DE"/>
        </w:rPr>
        <w:t xml:space="preserve">Kunden mit qualifizierenden Lizenzen, die am 1. April 2012 oder dem ersten Jahrestag des Kunden nach dem 17. Januar 2012 Servern mit mehr als zwei Prozessoren zugewiesen sind, wobei das spätere Datum maßgeblich ist, sind berechtigt, sich für eine alternative Gewährung einer Anzahl von </w:t>
      </w:r>
      <w:r w:rsidR="00FE7ED4">
        <w:rPr>
          <w:rFonts w:cs="Tahoma"/>
          <w:szCs w:val="18"/>
          <w:lang w:val="de-DE"/>
        </w:rPr>
        <w:br/>
      </w:r>
      <w:r w:rsidRPr="00BB5519">
        <w:rPr>
          <w:rFonts w:cs="Tahoma"/>
          <w:szCs w:val="18"/>
          <w:lang w:val="de-DE"/>
        </w:rPr>
        <w:t>Server-MLs für System Center 2012 Standard zu entscheiden, die der Anzahl physischer Prozessoren auf dem verwalteten Server dividiert durch zwei entspricht.</w:t>
      </w:r>
      <w:r w:rsidR="009E4976" w:rsidRPr="00BB5519">
        <w:rPr>
          <w:rFonts w:cs="Tahoma"/>
          <w:szCs w:val="18"/>
          <w:lang w:val="de-DE"/>
        </w:rPr>
        <w:t xml:space="preserve"> </w:t>
      </w:r>
      <w:r w:rsidRPr="00BB5519">
        <w:rPr>
          <w:rFonts w:cs="Tahoma"/>
          <w:szCs w:val="18"/>
          <w:lang w:val="de-DE"/>
        </w:rPr>
        <w:t>Der Server muss vollständig lizenziert sein, um die</w:t>
      </w:r>
      <w:r w:rsidR="00FE7ED4">
        <w:rPr>
          <w:rFonts w:cs="Tahoma"/>
          <w:szCs w:val="18"/>
          <w:lang w:val="de-DE"/>
        </w:rPr>
        <w:t> </w:t>
      </w:r>
      <w:r w:rsidRPr="00BB5519">
        <w:rPr>
          <w:rFonts w:cs="Tahoma"/>
          <w:szCs w:val="18"/>
          <w:lang w:val="de-DE"/>
        </w:rPr>
        <w:t>Verwaltung von Betriebssystemumgebungen auf diesem Server unter den Bestimmungen der qualifizierenden Lizenzen zum Zeitpunkt der Gewährung zu erlauben.</w:t>
      </w:r>
      <w:r w:rsidR="009E4976" w:rsidRPr="00BB5519">
        <w:rPr>
          <w:rFonts w:cs="Tahoma"/>
          <w:szCs w:val="18"/>
          <w:lang w:val="de-DE"/>
        </w:rPr>
        <w:t xml:space="preserve"> </w:t>
      </w:r>
      <w:r w:rsidRPr="00BB5519">
        <w:rPr>
          <w:rFonts w:cs="Tahoma"/>
          <w:szCs w:val="18"/>
          <w:lang w:val="de-DE"/>
        </w:rPr>
        <w:t>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w:t>
      </w:r>
      <w:r w:rsidR="009E4976" w:rsidRPr="00BB5519">
        <w:rPr>
          <w:rFonts w:cs="Tahoma"/>
          <w:szCs w:val="18"/>
          <w:lang w:val="de-DE"/>
        </w:rPr>
        <w:t xml:space="preserve"> </w:t>
      </w:r>
      <w:r w:rsidRPr="00BB5519">
        <w:rPr>
          <w:rFonts w:cs="Tahoma"/>
          <w:szCs w:val="18"/>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qualifizierenden Lizenzen, die dem Server zugewiesen sind, zu verwenden.</w:t>
      </w:r>
      <w:r w:rsidRPr="00BB5519">
        <w:rPr>
          <w:rFonts w:cs="Tahoma"/>
          <w:color w:val="000000"/>
          <w:lang w:val="de-DE"/>
        </w:rPr>
        <w:t xml:space="preserve"> Im Rahmen dieses Angebots gewährte Lizenzen dürfen nicht getrennt von den zugehörigen qualifizierenden Lizenzen übertragen werden.</w:t>
      </w:r>
    </w:p>
    <w:p w:rsidR="00FF4CAB" w:rsidRPr="00BB5519" w:rsidRDefault="00FF4CAB" w:rsidP="00376D4B">
      <w:pPr>
        <w:tabs>
          <w:tab w:val="left" w:pos="2970"/>
        </w:tabs>
        <w:ind w:left="720"/>
        <w:contextualSpacing/>
        <w:rPr>
          <w:lang w:val="de-DE"/>
        </w:rPr>
      </w:pPr>
    </w:p>
    <w:p w:rsidR="00924690" w:rsidRPr="00BB5519" w:rsidRDefault="00FF4CAB" w:rsidP="00924690">
      <w:pPr>
        <w:spacing w:after="60"/>
        <w:ind w:left="720"/>
        <w:rPr>
          <w:lang w:val="de-DE"/>
        </w:rPr>
      </w:pPr>
      <w:r w:rsidRPr="00BB5519">
        <w:rPr>
          <w:rFonts w:eastAsia="Calibri" w:cs="Tahoma"/>
          <w:b/>
          <w:color w:val="000000"/>
          <w:szCs w:val="18"/>
          <w:lang w:val="de-DE"/>
        </w:rPr>
        <w:t>Alternative System Center 2012 Datacenter-Lizenzgewährung für Kunden mit qualifizierenden Lizenzen für Virtual Machine Manager (Server-ML für VMM Enterprise)</w:t>
      </w:r>
    </w:p>
    <w:p w:rsidR="00FF4CAB" w:rsidRPr="00BB5519" w:rsidRDefault="00FF4CAB" w:rsidP="00376D4B">
      <w:pPr>
        <w:tabs>
          <w:tab w:val="left" w:pos="2970"/>
        </w:tabs>
        <w:ind w:left="720"/>
        <w:contextualSpacing/>
        <w:rPr>
          <w:lang w:val="de-DE"/>
        </w:rPr>
      </w:pPr>
      <w:r w:rsidRPr="00BB5519">
        <w:rPr>
          <w:rFonts w:cs="Tahoma"/>
          <w:szCs w:val="18"/>
          <w:lang w:val="de-DE"/>
        </w:rPr>
        <w:t>Kunden mit qualifizierenden Server-MLs für VMM Enterprise, die am 1. April 2012 oder dem ersten Jahrestag des Kunden nach dem 17. Januar 2012 Servern mit mehr als zwei Prozessoren zugewiesen sind, wobei das spätere Datum maßgeblich ist, sind berechtigt, sich für eine alternative Gewährung einer Anzahl von Server-MLs für System Center 2012 Datacenter zu entscheiden, die der Anzahl physischer Prozessoren auf dem verwalteten Server dividiert durch zwei entspricht.</w:t>
      </w:r>
      <w:r w:rsidR="009E4976" w:rsidRPr="00BB5519">
        <w:rPr>
          <w:rFonts w:cs="Tahoma"/>
          <w:szCs w:val="18"/>
          <w:lang w:val="de-DE"/>
        </w:rPr>
        <w:t xml:space="preserve"> </w:t>
      </w:r>
      <w:r w:rsidRPr="00BB5519">
        <w:rPr>
          <w:rFonts w:cs="Tahoma"/>
          <w:szCs w:val="18"/>
          <w:lang w:val="de-DE"/>
        </w:rPr>
        <w:t>Durch diese alternative Gewährung wird sichergestellt, dass die Server des Kunden während des Übergangs vollständig lizenziert bleiben. Kunden müssen die Anzahl physischer Prozessoren in dem verwalteten Server unter Verwendung des Microsoft MAP-Tools oder gleichwertiger Software dokumentieren.</w:t>
      </w:r>
      <w:r w:rsidR="009E4976" w:rsidRPr="00BB5519">
        <w:rPr>
          <w:rFonts w:cs="Tahoma"/>
          <w:szCs w:val="18"/>
          <w:lang w:val="de-DE"/>
        </w:rPr>
        <w:t xml:space="preserve"> </w:t>
      </w:r>
      <w:r w:rsidRPr="00BB5519">
        <w:rPr>
          <w:rFonts w:cs="Tahoma"/>
          <w:szCs w:val="18"/>
          <w:lang w:val="de-DE"/>
        </w:rPr>
        <w:t>Diese Dokumentation zusammen mit dem Nachweis der qualifizierenden Lizenzen und diesem Produkthinweis belegen das Recht des Kunden, System Center 2012 unter den Bestimmungen dieses Angebots zu verwenden. Nach dem Upgrade auf System Center 2012 hat der Kunde nicht mehr das Recht, die Software unter der qualifizierenden Lizenz, die dem Server zugewiesen ist, zu verwenden.</w:t>
      </w:r>
      <w:r w:rsidRPr="00BB5519">
        <w:rPr>
          <w:rFonts w:cs="Tahoma"/>
          <w:color w:val="000000"/>
          <w:szCs w:val="24"/>
          <w:lang w:val="de-DE"/>
        </w:rPr>
        <w:t xml:space="preserve"> Im Rahmen dieses Angebots gewährte Lizenzen dürfen nicht getrennt von den zugehörigen qualifizierenden Lizenzen übertragen werden.</w:t>
      </w:r>
    </w:p>
    <w:p w:rsidR="00FF4CAB" w:rsidRPr="00BB5519" w:rsidRDefault="00FF4CAB" w:rsidP="00376D4B">
      <w:pPr>
        <w:ind w:left="720"/>
        <w:rPr>
          <w:lang w:val="de-DE"/>
        </w:rPr>
      </w:pPr>
    </w:p>
    <w:p w:rsidR="009B12B7" w:rsidRPr="00BB5519" w:rsidRDefault="00FF4CAB" w:rsidP="00FE7ED4">
      <w:pPr>
        <w:keepNext/>
        <w:keepLines/>
        <w:spacing w:after="60"/>
        <w:ind w:left="720"/>
        <w:rPr>
          <w:lang w:val="de-DE"/>
        </w:rPr>
      </w:pPr>
      <w:r w:rsidRPr="00BB5519">
        <w:rPr>
          <w:rFonts w:eastAsia="Calibri" w:cs="Tahoma"/>
          <w:b/>
          <w:color w:val="000000"/>
          <w:szCs w:val="18"/>
          <w:lang w:val="de-DE"/>
        </w:rPr>
        <w:lastRenderedPageBreak/>
        <w:t>Kunden, die Software Assurance vor dem 1. Oktober 2012 verlängern</w:t>
      </w:r>
    </w:p>
    <w:p w:rsidR="009B12B7" w:rsidRPr="00BB5519" w:rsidRDefault="00DC4FEC" w:rsidP="00FE7ED4">
      <w:pPr>
        <w:keepNext/>
        <w:keepLines/>
        <w:ind w:left="720"/>
        <w:rPr>
          <w:lang w:val="de-DE"/>
        </w:rPr>
      </w:pPr>
      <w:r w:rsidRPr="00BB5519">
        <w:rPr>
          <w:rFonts w:cs="Tahoma"/>
          <w:color w:val="000000"/>
          <w:szCs w:val="18"/>
          <w:lang w:val="de-DE"/>
        </w:rPr>
        <w:t xml:space="preserve">Forschung &amp; Lehre-, Open- und Open Value-Kunden, </w:t>
      </w:r>
      <w:r w:rsidRPr="00BB5519">
        <w:rPr>
          <w:rFonts w:cs="Tahoma"/>
          <w:szCs w:val="18"/>
          <w:lang w:val="de-DE"/>
        </w:rPr>
        <w:t>die Software Assurance für System Center 2012 vor dem 1. Oktober 2012 verlängern, sind berechtigt, Software Assurance</w:t>
      </w:r>
      <w:r w:rsidRPr="00BB5519">
        <w:rPr>
          <w:rFonts w:cs="Tahoma"/>
          <w:color w:val="000000"/>
          <w:szCs w:val="18"/>
          <w:lang w:val="de-DE"/>
        </w:rPr>
        <w:t xml:space="preserve"> für die Lizenzen zu verlängern, die sie für die System Center 2012-Lizenzgewährung qualifizieren (jeweils eine „qualifizierende Lizenz“).</w:t>
      </w:r>
      <w:r w:rsidR="009E4976" w:rsidRPr="00BB5519">
        <w:rPr>
          <w:rFonts w:cs="Tahoma"/>
          <w:color w:val="000000"/>
          <w:szCs w:val="18"/>
          <w:lang w:val="de-DE"/>
        </w:rPr>
        <w:t xml:space="preserve"> </w:t>
      </w:r>
      <w:r w:rsidRPr="00BB5519">
        <w:rPr>
          <w:rFonts w:cs="Tahoma"/>
          <w:color w:val="000000"/>
          <w:szCs w:val="18"/>
          <w:lang w:val="de-DE"/>
        </w:rPr>
        <w:t>Indem ein Kunden Software Assurance für eine qualifizierende Lizenz verlängert, hat er Software Assurance für die entsprechende(n) System Center 2012-Lizenz(en), die durch die Gewährung zur Verfügung gestellt werden, verlängert.</w:t>
      </w:r>
      <w:r w:rsidR="009E4976" w:rsidRPr="00BB5519">
        <w:rPr>
          <w:rFonts w:cs="Tahoma"/>
          <w:color w:val="000000"/>
          <w:szCs w:val="18"/>
          <w:lang w:val="de-DE"/>
        </w:rPr>
        <w:t xml:space="preserve"> </w:t>
      </w:r>
      <w:r w:rsidRPr="00BB5519">
        <w:rPr>
          <w:rFonts w:cs="Tahoma"/>
          <w:color w:val="000000"/>
          <w:szCs w:val="18"/>
          <w:lang w:val="de-DE"/>
        </w:rPr>
        <w:t>Dementsprechend hat der Kunde Anspruch auf spätere Versionen von System Center 2012, die während des Verlängerungszeitraums von Software Assurance zur Verfügung gestellt werden, und ist berechtigt, bei Ablauf der unter diesem Angebot bestellten Software Assurance Software Assurance für System Center 2012 auf Grundlage der zu dem Zeitpunkt aktuellen Verlängerungspreise für System Center 2012 zu verlängern. Trotz der Verlängerung von Software Assurance für die qualifizierenden Lizenzen</w:t>
      </w:r>
      <w:r w:rsidR="00FE7ED4">
        <w:rPr>
          <w:rFonts w:cs="Tahoma"/>
          <w:color w:val="000000"/>
          <w:szCs w:val="18"/>
          <w:lang w:val="de-DE"/>
        </w:rPr>
        <w:t> </w:t>
      </w:r>
      <w:r w:rsidRPr="00BB5519">
        <w:rPr>
          <w:rFonts w:cs="Tahoma"/>
          <w:color w:val="000000"/>
          <w:szCs w:val="18"/>
          <w:lang w:val="de-DE"/>
        </w:rPr>
        <w:t>bleiben die Bestimmungen der System Center 2012-Lizenzgewähung hiervon unberührt.</w:t>
      </w:r>
      <w:r w:rsidR="009E4976" w:rsidRPr="00BB5519">
        <w:rPr>
          <w:rFonts w:cs="Tahoma"/>
          <w:color w:val="000000"/>
          <w:szCs w:val="18"/>
          <w:lang w:val="de-DE"/>
        </w:rPr>
        <w:t xml:space="preserve"> </w:t>
      </w:r>
      <w:r w:rsidRPr="00BB5519">
        <w:rPr>
          <w:rFonts w:cs="Tahoma"/>
          <w:color w:val="000000"/>
          <w:szCs w:val="18"/>
          <w:lang w:val="de-DE"/>
        </w:rPr>
        <w:t>Dementsprechend sind Kunden nicht berechtigt, Software gleichzeitig unter einer qualifizierenden Lizenz und der entsprechenden System Center 2012-Lizenz zu verwenden.</w:t>
      </w:r>
      <w:r w:rsidR="009E4976" w:rsidRPr="00BB5519">
        <w:rPr>
          <w:rFonts w:cs="Tahoma"/>
          <w:color w:val="000000"/>
          <w:szCs w:val="18"/>
          <w:lang w:val="de-DE"/>
        </w:rPr>
        <w:t xml:space="preserve"> </w:t>
      </w:r>
      <w:r w:rsidRPr="00BB5519">
        <w:rPr>
          <w:rFonts w:cs="Tahoma"/>
          <w:color w:val="000000"/>
          <w:szCs w:val="18"/>
          <w:lang w:val="de-DE"/>
        </w:rPr>
        <w:t>Lizenz und Software Assurance für neue</w:t>
      </w:r>
      <w:r w:rsidR="00FE7ED4">
        <w:rPr>
          <w:rFonts w:cs="Tahoma"/>
          <w:color w:val="000000"/>
          <w:szCs w:val="18"/>
          <w:lang w:val="de-DE"/>
        </w:rPr>
        <w:t> </w:t>
      </w:r>
      <w:r w:rsidRPr="00BB5519">
        <w:rPr>
          <w:rFonts w:cs="Tahoma"/>
          <w:color w:val="000000"/>
          <w:szCs w:val="18"/>
          <w:lang w:val="de-DE"/>
        </w:rPr>
        <w:t xml:space="preserve">Lizenzen, die bei Verlängerung erworben werden, müssen unter Verwendung der Preise für System Center 2012 bestellt werden. </w:t>
      </w:r>
    </w:p>
    <w:p w:rsidR="009B12B7" w:rsidRPr="00BB5519" w:rsidRDefault="009B12B7" w:rsidP="00376D4B">
      <w:pPr>
        <w:ind w:left="720"/>
        <w:rPr>
          <w:lang w:val="de-DE"/>
        </w:rPr>
      </w:pPr>
    </w:p>
    <w:p w:rsidR="00FF4CAB" w:rsidRPr="00BB5519" w:rsidRDefault="009B12B7" w:rsidP="00376D4B">
      <w:pPr>
        <w:ind w:left="720"/>
        <w:rPr>
          <w:lang w:val="de-DE"/>
        </w:rPr>
      </w:pPr>
      <w:r w:rsidRPr="00BB5519">
        <w:rPr>
          <w:rFonts w:cs="Tahoma"/>
          <w:szCs w:val="18"/>
          <w:lang w:val="de-DE"/>
        </w:rPr>
        <w:t>Andere Kunden, die vor dem 1. Oktober 2012 Software Assurance für System Center 2012-Lizenzen, die unter diesem Angebot gewährt werden, verlängern, können auf ähnliche Weise berechtigt sein, Software Assurance auf Grundlage der Software Assurance-Preise für die Lizenzen zu verlängern, die sie für die Gewährung qualifizieren.</w:t>
      </w:r>
      <w:r w:rsidR="009E4976" w:rsidRPr="00BB5519">
        <w:rPr>
          <w:rFonts w:cs="Tahoma"/>
          <w:szCs w:val="18"/>
          <w:lang w:val="de-DE"/>
        </w:rPr>
        <w:t xml:space="preserve"> </w:t>
      </w:r>
      <w:r w:rsidRPr="00BB5519">
        <w:rPr>
          <w:rFonts w:cs="Tahoma"/>
          <w:szCs w:val="18"/>
          <w:lang w:val="de-DE"/>
        </w:rPr>
        <w:t>Weitere Informationen erhalten Kunden bei ihrem Microsoft-Kundenbetreuer oder Handelspartner.</w:t>
      </w:r>
      <w:r w:rsidR="009E4976" w:rsidRPr="00BB5519">
        <w:rPr>
          <w:rFonts w:cs="Tahoma"/>
          <w:szCs w:val="18"/>
          <w:lang w:val="de-DE"/>
        </w:rPr>
        <w:t xml:space="preserve"> </w:t>
      </w:r>
      <w:r w:rsidRPr="00BB5519">
        <w:rPr>
          <w:rFonts w:cs="Tahoma"/>
          <w:szCs w:val="18"/>
          <w:lang w:val="de-DE"/>
        </w:rPr>
        <w:t xml:space="preserve">Dieses Angebot gilt nicht für Software Assurance-Verlängerung für Client-Management-Lizenzen für System Center Client Management Suite und System Center Configuration Manager </w:t>
      </w:r>
    </w:p>
    <w:p w:rsidR="00FF4CAB" w:rsidRPr="00BB5519" w:rsidRDefault="00FF4CAB" w:rsidP="00924690">
      <w:pPr>
        <w:rPr>
          <w:lang w:val="de-DE"/>
        </w:rPr>
      </w:pPr>
    </w:p>
    <w:p w:rsidR="00FF4CAB" w:rsidRPr="00BB5519" w:rsidRDefault="00FF4CAB" w:rsidP="00FF4CAB">
      <w:pPr>
        <w:rPr>
          <w:lang w:val="de-DE"/>
        </w:rPr>
      </w:pPr>
    </w:p>
    <w:p w:rsidR="00916E81" w:rsidRPr="00BB5519" w:rsidRDefault="00F66FB0" w:rsidP="002D35ED">
      <w:pPr>
        <w:pStyle w:val="Heading3"/>
        <w:rPr>
          <w:lang w:val="de-DE"/>
        </w:rPr>
      </w:pPr>
      <w:bookmarkStart w:id="1512" w:name="_103_System_Center"/>
      <w:bookmarkStart w:id="1513" w:name="_91_System_Center"/>
      <w:bookmarkStart w:id="1514" w:name="Srv_102SysCtr2012EndpointProt"/>
      <w:bookmarkStart w:id="1515" w:name="_Toc336338359"/>
      <w:bookmarkStart w:id="1516" w:name="_Toc354055046"/>
      <w:bookmarkEnd w:id="1512"/>
      <w:bookmarkEnd w:id="1513"/>
      <w:r w:rsidRPr="00BB5519">
        <w:rPr>
          <w:rFonts w:ascii="Tahoma" w:hAnsi="Tahoma" w:cs="Tahoma"/>
          <w:caps/>
          <w:color w:val="F66400"/>
          <w:sz w:val="22"/>
          <w:szCs w:val="22"/>
          <w:vertAlign w:val="superscript"/>
          <w:lang w:val="de-DE"/>
        </w:rPr>
        <w:t>91</w:t>
      </w:r>
      <w:r w:rsidRPr="00BB5519">
        <w:rPr>
          <w:rFonts w:ascii="Tahoma" w:hAnsi="Tahoma" w:cs="Tahoma"/>
          <w:color w:val="F66400"/>
          <w:sz w:val="22"/>
          <w:szCs w:val="22"/>
          <w:lang w:val="de-DE"/>
        </w:rPr>
        <w:t xml:space="preserve"> System Center 2012 Endpoint Protection</w:t>
      </w:r>
      <w:bookmarkEnd w:id="1514"/>
      <w:bookmarkEnd w:id="1515"/>
      <w:bookmarkEnd w:id="1516"/>
    </w:p>
    <w:p w:rsidR="00916E81" w:rsidRPr="00BB5519" w:rsidRDefault="00916E81" w:rsidP="00C21BCF">
      <w:pPr>
        <w:ind w:left="720"/>
        <w:rPr>
          <w:lang w:val="de-DE"/>
        </w:rPr>
      </w:pPr>
    </w:p>
    <w:p w:rsidR="00C21BCF" w:rsidRPr="00BB5519" w:rsidRDefault="00A0581B" w:rsidP="00A0581B">
      <w:pPr>
        <w:spacing w:after="60"/>
        <w:ind w:left="720"/>
        <w:rPr>
          <w:lang w:val="de-DE"/>
        </w:rPr>
      </w:pPr>
      <w:r w:rsidRPr="00BB5519">
        <w:rPr>
          <w:rFonts w:eastAsia="Calibri" w:cs="Tahoma"/>
          <w:b/>
          <w:szCs w:val="18"/>
          <w:lang w:val="de-DE"/>
        </w:rPr>
        <w:t>Upgrades/Downgrade</w:t>
      </w:r>
    </w:p>
    <w:p w:rsidR="00C21BCF" w:rsidRPr="00BB5519" w:rsidRDefault="00C21BCF" w:rsidP="00C21BCF">
      <w:pPr>
        <w:ind w:left="720"/>
        <w:rPr>
          <w:lang w:val="de-DE"/>
        </w:rPr>
      </w:pPr>
      <w:r w:rsidRPr="00BB5519">
        <w:rPr>
          <w:rFonts w:eastAsia="Calibri" w:cs="Tahoma"/>
          <w:szCs w:val="18"/>
          <w:lang w:val="de-DE"/>
        </w:rPr>
        <w:t>Mit Wirkung vom 1. April 2012 ist Forefront Endpoint Protection zu System Center 2012 Endpoint Protection geworden. System Center 2012 Endpoint Protection gewährt als eigenständiges Angebot nur Rechte zum Schutz von Clientgeräten. Nutzungsrechte zum Schutz von Servergeräten können nur durch Erwerb von Server-Management-Lizenzen für System Center 2012 Standard oder Datacenter erworben werden.</w:t>
      </w:r>
    </w:p>
    <w:p w:rsidR="00C21BCF" w:rsidRPr="00BB5519" w:rsidRDefault="00C21BCF" w:rsidP="00C21BCF">
      <w:pPr>
        <w:ind w:left="720"/>
        <w:rPr>
          <w:lang w:val="de-DE"/>
        </w:rPr>
      </w:pPr>
    </w:p>
    <w:p w:rsidR="00C21BCF" w:rsidRPr="00BB5519" w:rsidRDefault="00C21BCF" w:rsidP="00C21BCF">
      <w:pPr>
        <w:ind w:left="720"/>
        <w:rPr>
          <w:lang w:val="de-DE"/>
        </w:rPr>
      </w:pPr>
      <w:r w:rsidRPr="00BB5519">
        <w:rPr>
          <w:rFonts w:eastAsia="Calibri" w:cs="Tahoma"/>
          <w:szCs w:val="18"/>
          <w:lang w:val="de-DE"/>
        </w:rPr>
        <w:t>Nutzer, die über aktive Forefront Endpoint Protection-Abonnements verfügen und den Dienst zum Schutz von Clientgeräten nutzen, können auf System Center 2012 Endpoint Protection für denselben Zweck upgraden und dieses verwenden. Kunden mit System Center 2012 Endpoint Protection-Abonnements sind berechtigt, ein Downgrade auf Forefront Endpoint Protection durchzuführen.</w:t>
      </w:r>
    </w:p>
    <w:p w:rsidR="00C21BCF" w:rsidRPr="00BB5519" w:rsidRDefault="00C21BCF" w:rsidP="00C21BCF">
      <w:pPr>
        <w:ind w:left="720"/>
        <w:rPr>
          <w:lang w:val="de-DE"/>
        </w:rPr>
      </w:pPr>
    </w:p>
    <w:p w:rsidR="00C21BCF" w:rsidRPr="00BB5519" w:rsidRDefault="00C21BCF" w:rsidP="00C21BCF">
      <w:pPr>
        <w:ind w:left="720"/>
        <w:rPr>
          <w:lang w:val="de-DE"/>
        </w:rPr>
      </w:pPr>
      <w:r w:rsidRPr="00BB5519">
        <w:rPr>
          <w:rFonts w:eastAsia="Calibri" w:cs="Tahoma"/>
          <w:szCs w:val="18"/>
          <w:lang w:val="de-DE"/>
        </w:rPr>
        <w:t>System Center 2012 Configuration Manager ist die Verwaltungskonsole für System Center 2012 Endpoint Protection.</w:t>
      </w:r>
      <w:r w:rsidR="009E4976" w:rsidRPr="00BB5519">
        <w:rPr>
          <w:rFonts w:eastAsia="Calibri" w:cs="Tahoma"/>
          <w:szCs w:val="18"/>
          <w:lang w:val="de-DE"/>
        </w:rPr>
        <w:t xml:space="preserve"> </w:t>
      </w:r>
      <w:r w:rsidRPr="00BB5519">
        <w:rPr>
          <w:rFonts w:eastAsia="Calibri" w:cs="Tahoma"/>
          <w:szCs w:val="18"/>
          <w:lang w:val="de-DE"/>
        </w:rPr>
        <w:t>Kunden müssen für System Center 2012 Configuration Manager lizenziert sein, um System Center 2012 Endpoint Protection verwalten zu können.</w:t>
      </w:r>
      <w:r w:rsidR="009E4976" w:rsidRPr="00BB5519">
        <w:rPr>
          <w:rFonts w:eastAsia="Calibri" w:cs="Tahoma"/>
          <w:szCs w:val="18"/>
          <w:lang w:val="de-DE"/>
        </w:rPr>
        <w:t xml:space="preserve"> </w:t>
      </w:r>
      <w:r w:rsidRPr="00BB5519">
        <w:rPr>
          <w:rFonts w:eastAsia="Calibri" w:cs="Tahoma"/>
          <w:szCs w:val="18"/>
          <w:lang w:val="de-DE"/>
        </w:rPr>
        <w:t>Alternativ kann System Center 2012 Endpoint Protection unverwaltet verwendet werden, ohne dass System Center 2012 Configuration Manager lizenziert werden muss.</w:t>
      </w:r>
      <w:r w:rsidR="009E4976" w:rsidRPr="00BB5519">
        <w:rPr>
          <w:rFonts w:eastAsia="Calibri" w:cs="Tahoma"/>
          <w:szCs w:val="18"/>
          <w:lang w:val="de-DE"/>
        </w:rPr>
        <w:t xml:space="preserve"> </w:t>
      </w:r>
    </w:p>
    <w:p w:rsidR="00C21BCF" w:rsidRPr="00BB5519" w:rsidRDefault="00C21BCF" w:rsidP="00C21BCF">
      <w:pPr>
        <w:ind w:left="720"/>
        <w:rPr>
          <w:lang w:val="de-DE"/>
        </w:rPr>
      </w:pPr>
    </w:p>
    <w:p w:rsidR="00C21BCF" w:rsidRPr="00BB5519" w:rsidRDefault="00A0581B" w:rsidP="00A0581B">
      <w:pPr>
        <w:spacing w:after="60"/>
        <w:ind w:left="720"/>
        <w:rPr>
          <w:lang w:val="de-DE"/>
        </w:rPr>
      </w:pPr>
      <w:r w:rsidRPr="00BB5519">
        <w:rPr>
          <w:rFonts w:eastAsia="Calibri" w:cs="Tahoma"/>
          <w:b/>
          <w:szCs w:val="18"/>
          <w:lang w:val="de-DE"/>
        </w:rPr>
        <w:t>Heimnutzung</w:t>
      </w:r>
    </w:p>
    <w:p w:rsidR="00FF4CAB" w:rsidRPr="00BB5519" w:rsidRDefault="00C21BCF" w:rsidP="00A0581B">
      <w:pPr>
        <w:ind w:left="720"/>
        <w:rPr>
          <w:lang w:val="de-DE"/>
        </w:rPr>
      </w:pPr>
      <w:r w:rsidRPr="00BB5519">
        <w:rPr>
          <w:rFonts w:eastAsia="Calibri" w:cs="Tahoma"/>
          <w:szCs w:val="18"/>
          <w:lang w:val="de-DE"/>
        </w:rPr>
        <w:t>Kunden mit aktuellen Nutzer-Abonnementlizenzen für System Center 2012 Endpoint Protection sind für das Home Use Program qualifiziert.</w:t>
      </w:r>
    </w:p>
    <w:p w:rsidR="00A0581B" w:rsidRPr="00BB5519" w:rsidRDefault="00A0581B" w:rsidP="00A0581B">
      <w:pPr>
        <w:rPr>
          <w:lang w:val="de-DE"/>
        </w:rPr>
      </w:pPr>
    </w:p>
    <w:p w:rsidR="00A0581B" w:rsidRPr="00BB5519" w:rsidRDefault="00A0581B" w:rsidP="00A0581B">
      <w:pPr>
        <w:rPr>
          <w:lang w:val="de-DE"/>
        </w:rPr>
      </w:pPr>
    </w:p>
    <w:p w:rsidR="00023FE7" w:rsidRPr="00BB5519" w:rsidRDefault="00F66FB0">
      <w:pPr>
        <w:pStyle w:val="Heading3"/>
        <w:rPr>
          <w:lang w:val="de-DE"/>
        </w:rPr>
      </w:pPr>
      <w:bookmarkStart w:id="1517" w:name="_91_TechNet_Plus"/>
      <w:bookmarkStart w:id="1518" w:name="_92_TechNet_Plus"/>
      <w:bookmarkStart w:id="1519" w:name="Srv_103TechNetPlusSingleUser"/>
      <w:bookmarkStart w:id="1520" w:name="_Toc336338360"/>
      <w:bookmarkStart w:id="1521" w:name="_Toc354055047"/>
      <w:bookmarkEnd w:id="1517"/>
      <w:bookmarkEnd w:id="1518"/>
      <w:r w:rsidRPr="00BB5519">
        <w:rPr>
          <w:rFonts w:ascii="Tahoma" w:hAnsi="Tahoma"/>
          <w:caps/>
          <w:color w:val="F66400"/>
          <w:sz w:val="22"/>
          <w:vertAlign w:val="superscript"/>
          <w:lang w:val="de-DE"/>
        </w:rPr>
        <w:t>92</w:t>
      </w:r>
      <w:r w:rsidRPr="00BB5519">
        <w:rPr>
          <w:rFonts w:ascii="Tahoma" w:hAnsi="Tahoma"/>
          <w:color w:val="F66400"/>
          <w:sz w:val="22"/>
          <w:lang w:val="de-DE"/>
        </w:rPr>
        <w:t xml:space="preserve"> TechNet Plus Single User</w:t>
      </w:r>
      <w:bookmarkEnd w:id="1502"/>
      <w:bookmarkEnd w:id="1519"/>
      <w:bookmarkEnd w:id="1520"/>
      <w:bookmarkEnd w:id="1521"/>
    </w:p>
    <w:p w:rsidR="00023FE7" w:rsidRPr="00BB5519" w:rsidRDefault="00023FE7" w:rsidP="001704C2">
      <w:pPr>
        <w:tabs>
          <w:tab w:val="left" w:pos="2690"/>
        </w:tabs>
        <w:rPr>
          <w:lang w:val="de-DE"/>
        </w:rPr>
      </w:pPr>
    </w:p>
    <w:p w:rsidR="00023FE7" w:rsidRPr="00BB5519" w:rsidRDefault="00023FE7" w:rsidP="001704C2">
      <w:pPr>
        <w:pStyle w:val="FootnoteBulletLevel1"/>
        <w:tabs>
          <w:tab w:val="clear" w:pos="900"/>
        </w:tabs>
        <w:spacing w:before="0" w:after="60"/>
        <w:ind w:left="720" w:firstLine="0"/>
        <w:rPr>
          <w:lang w:val="de-DE"/>
        </w:rPr>
      </w:pPr>
      <w:r w:rsidRPr="00BB5519">
        <w:rPr>
          <w:rFonts w:ascii="Tahoma" w:hAnsi="Tahoma" w:cs="Tahoma"/>
          <w:b/>
          <w:sz w:val="18"/>
          <w:lang w:val="de-DE"/>
        </w:rPr>
        <w:t>Migrationspfad für TechNet Plus Single Server-Kunden mit Software Assurance</w:t>
      </w:r>
    </w:p>
    <w:p w:rsidR="00023FE7" w:rsidRPr="00BB5519" w:rsidRDefault="00023FE7" w:rsidP="001704C2">
      <w:pPr>
        <w:pStyle w:val="FootnoteBulletLevel1"/>
        <w:tabs>
          <w:tab w:val="clear" w:pos="900"/>
        </w:tabs>
        <w:spacing w:before="0" w:after="0"/>
        <w:ind w:left="720" w:firstLine="0"/>
        <w:rPr>
          <w:lang w:val="de-DE"/>
        </w:rPr>
      </w:pPr>
      <w:r w:rsidRPr="00BB5519">
        <w:rPr>
          <w:rFonts w:ascii="Tahoma" w:hAnsi="Tahoma" w:cs="Tahoma"/>
          <w:sz w:val="18"/>
          <w:lang w:val="de-DE"/>
        </w:rPr>
        <w:t>Kunden, deren Software Assurance für TechNet Plus Single Server abläuft und die diese verlängern möchten, können Software Assurance für TechNet Plus Single User oder TechNet Plus Direct erwerben.</w:t>
      </w:r>
      <w:r w:rsidR="009E4976" w:rsidRPr="00BB5519">
        <w:rPr>
          <w:rFonts w:ascii="Tahoma" w:hAnsi="Tahoma" w:cs="Tahoma"/>
          <w:sz w:val="18"/>
          <w:lang w:val="de-DE"/>
        </w:rPr>
        <w:t xml:space="preserve"> </w:t>
      </w:r>
    </w:p>
    <w:p w:rsidR="006B1BAF" w:rsidRPr="00BB5519" w:rsidRDefault="006B1BAF" w:rsidP="001704C2">
      <w:pPr>
        <w:rPr>
          <w:lang w:val="de-DE"/>
        </w:rPr>
      </w:pPr>
    </w:p>
    <w:p w:rsidR="001704C2" w:rsidRPr="00BB5519" w:rsidRDefault="001704C2" w:rsidP="001704C2">
      <w:pPr>
        <w:rPr>
          <w:lang w:val="de-DE"/>
        </w:rPr>
      </w:pPr>
    </w:p>
    <w:p w:rsidR="00FF4CAB" w:rsidRPr="00BB5519" w:rsidRDefault="00F66FB0" w:rsidP="00FE7ED4">
      <w:pPr>
        <w:pStyle w:val="Heading3"/>
        <w:keepNext/>
        <w:keepLines/>
        <w:rPr>
          <w:lang w:val="de-DE"/>
        </w:rPr>
      </w:pPr>
      <w:bookmarkStart w:id="1522" w:name="_92_Visual_Studio"/>
      <w:bookmarkStart w:id="1523" w:name="_90_VDI_Standard"/>
      <w:bookmarkStart w:id="1524" w:name="_93_VDI_Standard"/>
      <w:bookmarkStart w:id="1525" w:name="_Toc336338361"/>
      <w:bookmarkStart w:id="1526" w:name="_Toc354055048"/>
      <w:bookmarkStart w:id="1527" w:name="Srv_105VDIStandardandPremiumSuites"/>
      <w:bookmarkStart w:id="1528" w:name="Srv_94VSLoadTestVirtualUserPack10"/>
      <w:bookmarkEnd w:id="1522"/>
      <w:bookmarkEnd w:id="1523"/>
      <w:bookmarkEnd w:id="1524"/>
      <w:r w:rsidRPr="00BB5519">
        <w:rPr>
          <w:rFonts w:ascii="Tahoma" w:hAnsi="Tahoma" w:cs="Tahoma"/>
          <w:caps/>
          <w:color w:val="FF7415"/>
          <w:sz w:val="22"/>
          <w:szCs w:val="22"/>
          <w:vertAlign w:val="superscript"/>
          <w:lang w:val="de-DE"/>
        </w:rPr>
        <w:lastRenderedPageBreak/>
        <w:t xml:space="preserve">93 </w:t>
      </w:r>
      <w:r w:rsidRPr="00BB5519">
        <w:rPr>
          <w:rFonts w:ascii="Tahoma" w:hAnsi="Tahoma" w:cs="Tahoma"/>
          <w:color w:val="FF7415"/>
          <w:sz w:val="22"/>
          <w:szCs w:val="22"/>
          <w:lang w:val="de-DE"/>
        </w:rPr>
        <w:t>VDI Standard and Premium Suites</w:t>
      </w:r>
      <w:bookmarkEnd w:id="1525"/>
      <w:bookmarkEnd w:id="1526"/>
    </w:p>
    <w:bookmarkEnd w:id="1527"/>
    <w:p w:rsidR="00FF4CAB" w:rsidRPr="00BB5519" w:rsidRDefault="00FF4CAB" w:rsidP="00FE7ED4">
      <w:pPr>
        <w:keepNext/>
        <w:keepLines/>
        <w:rPr>
          <w:lang w:val="de-DE"/>
        </w:rPr>
      </w:pPr>
    </w:p>
    <w:p w:rsidR="00FF4CAB" w:rsidRPr="00BB5519" w:rsidRDefault="00FF4CAB" w:rsidP="00B76943">
      <w:pPr>
        <w:pStyle w:val="EndnoteText"/>
        <w:ind w:left="720"/>
        <w:rPr>
          <w:lang w:val="de-DE"/>
        </w:rPr>
      </w:pPr>
      <w:r w:rsidRPr="00BB5519">
        <w:rPr>
          <w:rFonts w:ascii="Tahoma" w:hAnsi="Tahoma" w:cs="Tahoma"/>
          <w:color w:val="000000"/>
          <w:sz w:val="18"/>
          <w:lang w:val="de-DE"/>
        </w:rPr>
        <w:t>Diese Produkte haben den Status End-Of-Life (EOL) und werden nicht mehr angeboten. Kunden mit Konzernvertrag können sich in früheren Versionen der Produktbenutzungsrechte über Nutzungsrechte informieren.</w:t>
      </w:r>
    </w:p>
    <w:p w:rsidR="00BA1490" w:rsidRPr="00BB5519" w:rsidRDefault="00BA1490" w:rsidP="00B76943">
      <w:pPr>
        <w:pStyle w:val="EndnoteText"/>
        <w:ind w:left="0"/>
        <w:rPr>
          <w:lang w:val="de-DE"/>
        </w:rPr>
      </w:pPr>
    </w:p>
    <w:p w:rsidR="00EA31A6" w:rsidRPr="00BB5519" w:rsidRDefault="00EA31A6" w:rsidP="00B76943">
      <w:pPr>
        <w:pStyle w:val="EndnoteText"/>
        <w:ind w:left="0"/>
        <w:rPr>
          <w:lang w:val="de-DE"/>
        </w:rPr>
      </w:pPr>
    </w:p>
    <w:p w:rsidR="00EA31A6" w:rsidRPr="00BB5519" w:rsidRDefault="004F7501" w:rsidP="004F7501">
      <w:pPr>
        <w:pStyle w:val="Heading3"/>
        <w:rPr>
          <w:lang w:val="de-DE"/>
        </w:rPr>
      </w:pPr>
      <w:bookmarkStart w:id="1529" w:name="_91_Vexcel_Server,"/>
      <w:bookmarkStart w:id="1530" w:name="_94_Vexcel_Server"/>
      <w:bookmarkStart w:id="1531" w:name="_Toc354055049"/>
      <w:bookmarkEnd w:id="1529"/>
      <w:bookmarkEnd w:id="1530"/>
      <w:r w:rsidRPr="00BB5519">
        <w:rPr>
          <w:rFonts w:ascii="Tahoma" w:hAnsi="Tahoma" w:cs="Tahoma"/>
          <w:caps/>
          <w:color w:val="FF7415"/>
          <w:sz w:val="22"/>
          <w:szCs w:val="22"/>
          <w:vertAlign w:val="superscript"/>
          <w:lang w:val="de-DE"/>
        </w:rPr>
        <w:t>9</w:t>
      </w:r>
      <w:r>
        <w:rPr>
          <w:rFonts w:ascii="Tahoma" w:hAnsi="Tahoma" w:cs="Tahoma"/>
          <w:caps/>
          <w:color w:val="FF7415"/>
          <w:sz w:val="22"/>
          <w:szCs w:val="22"/>
          <w:vertAlign w:val="superscript"/>
          <w:lang w:val="de-DE"/>
        </w:rPr>
        <w:t>4</w:t>
      </w:r>
      <w:r w:rsidR="00F66FB0" w:rsidRPr="00BB5519">
        <w:rPr>
          <w:rFonts w:ascii="Tahoma" w:hAnsi="Tahoma" w:cs="Tahoma"/>
          <w:caps/>
          <w:color w:val="EE6000"/>
          <w:sz w:val="22"/>
          <w:szCs w:val="18"/>
          <w:vertAlign w:val="superscript"/>
          <w:lang w:val="de-DE"/>
        </w:rPr>
        <w:t xml:space="preserve"> </w:t>
      </w:r>
      <w:r w:rsidR="00F66FB0" w:rsidRPr="00BB5519">
        <w:rPr>
          <w:rFonts w:ascii="Tahoma" w:hAnsi="Tahoma"/>
          <w:color w:val="F66400"/>
          <w:sz w:val="22"/>
          <w:lang w:val="de-DE"/>
        </w:rPr>
        <w:t>Vexcel Server und Vexcel Server mit Erweitertem Inhaltspaket</w:t>
      </w:r>
      <w:bookmarkEnd w:id="1531"/>
    </w:p>
    <w:p w:rsidR="00EA31A6" w:rsidRPr="00BB5519" w:rsidRDefault="00EA31A6" w:rsidP="00EA31A6">
      <w:pPr>
        <w:ind w:left="720"/>
        <w:rPr>
          <w:lang w:val="de-DE"/>
        </w:rPr>
      </w:pPr>
    </w:p>
    <w:p w:rsidR="00EA31A6" w:rsidRPr="00BB5519" w:rsidRDefault="00EA31A6" w:rsidP="00FE7ED4">
      <w:pPr>
        <w:ind w:left="720"/>
        <w:rPr>
          <w:lang w:val="de-DE"/>
        </w:rPr>
      </w:pPr>
      <w:r w:rsidRPr="00BB5519">
        <w:rPr>
          <w:rFonts w:cs="Tahoma"/>
          <w:szCs w:val="20"/>
          <w:u w:val="single"/>
          <w:lang w:val="de-DE"/>
        </w:rPr>
        <w:t>Erforderliche Builddienste</w:t>
      </w:r>
      <w:r w:rsidRPr="00FE7ED4">
        <w:rPr>
          <w:rFonts w:cs="Tahoma"/>
          <w:szCs w:val="20"/>
          <w:lang w:val="de-DE"/>
        </w:rPr>
        <w:t>.</w:t>
      </w:r>
      <w:r w:rsidRPr="00BB5519">
        <w:rPr>
          <w:rFonts w:cs="Tahoma"/>
          <w:szCs w:val="20"/>
          <w:lang w:val="de-DE"/>
        </w:rPr>
        <w:t xml:space="preserve"> Für Vexcel Server und Vexcel Server mit Erweitertem Inhaltspaket sind Jahresabonnements für die Server-/CAL-Software sowie die System-Builddienste von Vexcel, der Tochtergesellschaft von Microsoft für georäumliche Technologie, erforderlich.</w:t>
      </w:r>
      <w:r w:rsidR="009E4976" w:rsidRPr="00BB5519">
        <w:rPr>
          <w:rFonts w:cs="Tahoma"/>
          <w:szCs w:val="20"/>
          <w:lang w:val="de-DE"/>
        </w:rPr>
        <w:t xml:space="preserve"> </w:t>
      </w:r>
      <w:r w:rsidRPr="00BB5519">
        <w:rPr>
          <w:rFonts w:cs="Tahoma"/>
          <w:szCs w:val="20"/>
          <w:lang w:val="de-DE"/>
        </w:rPr>
        <w:t>Zusätzliche Schulungs-, Support- und Wartungsleistungen sind ebenfalls verfügbar, aber nicht erforderlich.</w:t>
      </w:r>
      <w:r w:rsidR="009E4976" w:rsidRPr="00BB5519">
        <w:rPr>
          <w:rFonts w:cs="Tahoma"/>
          <w:szCs w:val="20"/>
          <w:lang w:val="de-DE"/>
        </w:rPr>
        <w:t xml:space="preserve"> </w:t>
      </w:r>
      <w:r w:rsidRPr="00BB5519">
        <w:rPr>
          <w:rFonts w:cs="Tahoma"/>
          <w:szCs w:val="20"/>
          <w:lang w:val="de-DE"/>
        </w:rPr>
        <w:t>Weitere Informationen</w:t>
      </w:r>
      <w:r w:rsidR="00FE7ED4">
        <w:rPr>
          <w:rFonts w:cs="Tahoma"/>
          <w:szCs w:val="20"/>
          <w:lang w:val="de-DE"/>
        </w:rPr>
        <w:t> </w:t>
      </w:r>
      <w:r w:rsidRPr="00BB5519">
        <w:rPr>
          <w:rFonts w:cs="Tahoma"/>
          <w:szCs w:val="20"/>
          <w:lang w:val="de-DE"/>
        </w:rPr>
        <w:t xml:space="preserve">finden Sie unter </w:t>
      </w:r>
      <w:hyperlink r:id="rId55" w:history="1">
        <w:r w:rsidRPr="00BB5519">
          <w:rPr>
            <w:rStyle w:val="Hyperlink"/>
            <w:lang w:val="de-DE"/>
          </w:rPr>
          <w:t>http://www.vexcel.com/geospatial/bingmapsserver/index.asp</w:t>
        </w:r>
      </w:hyperlink>
    </w:p>
    <w:p w:rsidR="00B54C21" w:rsidRPr="00BB5519" w:rsidRDefault="00B54C21" w:rsidP="00B76943">
      <w:pPr>
        <w:pStyle w:val="EndnoteText"/>
        <w:ind w:left="0"/>
        <w:rPr>
          <w:lang w:val="de-DE"/>
        </w:rPr>
      </w:pPr>
    </w:p>
    <w:p w:rsidR="00EA31A6" w:rsidRPr="00BB5519" w:rsidRDefault="00EA31A6" w:rsidP="00B76943">
      <w:pPr>
        <w:pStyle w:val="EndnoteText"/>
        <w:ind w:left="0"/>
        <w:rPr>
          <w:lang w:val="de-DE"/>
        </w:rPr>
      </w:pPr>
    </w:p>
    <w:p w:rsidR="00E8145C" w:rsidRPr="00BB5519" w:rsidRDefault="00F66FB0" w:rsidP="00E8145C">
      <w:pPr>
        <w:pStyle w:val="Heading2"/>
        <w:ind w:left="0"/>
        <w:rPr>
          <w:lang w:val="de-DE"/>
        </w:rPr>
      </w:pPr>
      <w:bookmarkStart w:id="1532" w:name="_105_Windows_Azure"/>
      <w:bookmarkStart w:id="1533" w:name="_95_Windows_Azure-Dienste"/>
      <w:bookmarkStart w:id="1534" w:name="_Toc336338362"/>
      <w:bookmarkStart w:id="1535" w:name="_Toc354055050"/>
      <w:bookmarkEnd w:id="1532"/>
      <w:bookmarkEnd w:id="1533"/>
      <w:r w:rsidRPr="00BB5519">
        <w:rPr>
          <w:rFonts w:ascii="Tahoma" w:hAnsi="Tahoma" w:cs="Tahoma"/>
          <w:caps/>
          <w:color w:val="EE6000"/>
          <w:sz w:val="22"/>
          <w:szCs w:val="18"/>
          <w:vertAlign w:val="superscript"/>
          <w:lang w:val="de-DE"/>
        </w:rPr>
        <w:t xml:space="preserve">95 </w:t>
      </w:r>
      <w:r w:rsidRPr="00BB5519">
        <w:rPr>
          <w:rFonts w:ascii="Tahoma" w:hAnsi="Tahoma" w:cs="Tahoma"/>
          <w:color w:val="F8701C"/>
          <w:sz w:val="22"/>
          <w:szCs w:val="22"/>
          <w:lang w:val="de-DE"/>
        </w:rPr>
        <w:t>Windows Azure-Dienste</w:t>
      </w:r>
      <w:bookmarkEnd w:id="1534"/>
      <w:bookmarkEnd w:id="1535"/>
    </w:p>
    <w:p w:rsidR="00E8145C" w:rsidRPr="00BB5519" w:rsidRDefault="00E8145C" w:rsidP="00B76943">
      <w:pPr>
        <w:widowControl w:val="0"/>
        <w:jc w:val="both"/>
        <w:rPr>
          <w:lang w:val="de-DE"/>
        </w:rPr>
      </w:pPr>
    </w:p>
    <w:p w:rsidR="00B76943" w:rsidRPr="00BB5519" w:rsidRDefault="00E8145C" w:rsidP="00B76943">
      <w:pPr>
        <w:widowControl w:val="0"/>
        <w:spacing w:after="60"/>
        <w:ind w:left="720"/>
        <w:jc w:val="both"/>
        <w:rPr>
          <w:lang w:val="de-DE"/>
        </w:rPr>
      </w:pPr>
      <w:r w:rsidRPr="00BB5519">
        <w:rPr>
          <w:b/>
          <w:color w:val="000000"/>
          <w:lang w:val="de-DE"/>
        </w:rPr>
        <w:t>Windows Azure Compute-Ressourcenverpflichtung</w:t>
      </w:r>
    </w:p>
    <w:p w:rsidR="00E8145C" w:rsidRPr="00BB5519" w:rsidRDefault="00E8145C" w:rsidP="00B76943">
      <w:pPr>
        <w:widowControl w:val="0"/>
        <w:ind w:left="720"/>
        <w:jc w:val="both"/>
        <w:rPr>
          <w:lang w:val="de-DE"/>
        </w:rPr>
      </w:pPr>
      <w:r w:rsidRPr="00BB5519">
        <w:rPr>
          <w:lang w:val="de-DE"/>
        </w:rPr>
        <w:t xml:space="preserve">Für Windows Azure Compute erklärt sich Microsoft damit einverstanden, dem Kunden eine Compute-Ressourcenverpflichtung zur Verfügung zu stellen. Die Compute-Ressourcenverpflichtung beträgt (1) </w:t>
      </w:r>
      <w:r w:rsidRPr="00BB5519">
        <w:rPr>
          <w:rFonts w:eastAsia="Times New Roman"/>
          <w:color w:val="000000"/>
          <w:lang w:val="de-DE"/>
        </w:rPr>
        <w:t xml:space="preserve">50 gleichzeitige kleine Compute-Instanzen pro Monat oder (2) </w:t>
      </w:r>
      <w:r w:rsidRPr="00BB5519">
        <w:rPr>
          <w:lang w:val="de-DE"/>
        </w:rPr>
        <w:t xml:space="preserve">125% 125 % der Voraussichtlichen Compute-Nutzung des Kunden (wie nachstehend berechnet), wobei der größere Wert maßgeblich ist. </w:t>
      </w:r>
    </w:p>
    <w:p w:rsidR="00B76943" w:rsidRPr="00BB5519" w:rsidRDefault="00B76943" w:rsidP="00B76943">
      <w:pPr>
        <w:widowControl w:val="0"/>
        <w:ind w:left="720"/>
        <w:jc w:val="both"/>
        <w:rPr>
          <w:lang w:val="de-DE"/>
        </w:rPr>
      </w:pPr>
    </w:p>
    <w:p w:rsidR="00E8145C" w:rsidRPr="00BB5519" w:rsidRDefault="00E8145C" w:rsidP="00B76943">
      <w:pPr>
        <w:widowControl w:val="0"/>
        <w:ind w:left="720"/>
        <w:jc w:val="both"/>
        <w:rPr>
          <w:lang w:val="de-DE"/>
        </w:rPr>
      </w:pPr>
      <w:r w:rsidRPr="00BB5519">
        <w:rPr>
          <w:lang w:val="de-DE"/>
        </w:rPr>
        <w:t xml:space="preserve">Die „Voraussichtliche Compute-Nutzung“ wird durch Dividieren der Finanziellen Verpflichtung des Kunden durch die Anzahl der Monate, die durch diese Finanzielle Verpflichtung abgedeckt sind (entweder 12 Monate oder die Anzahl der verbleibenden Monate im Beitritt des Kunden, je nachdem, ob sich der Kunde für die Option eines Ein-Jahres-Abonnements oder für die </w:t>
      </w:r>
      <w:r w:rsidRPr="00BB5519">
        <w:rPr>
          <w:rFonts w:cs="Tahoma"/>
          <w:szCs w:val="18"/>
          <w:lang w:val="de-DE"/>
        </w:rPr>
        <w:t>Abonnementoption mit identischer Laufzeit</w:t>
      </w:r>
      <w:r w:rsidRPr="00BB5519">
        <w:rPr>
          <w:lang w:val="de-DE"/>
        </w:rPr>
        <w:t xml:space="preserve"> entscheidet), sowie durch Dividieren dieser Zahl durch den Verpflichtungspreis für Windows Azure Compute berechnet. Wenn der Kunde während der Beitrittslaufzeit seiner Finanziellen Verpflichtung Mittel hinzufügt, wird die Voraussichtliche Compute-Nutzung entsprechend neu berechnet. Wenn die restliche Finanzielle Verpflichtung des Kunden unter den Geldwert der Voraussichtlichen Compute-Nutzung fällt, wird die Voraussichtliche Compute-Nutzung anteilig verringert, sodass die restliche Finanzielle Verpflichtung dem Geldwert der Voraussichtlichen Compute-Nutzung entspricht.</w:t>
      </w:r>
    </w:p>
    <w:p w:rsidR="00B76943" w:rsidRPr="00BB5519" w:rsidRDefault="00B76943" w:rsidP="00B76943">
      <w:pPr>
        <w:widowControl w:val="0"/>
        <w:ind w:left="720"/>
        <w:jc w:val="both"/>
        <w:rPr>
          <w:lang w:val="de-DE"/>
        </w:rPr>
      </w:pPr>
    </w:p>
    <w:p w:rsidR="00E8145C" w:rsidRPr="00BB5519" w:rsidRDefault="00E8145C" w:rsidP="00B76943">
      <w:pPr>
        <w:widowControl w:val="0"/>
        <w:ind w:left="720"/>
        <w:jc w:val="both"/>
        <w:rPr>
          <w:lang w:val="de-DE"/>
        </w:rPr>
      </w:pPr>
      <w:r w:rsidRPr="00BB5519">
        <w:rPr>
          <w:lang w:val="de-DE"/>
        </w:rPr>
        <w:t>Wenn Microsoft es versäumt, die Compute-Ressourcenverpflichtung einzuhalten, erhält die Gesellschaft eine Gutschrift, die 25 % des Geldwerts des betroffenen Windows Azure Compute-Diensts zum Verpflichtungspreis entspricht. Diese Gutschrift entspricht maximal dem Gesamtgeldwert der restlichen Finanziellen Verpflichtung des Kunden. Wenn der Kunde aufgrund dieser Nichtverfügbarkeit ebenfalls Anspruch auf eine Dienstgutschrift unter der Vereinbarung zum Servicelevel (siehe Ziffer 2.c oben) hat, erhält der Kunde nur den Anspruch mit dem höchsten Geldwert.</w:t>
      </w:r>
    </w:p>
    <w:p w:rsidR="00E8145C" w:rsidRPr="00BB5519" w:rsidRDefault="00E8145C" w:rsidP="00B76943">
      <w:pPr>
        <w:widowControl w:val="0"/>
        <w:ind w:left="720"/>
        <w:jc w:val="both"/>
        <w:rPr>
          <w:lang w:val="de-DE"/>
        </w:rPr>
      </w:pPr>
      <w:r w:rsidRPr="00BB5519">
        <w:rPr>
          <w:lang w:val="de-DE"/>
        </w:rPr>
        <w:t xml:space="preserve">Die gesamte Nutzung von Windows Azure Compute, die über der Compute-Ressourcenverpflichtung liegt, wird „je nach Verfügbarkeit“ genutzt. Die gesamte Nutzung von anderen Windows Azure-Diensten als Windows Azure Compute wird „je nach Verfügbarkeit“ genutzt. </w:t>
      </w:r>
    </w:p>
    <w:p w:rsidR="00152361" w:rsidRPr="00BB5519" w:rsidRDefault="00152361" w:rsidP="00B76943">
      <w:pPr>
        <w:pStyle w:val="EndnoteText"/>
        <w:ind w:left="720"/>
        <w:rPr>
          <w:lang w:val="de-DE"/>
        </w:rPr>
      </w:pPr>
    </w:p>
    <w:p w:rsidR="00FF4CAB" w:rsidRPr="00BB5519" w:rsidRDefault="00FF4CAB" w:rsidP="00376D4B">
      <w:pPr>
        <w:pStyle w:val="EndnoteText"/>
        <w:ind w:left="720"/>
        <w:rPr>
          <w:lang w:val="de-DE"/>
        </w:rPr>
      </w:pPr>
    </w:p>
    <w:p w:rsidR="00ED12C0" w:rsidRPr="00BB5519" w:rsidRDefault="00F66FB0" w:rsidP="00ED12C0">
      <w:pPr>
        <w:pStyle w:val="Heading2"/>
        <w:ind w:left="0"/>
      </w:pPr>
      <w:bookmarkStart w:id="1536" w:name="_96_Windows_Embedded_1"/>
      <w:bookmarkStart w:id="1537" w:name="Srv_107WindowsEmbeddedDeviceMgr2011"/>
      <w:bookmarkStart w:id="1538" w:name="_Toc336338363"/>
      <w:bookmarkStart w:id="1539" w:name="_Toc354055051"/>
      <w:bookmarkStart w:id="1540" w:name="Srv_93SBS2008PremiumEdition"/>
      <w:bookmarkEnd w:id="1528"/>
      <w:bookmarkEnd w:id="1536"/>
      <w:r w:rsidRPr="00BB5519">
        <w:rPr>
          <w:rFonts w:ascii="Tahoma" w:hAnsi="Tahoma" w:cs="Tahoma"/>
          <w:caps/>
          <w:color w:val="FF6600"/>
          <w:sz w:val="22"/>
          <w:vertAlign w:val="superscript"/>
        </w:rPr>
        <w:t>96</w:t>
      </w:r>
      <w:r w:rsidRPr="00BB5519">
        <w:rPr>
          <w:rFonts w:ascii="Tahoma" w:hAnsi="Tahoma" w:cs="Tahoma"/>
          <w:color w:val="FF6600"/>
        </w:rPr>
        <w:t xml:space="preserve"> </w:t>
      </w:r>
      <w:r w:rsidRPr="00BB5519">
        <w:rPr>
          <w:rFonts w:ascii="Tahoma" w:hAnsi="Tahoma" w:cs="Tahoma"/>
          <w:color w:val="FF6600"/>
          <w:sz w:val="22"/>
        </w:rPr>
        <w:t>Windows Embedded Device Manager 2011 – Management Server-Lizenz</w:t>
      </w:r>
      <w:bookmarkEnd w:id="1537"/>
      <w:bookmarkEnd w:id="1538"/>
      <w:bookmarkEnd w:id="1539"/>
    </w:p>
    <w:p w:rsidR="00ED12C0" w:rsidRPr="00BB5519" w:rsidRDefault="00ED12C0" w:rsidP="00B76943"/>
    <w:p w:rsidR="00ED12C0" w:rsidRPr="00BB5519" w:rsidRDefault="00ED12C0" w:rsidP="00B76943">
      <w:pPr>
        <w:pStyle w:val="EndnoteText"/>
        <w:ind w:left="720"/>
        <w:rPr>
          <w:lang w:val="de-DE"/>
        </w:rPr>
      </w:pPr>
      <w:r w:rsidRPr="00BB5519">
        <w:rPr>
          <w:rFonts w:ascii="Tahoma" w:hAnsi="Tahoma" w:cs="Tahoma"/>
          <w:color w:val="000000"/>
          <w:sz w:val="18"/>
          <w:lang w:val="de-DE"/>
        </w:rPr>
        <w:t>Dieses Produkt hat den Status End-Of-Life (EOL) und wird nicht mehr angeboten.</w:t>
      </w:r>
    </w:p>
    <w:p w:rsidR="00ED12C0" w:rsidRPr="00BB5519" w:rsidRDefault="00ED12C0" w:rsidP="00B76943">
      <w:pPr>
        <w:pStyle w:val="EndnoteText"/>
        <w:ind w:left="720"/>
        <w:rPr>
          <w:lang w:val="de-DE"/>
        </w:rPr>
      </w:pPr>
    </w:p>
    <w:p w:rsidR="00ED12C0" w:rsidRPr="00BB5519" w:rsidRDefault="00ED12C0" w:rsidP="00B76943">
      <w:pPr>
        <w:pStyle w:val="EndnoteText"/>
        <w:spacing w:after="60"/>
        <w:ind w:left="720"/>
        <w:rPr>
          <w:lang w:val="de-DE"/>
        </w:rPr>
      </w:pPr>
      <w:r w:rsidRPr="00BB5519">
        <w:rPr>
          <w:rFonts w:ascii="Tahoma" w:hAnsi="Tahoma" w:cs="Tahoma"/>
          <w:b/>
          <w:color w:val="000000"/>
          <w:sz w:val="18"/>
          <w:lang w:val="de-DE"/>
        </w:rPr>
        <w:t>Einmalige Lizenzgewährung an Lizenzinhaber von Windows Embedded Device Manager 2011 mit aktiver Software Assurance</w:t>
      </w:r>
    </w:p>
    <w:p w:rsidR="002512D3" w:rsidRPr="00BB5519" w:rsidRDefault="00ED12C0" w:rsidP="003165D6">
      <w:pPr>
        <w:pStyle w:val="EndnoteText"/>
        <w:ind w:left="720"/>
        <w:rPr>
          <w:lang w:val="de-DE"/>
        </w:rPr>
      </w:pPr>
      <w:r w:rsidRPr="00BB5519">
        <w:rPr>
          <w:rFonts w:ascii="Tahoma" w:hAnsi="Tahoma" w:cs="Tahoma"/>
          <w:color w:val="000000"/>
          <w:sz w:val="18"/>
          <w:lang w:val="de-DE"/>
        </w:rPr>
        <w:t>Als einmalige Ausnahme in Verbindung mit der Einstellung von Management Server-Lizenzen für Windows Embedded Device Manager 2011 erhalten Software Assurance-Kunden, die am 1. April 2012 über Software Assurance für Management Server-Lizenz verfügten, die folgenden Client-Management-Lizenzen</w:t>
      </w:r>
      <w:r w:rsidRPr="00BB5519">
        <w:rPr>
          <w:rFonts w:ascii="Tahoma" w:hAnsi="Tahoma" w:cs="Tahoma"/>
          <w:color w:val="000000"/>
          <w:sz w:val="18"/>
          <w:szCs w:val="20"/>
          <w:lang w:val="de-DE"/>
        </w:rPr>
        <w:t>:</w:t>
      </w:r>
    </w:p>
    <w:p w:rsidR="00ED12C0" w:rsidRPr="00BB5519" w:rsidRDefault="00ED12C0" w:rsidP="00B76943">
      <w:pPr>
        <w:pStyle w:val="EndnoteText"/>
        <w:ind w:left="720"/>
        <w:rPr>
          <w:lang w:val="de-DE"/>
        </w:rPr>
      </w:pPr>
    </w:p>
    <w:p w:rsidR="00ED12C0" w:rsidRDefault="00ED12C0" w:rsidP="00B76943">
      <w:pPr>
        <w:pStyle w:val="EndnoteText"/>
        <w:rPr>
          <w:lang w:val="de-DE"/>
        </w:rPr>
      </w:pPr>
    </w:p>
    <w:p w:rsidR="00067B82" w:rsidRPr="00BB5519" w:rsidRDefault="00067B82" w:rsidP="00B76943">
      <w:pPr>
        <w:pStyle w:val="EndnoteText"/>
        <w:rPr>
          <w:lang w:val="de-D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360"/>
      </w:tblGrid>
      <w:tr w:rsidR="00ED12C0" w:rsidRPr="00BB5519" w:rsidTr="00B81BE7">
        <w:tc>
          <w:tcPr>
            <w:tcW w:w="3960" w:type="dxa"/>
            <w:tcBorders>
              <w:top w:val="single" w:sz="4" w:space="0" w:color="000000"/>
              <w:bottom w:val="single" w:sz="6" w:space="0" w:color="000000"/>
            </w:tcBorders>
            <w:shd w:val="clear" w:color="auto" w:fill="FABF8F"/>
          </w:tcPr>
          <w:p w:rsidR="00ED12C0" w:rsidRPr="00BB5519" w:rsidRDefault="00ED12C0" w:rsidP="004342E4">
            <w:pPr>
              <w:jc w:val="center"/>
              <w:rPr>
                <w:rFonts w:cs="Tahoma"/>
                <w:b/>
                <w:color w:val="000000"/>
                <w:szCs w:val="20"/>
              </w:rPr>
            </w:pPr>
            <w:r w:rsidRPr="00BB5519">
              <w:rPr>
                <w:rFonts w:cs="Tahoma"/>
                <w:b/>
                <w:color w:val="000000"/>
                <w:szCs w:val="20"/>
              </w:rPr>
              <w:t>Qualifizierende Lizenzen</w:t>
            </w:r>
          </w:p>
        </w:tc>
        <w:tc>
          <w:tcPr>
            <w:tcW w:w="4360" w:type="dxa"/>
            <w:tcBorders>
              <w:top w:val="single" w:sz="4" w:space="0" w:color="000000"/>
              <w:bottom w:val="single" w:sz="6" w:space="0" w:color="000000"/>
            </w:tcBorders>
            <w:shd w:val="clear" w:color="auto" w:fill="FABF8F"/>
          </w:tcPr>
          <w:p w:rsidR="00ED12C0" w:rsidRPr="00B81BE7" w:rsidRDefault="00ED12C0" w:rsidP="004342E4">
            <w:pPr>
              <w:jc w:val="center"/>
              <w:rPr>
                <w:rFonts w:cs="Tahoma"/>
                <w:b/>
                <w:bCs/>
                <w:color w:val="000000"/>
                <w:szCs w:val="20"/>
              </w:rPr>
            </w:pPr>
            <w:r w:rsidRPr="00B81BE7">
              <w:rPr>
                <w:rFonts w:cs="Tahoma"/>
                <w:b/>
                <w:bCs/>
                <w:color w:val="000000"/>
              </w:rPr>
              <w:t>Client-Management-Lizenzen für Windows Embedded Device Manager 2011</w:t>
            </w:r>
          </w:p>
        </w:tc>
      </w:tr>
      <w:tr w:rsidR="00ED12C0" w:rsidRPr="00BB5519" w:rsidTr="00B81BE7">
        <w:tc>
          <w:tcPr>
            <w:tcW w:w="3960" w:type="dxa"/>
            <w:tcBorders>
              <w:top w:val="single" w:sz="6" w:space="0" w:color="000000"/>
            </w:tcBorders>
            <w:shd w:val="clear" w:color="auto" w:fill="FFFFFF"/>
          </w:tcPr>
          <w:p w:rsidR="00ED12C0" w:rsidRPr="00BB5519" w:rsidRDefault="00ED12C0" w:rsidP="004342E4">
            <w:pPr>
              <w:rPr>
                <w:rFonts w:cs="Tahoma"/>
                <w:color w:val="000000"/>
                <w:szCs w:val="20"/>
              </w:rPr>
            </w:pPr>
            <w:r w:rsidRPr="00BB5519">
              <w:rPr>
                <w:rFonts w:cs="Tahoma"/>
                <w:color w:val="000000"/>
                <w:szCs w:val="20"/>
              </w:rPr>
              <w:t>Server-Lizenz für Windows Embedded Device Manager 2011</w:t>
            </w:r>
          </w:p>
        </w:tc>
        <w:tc>
          <w:tcPr>
            <w:tcW w:w="4360" w:type="dxa"/>
            <w:tcBorders>
              <w:top w:val="single" w:sz="6" w:space="0" w:color="000000"/>
            </w:tcBorders>
            <w:shd w:val="clear" w:color="auto" w:fill="FFFFFF"/>
          </w:tcPr>
          <w:p w:rsidR="00ED12C0" w:rsidRPr="00BB5519" w:rsidRDefault="00ED12C0" w:rsidP="004342E4">
            <w:pPr>
              <w:rPr>
                <w:rFonts w:cs="Tahoma"/>
                <w:color w:val="000000"/>
                <w:szCs w:val="20"/>
              </w:rPr>
            </w:pPr>
            <w:r w:rsidRPr="00BB5519">
              <w:rPr>
                <w:rFonts w:cs="Tahoma"/>
                <w:color w:val="000000"/>
                <w:szCs w:val="20"/>
              </w:rPr>
              <w:t>13 Client-Management-Lizenzen für Windows Embedded Device Manager 2011</w:t>
            </w:r>
          </w:p>
        </w:tc>
      </w:tr>
      <w:tr w:rsidR="00ED12C0" w:rsidRPr="00BB5519" w:rsidTr="00B81BE7">
        <w:tc>
          <w:tcPr>
            <w:tcW w:w="3960" w:type="dxa"/>
            <w:shd w:val="clear" w:color="auto" w:fill="FFFFFF"/>
          </w:tcPr>
          <w:p w:rsidR="00ED12C0" w:rsidRPr="00BB5519" w:rsidRDefault="00ED12C0" w:rsidP="004342E4">
            <w:pPr>
              <w:rPr>
                <w:rFonts w:cs="Tahoma"/>
                <w:color w:val="000000"/>
                <w:szCs w:val="20"/>
                <w:lang w:val="de-DE"/>
              </w:rPr>
            </w:pPr>
            <w:r w:rsidRPr="00BB5519">
              <w:rPr>
                <w:rFonts w:cs="Tahoma"/>
                <w:color w:val="000000"/>
                <w:szCs w:val="20"/>
                <w:lang w:val="de-DE"/>
              </w:rPr>
              <w:t>Server-Lizenz für Windows Embedded Device Manager 2011 mit SQL Server 2008-Technologie</w:t>
            </w:r>
          </w:p>
        </w:tc>
        <w:tc>
          <w:tcPr>
            <w:tcW w:w="4360" w:type="dxa"/>
            <w:shd w:val="clear" w:color="auto" w:fill="FFFFFF"/>
          </w:tcPr>
          <w:p w:rsidR="00ED12C0" w:rsidRPr="00BB5519" w:rsidRDefault="00ED12C0" w:rsidP="004342E4">
            <w:pPr>
              <w:rPr>
                <w:rFonts w:cs="Tahoma"/>
                <w:color w:val="000000"/>
                <w:szCs w:val="20"/>
              </w:rPr>
            </w:pPr>
            <w:r w:rsidRPr="00BB5519">
              <w:rPr>
                <w:rFonts w:cs="Tahoma"/>
                <w:color w:val="000000"/>
                <w:szCs w:val="20"/>
              </w:rPr>
              <w:t>30 Client-Management-Lizenzen für Windows Embedded Device Manager 2011</w:t>
            </w:r>
          </w:p>
        </w:tc>
      </w:tr>
    </w:tbl>
    <w:p w:rsidR="00ED12C0" w:rsidRPr="00BB5519" w:rsidRDefault="00ED12C0" w:rsidP="00ED12C0">
      <w:pPr>
        <w:pStyle w:val="EndnoteText"/>
        <w:ind w:left="0"/>
      </w:pPr>
    </w:p>
    <w:p w:rsidR="00ED12C0" w:rsidRPr="00BB5519" w:rsidRDefault="00ED12C0" w:rsidP="00376D4B">
      <w:pPr>
        <w:pStyle w:val="EndnoteText"/>
        <w:ind w:left="720"/>
        <w:rPr>
          <w:lang w:val="de-DE"/>
        </w:rPr>
      </w:pPr>
      <w:r w:rsidRPr="00BB5519">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ED12C0" w:rsidRPr="00BB5519" w:rsidRDefault="00ED12C0" w:rsidP="00376D4B">
      <w:pPr>
        <w:pStyle w:val="EndnoteText"/>
        <w:ind w:left="720"/>
        <w:rPr>
          <w:lang w:val="de-DE"/>
        </w:rPr>
      </w:pPr>
    </w:p>
    <w:p w:rsidR="00ED12C0" w:rsidRPr="00BB5519" w:rsidRDefault="00ED12C0" w:rsidP="00FE7ED4">
      <w:pPr>
        <w:pStyle w:val="EndnoteText"/>
        <w:ind w:left="720"/>
        <w:rPr>
          <w:lang w:val="de-DE"/>
        </w:rPr>
      </w:pPr>
      <w:r w:rsidRPr="00BB5519">
        <w:rPr>
          <w:rFonts w:ascii="Tahoma" w:hAnsi="Tahoma" w:cs="Tahoma"/>
          <w:color w:val="000000"/>
          <w:sz w:val="18"/>
          <w:lang w:val="de-DE"/>
        </w:rPr>
        <w:t>Die Nutzung der laut diesem Angebot gewährten Software unterliegt den Bestimmungen des Lizenzvertrages des Kunden sowie den Produktbenutzungsrechten der Software. Das Recht zur Nutzung der</w:t>
      </w:r>
      <w:r w:rsidR="00FE7ED4">
        <w:rPr>
          <w:rFonts w:ascii="Tahoma" w:hAnsi="Tahoma" w:cs="Tahoma"/>
          <w:color w:val="000000"/>
          <w:sz w:val="18"/>
          <w:lang w:val="de-DE"/>
        </w:rPr>
        <w:t> </w:t>
      </w:r>
      <w:r w:rsidRPr="00BB5519">
        <w:rPr>
          <w:rFonts w:ascii="Tahoma" w:hAnsi="Tahoma" w:cs="Tahoma"/>
          <w:color w:val="000000"/>
          <w:sz w:val="18"/>
          <w:lang w:val="de-DE"/>
        </w:rPr>
        <w:t>gewährten Software gilt bis zum Ablauf des Rechts zur Nutzung der Software unter der qualifizierenden Lizenz für Windows Embedded Device Manager 2011. Der Nachweis der qualifizierenden Lizenzen und dieser Produkthinweis belegen das Recht des Kunden, Windows Embedded Device Manager 2011 unter den 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w:t>
      </w:r>
      <w:r w:rsidR="00FE7ED4">
        <w:rPr>
          <w:rFonts w:ascii="Tahoma" w:hAnsi="Tahoma" w:cs="Tahoma"/>
          <w:color w:val="000000"/>
          <w:sz w:val="18"/>
          <w:lang w:val="de-DE"/>
        </w:rPr>
        <w:t> </w:t>
      </w:r>
      <w:r w:rsidRPr="00BB5519">
        <w:rPr>
          <w:rFonts w:ascii="Tahoma" w:hAnsi="Tahoma" w:cs="Tahoma"/>
          <w:color w:val="000000"/>
          <w:sz w:val="18"/>
          <w:lang w:val="de-DE"/>
        </w:rPr>
        <w:t>den zugehörigen qualifizierenden Lizenzen übertragen werden.</w:t>
      </w:r>
    </w:p>
    <w:p w:rsidR="00ED12C0" w:rsidRPr="00BB5519" w:rsidRDefault="00ED12C0" w:rsidP="00376D4B">
      <w:pPr>
        <w:pStyle w:val="EndnoteText"/>
        <w:ind w:left="720"/>
        <w:rPr>
          <w:lang w:val="de-DE"/>
        </w:rPr>
      </w:pPr>
    </w:p>
    <w:p w:rsidR="00ED12C0" w:rsidRPr="00BB5519" w:rsidRDefault="00ED12C0" w:rsidP="00FE7ED4">
      <w:pPr>
        <w:ind w:left="720"/>
        <w:rPr>
          <w:lang w:val="de-DE"/>
        </w:rPr>
      </w:pPr>
      <w:r w:rsidRPr="00BB5519">
        <w:rPr>
          <w:rFonts w:cs="Tahoma"/>
          <w:color w:val="000000"/>
          <w:szCs w:val="24"/>
          <w:lang w:val="de-DE"/>
        </w:rPr>
        <w:t>Lizenzen für Windows Embedded Device Manager 2011, die nach dem 1. April 2012 im Rahmen des jährlichen True Up-Prozesses des Kunden für Konzernbeitritte erworben wurden, bei dem Lizenzen für Windows Embedded Device Manager 2011 erstmals vor dem 1. April 2012 erworben wurden, berechtigen im</w:t>
      </w:r>
      <w:r w:rsidR="00FE7ED4">
        <w:rPr>
          <w:rFonts w:cs="Tahoma"/>
          <w:color w:val="000000"/>
          <w:szCs w:val="24"/>
          <w:lang w:val="de-DE"/>
        </w:rPr>
        <w:t> </w:t>
      </w:r>
      <w:r w:rsidRPr="00BB5519">
        <w:rPr>
          <w:rFonts w:cs="Tahoma"/>
          <w:color w:val="000000"/>
          <w:szCs w:val="24"/>
          <w:lang w:val="de-DE"/>
        </w:rPr>
        <w:t>Rahmen dieses Angebots zu Client-MLs für Windows Embedded Device Manager 2011.</w:t>
      </w:r>
    </w:p>
    <w:p w:rsidR="00ED12C0" w:rsidRPr="00BB5519" w:rsidRDefault="00ED12C0" w:rsidP="00376D4B">
      <w:pPr>
        <w:ind w:left="720"/>
        <w:rPr>
          <w:lang w:val="de-DE"/>
        </w:rPr>
      </w:pPr>
    </w:p>
    <w:p w:rsidR="00ED12C0" w:rsidRPr="00BB5519" w:rsidRDefault="00ED12C0" w:rsidP="00FE7ED4">
      <w:pPr>
        <w:ind w:left="720"/>
        <w:rPr>
          <w:lang w:val="de-DE"/>
        </w:rPr>
      </w:pPr>
      <w:r w:rsidRPr="00BB5519">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9E4976" w:rsidRPr="00BB5519">
        <w:rPr>
          <w:rFonts w:cs="Tahoma"/>
          <w:color w:val="000000"/>
          <w:szCs w:val="24"/>
          <w:lang w:val="de-DE"/>
        </w:rPr>
        <w:t xml:space="preserve"> </w:t>
      </w:r>
      <w:r w:rsidRPr="00BB5519">
        <w:rPr>
          <w:rFonts w:cs="Tahoma"/>
          <w:color w:val="000000"/>
          <w:szCs w:val="24"/>
          <w:lang w:val="de-DE"/>
        </w:rPr>
        <w:t xml:space="preserve">Diese Rechte werden erst nach Ausübung der </w:t>
      </w:r>
      <w:r w:rsidR="00FE7ED4">
        <w:rPr>
          <w:rFonts w:cs="Tahoma"/>
          <w:color w:val="000000"/>
          <w:szCs w:val="24"/>
          <w:lang w:val="de-DE"/>
        </w:rPr>
        <w:br/>
      </w:r>
      <w:r w:rsidRPr="00BB5519">
        <w:rPr>
          <w:rFonts w:cs="Tahoma"/>
          <w:color w:val="000000"/>
          <w:szCs w:val="24"/>
          <w:lang w:val="de-DE"/>
        </w:rPr>
        <w:t>Buy-Out-Option zeitlich unbeschränkt und unterliegen weiterhin allen Bestimmungen des Lizenzvertrages des</w:t>
      </w:r>
      <w:r w:rsidR="00FE7ED4">
        <w:rPr>
          <w:rFonts w:cs="Tahoma"/>
          <w:color w:val="000000"/>
          <w:szCs w:val="24"/>
          <w:lang w:val="de-DE"/>
        </w:rPr>
        <w:t> </w:t>
      </w:r>
      <w:r w:rsidRPr="00BB5519">
        <w:rPr>
          <w:rFonts w:cs="Tahoma"/>
          <w:color w:val="000000"/>
          <w:szCs w:val="24"/>
          <w:lang w:val="de-DE"/>
        </w:rPr>
        <w:t>Kunden.</w:t>
      </w:r>
    </w:p>
    <w:p w:rsidR="00A40838" w:rsidRPr="00BB5519" w:rsidRDefault="00A40838" w:rsidP="00376D4B">
      <w:pPr>
        <w:ind w:left="720"/>
        <w:rPr>
          <w:lang w:val="de-DE"/>
        </w:rPr>
      </w:pPr>
    </w:p>
    <w:p w:rsidR="005D5C95" w:rsidRPr="00BB5519" w:rsidRDefault="005D5C95" w:rsidP="00376D4B">
      <w:pPr>
        <w:ind w:left="720"/>
        <w:rPr>
          <w:lang w:val="de-DE"/>
        </w:rPr>
      </w:pPr>
    </w:p>
    <w:p w:rsidR="005D5C95" w:rsidRPr="00BB5519" w:rsidRDefault="00F66FB0" w:rsidP="005D5C95">
      <w:pPr>
        <w:pStyle w:val="Heading2"/>
        <w:ind w:left="0"/>
      </w:pPr>
      <w:bookmarkStart w:id="1541" w:name="_96_Windows_Embedded"/>
      <w:bookmarkStart w:id="1542" w:name="_97_Windows_Embedded"/>
      <w:bookmarkStart w:id="1543" w:name="_Toc354055052"/>
      <w:bookmarkStart w:id="1544" w:name="Srv_108EBS2008StandardPrem"/>
      <w:bookmarkEnd w:id="1541"/>
      <w:bookmarkEnd w:id="1542"/>
      <w:r w:rsidRPr="00BB5519">
        <w:rPr>
          <w:rFonts w:ascii="Tahoma" w:hAnsi="Tahoma" w:cs="Tahoma"/>
          <w:caps/>
          <w:color w:val="FF6600"/>
          <w:sz w:val="22"/>
          <w:vertAlign w:val="superscript"/>
        </w:rPr>
        <w:t>97</w:t>
      </w:r>
      <w:r w:rsidRPr="00BB5519">
        <w:rPr>
          <w:rFonts w:ascii="Tahoma" w:hAnsi="Tahoma" w:cs="Tahoma"/>
          <w:color w:val="FF6600"/>
        </w:rPr>
        <w:t xml:space="preserve"> </w:t>
      </w:r>
      <w:r w:rsidRPr="00BB5519">
        <w:rPr>
          <w:rFonts w:ascii="Tahoma" w:hAnsi="Tahoma" w:cs="Tahoma"/>
          <w:color w:val="FF6600"/>
          <w:sz w:val="22"/>
        </w:rPr>
        <w:t>Windows Embedded Device Manager 2011 – Client Management-Lizenz</w:t>
      </w:r>
      <w:bookmarkEnd w:id="1543"/>
    </w:p>
    <w:p w:rsidR="005D5C95" w:rsidRPr="00BB5519" w:rsidRDefault="005D5C95" w:rsidP="005D5C95"/>
    <w:p w:rsidR="005D5C95" w:rsidRPr="00BB5519" w:rsidRDefault="005D5C95" w:rsidP="005D5C95">
      <w:pPr>
        <w:pStyle w:val="EndnoteText"/>
        <w:ind w:left="720"/>
        <w:rPr>
          <w:lang w:val="de-DE"/>
        </w:rPr>
      </w:pPr>
      <w:r w:rsidRPr="00BB5519">
        <w:rPr>
          <w:rFonts w:ascii="Tahoma" w:hAnsi="Tahoma" w:cs="Tahoma"/>
          <w:color w:val="000000"/>
          <w:sz w:val="18"/>
          <w:lang w:val="de-DE"/>
        </w:rPr>
        <w:t>Dieses Produkt hat den Status End-Of-Life (EOL) und wird nicht mehr angeboten.</w:t>
      </w:r>
    </w:p>
    <w:p w:rsidR="005D5C95" w:rsidRPr="00BB5519" w:rsidRDefault="005D5C95" w:rsidP="005D5C95">
      <w:pPr>
        <w:pStyle w:val="EndnoteText"/>
        <w:ind w:left="720"/>
        <w:rPr>
          <w:lang w:val="de-DE"/>
        </w:rPr>
      </w:pPr>
    </w:p>
    <w:p w:rsidR="005D5C95" w:rsidRPr="00BB5519" w:rsidRDefault="005D5C95" w:rsidP="007A34E3">
      <w:pPr>
        <w:pStyle w:val="EndnoteText"/>
        <w:spacing w:after="60"/>
        <w:ind w:left="720"/>
        <w:rPr>
          <w:lang w:val="de-DE"/>
        </w:rPr>
      </w:pPr>
      <w:r w:rsidRPr="00BB5519">
        <w:rPr>
          <w:rFonts w:ascii="Tahoma" w:hAnsi="Tahoma" w:cs="Tahoma"/>
          <w:b/>
          <w:color w:val="000000"/>
          <w:sz w:val="18"/>
          <w:lang w:val="de-DE"/>
        </w:rPr>
        <w:t>Einmalige Lizenzgewährung an Lizenzinhaber einer Client-Management-Lizenz für Windows Embedded Device Manager 2011 mit aktiver Software Assurance</w:t>
      </w:r>
    </w:p>
    <w:p w:rsidR="005D5C95" w:rsidRPr="00BB5519" w:rsidRDefault="005D5C95" w:rsidP="00FE7ED4">
      <w:pPr>
        <w:pStyle w:val="EndnoteText"/>
        <w:ind w:left="720"/>
        <w:rPr>
          <w:lang w:val="de-DE"/>
        </w:rPr>
      </w:pPr>
      <w:r w:rsidRPr="00BB5519">
        <w:rPr>
          <w:rFonts w:ascii="Tahoma" w:hAnsi="Tahoma" w:cs="Tahoma"/>
          <w:color w:val="000000"/>
          <w:sz w:val="18"/>
          <w:lang w:val="de-DE"/>
        </w:rPr>
        <w:t>Als einmalige Ausnahme in Verbindung mit der Einstellung von Client Management-Lizenzen (pro Betriebssystemumgebung/Nutzer) für Windows Embedded Device Manager 2011 erhalten Software Assurance-Kunden, die am 1. Januar 2013 über Software Assurance verfügten, dieselbe Anzahl von Client</w:t>
      </w:r>
      <w:r w:rsidR="00FE7ED4">
        <w:rPr>
          <w:rFonts w:ascii="Tahoma" w:hAnsi="Tahoma" w:cs="Tahoma"/>
          <w:color w:val="000000"/>
          <w:sz w:val="18"/>
          <w:lang w:val="de-DE"/>
        </w:rPr>
        <w:t> </w:t>
      </w:r>
      <w:r w:rsidRPr="00BB5519">
        <w:rPr>
          <w:rFonts w:ascii="Tahoma" w:hAnsi="Tahoma" w:cs="Tahoma"/>
          <w:color w:val="000000"/>
          <w:sz w:val="18"/>
          <w:lang w:val="de-DE"/>
        </w:rPr>
        <w:t>Management-Lizenzen (pro Betriebssystemumgebung/Nutzer) für System Center 2012 Configuration</w:t>
      </w:r>
      <w:r w:rsidR="00FE7ED4">
        <w:rPr>
          <w:rFonts w:ascii="Tahoma" w:hAnsi="Tahoma" w:cs="Tahoma"/>
          <w:color w:val="000000"/>
          <w:sz w:val="18"/>
          <w:lang w:val="de-DE"/>
        </w:rPr>
        <w:t> </w:t>
      </w:r>
      <w:r w:rsidRPr="00BB5519">
        <w:rPr>
          <w:rFonts w:ascii="Tahoma" w:hAnsi="Tahoma" w:cs="Tahoma"/>
          <w:color w:val="000000"/>
          <w:sz w:val="18"/>
          <w:lang w:val="de-DE"/>
        </w:rPr>
        <w:t>Manager.</w:t>
      </w:r>
    </w:p>
    <w:p w:rsidR="005D5C95" w:rsidRPr="00BB5519" w:rsidRDefault="005D5C95" w:rsidP="005D5C95">
      <w:pPr>
        <w:pStyle w:val="EndnoteText"/>
        <w:ind w:left="0"/>
        <w:rPr>
          <w:lang w:val="de-DE"/>
        </w:rPr>
      </w:pPr>
    </w:p>
    <w:p w:rsidR="005D5C95" w:rsidRPr="00BB5519" w:rsidRDefault="005D5C95" w:rsidP="005D5C95">
      <w:pPr>
        <w:pStyle w:val="EndnoteText"/>
        <w:ind w:left="720"/>
        <w:rPr>
          <w:lang w:val="de-DE"/>
        </w:rPr>
      </w:pPr>
      <w:r w:rsidRPr="00BB5519">
        <w:rPr>
          <w:rFonts w:ascii="Tahoma" w:hAnsi="Tahoma" w:cs="Tahoma"/>
          <w:color w:val="000000"/>
          <w:sz w:val="18"/>
          <w:lang w:val="de-DE"/>
        </w:rPr>
        <w:t xml:space="preserve">Alle im Rahmen dieses Angebots gewährten Lizenzen umfassen Software Assurance. Diese gilt bis zum Ablauf von Software Assurance für die qualifizierenden Lizenzen. Danach können die Kunden Software Assurance für die gewährten Lizenzen verlängern. </w:t>
      </w:r>
    </w:p>
    <w:p w:rsidR="005D5C95" w:rsidRPr="00BB5519" w:rsidRDefault="005D5C95" w:rsidP="005D5C95">
      <w:pPr>
        <w:pStyle w:val="EndnoteText"/>
        <w:ind w:left="720"/>
        <w:rPr>
          <w:lang w:val="de-DE"/>
        </w:rPr>
      </w:pPr>
    </w:p>
    <w:p w:rsidR="005D5C95" w:rsidRPr="00BB5519" w:rsidRDefault="005D5C95" w:rsidP="00FE7ED4">
      <w:pPr>
        <w:pStyle w:val="EndnoteText"/>
        <w:keepNext/>
        <w:keepLines/>
        <w:ind w:left="720"/>
        <w:rPr>
          <w:lang w:val="de-DE"/>
        </w:rPr>
      </w:pPr>
      <w:r w:rsidRPr="00BB5519">
        <w:rPr>
          <w:rFonts w:ascii="Tahoma" w:hAnsi="Tahoma" w:cs="Tahoma"/>
          <w:color w:val="000000"/>
          <w:sz w:val="18"/>
          <w:lang w:val="de-DE"/>
        </w:rPr>
        <w:lastRenderedPageBreak/>
        <w:t>Die Nutzung der laut diesem Angebot gewährten Software unterliegt den Bestimmungen des Lizenzvertrages des Kunden sowie den Produktbenutzungsrechten der Software. Das Recht zur Nutzung der gewährten Software gilt bis zum Ablauf des Rechts zur Nutzung der Software unter der qualifizierenden Client-Management-Lizenz für Windows Embedded Device Manager 2011. Der Nachweis der qualifizierenden Lizenzen und dieser Produkthinweis belegen das Recht des Kunden, die Client-Management-Lizenz für System Center 2012 Configuration Manager unter den Bestimmungen dieses Angebots zu verwenden. Nach der Verwendung der Software unter diesem Angebot hat der Kunde nicht mehr das Recht, die Software unter qualifizierenden Lizenzen, die dem Server zugewiesen sind, zu verwenden. Im Rahmen dieses Angebots gewährte Lizenzen dürfen nicht getrennt von den zugehörigen qualifizierenden Lizenzen übertragen werden.</w:t>
      </w:r>
    </w:p>
    <w:p w:rsidR="005D5C95" w:rsidRPr="00BB5519" w:rsidRDefault="005D5C95" w:rsidP="005D5C95">
      <w:pPr>
        <w:pStyle w:val="EndnoteText"/>
        <w:ind w:left="720"/>
        <w:rPr>
          <w:lang w:val="de-DE"/>
        </w:rPr>
      </w:pPr>
    </w:p>
    <w:p w:rsidR="005D5C95" w:rsidRPr="00BB5519" w:rsidRDefault="005D5C95" w:rsidP="005D5C95">
      <w:pPr>
        <w:ind w:left="720"/>
        <w:rPr>
          <w:lang w:val="de-DE"/>
        </w:rPr>
      </w:pPr>
      <w:r w:rsidRPr="00BB5519">
        <w:rPr>
          <w:rFonts w:cs="Tahoma"/>
          <w:color w:val="000000"/>
          <w:szCs w:val="24"/>
          <w:lang w:val="de-DE"/>
        </w:rPr>
        <w:t>Windows Embedded Device Manager 2011 Client-Management-Lizenzen, die nach dem 1. Januar 2013 im Rahmen des jährlichen True Up-Prozesses für Konzernbeitritte erworben wurden, bei dem Lizenzen für eine Windows Embedded Device Manager 2011 Client-Management-Lizenz erstmals vor dem 1. Januar 2013 erworben wurden, berechtigen im Rahmen dieses Angebots zu System Center 2012 Configuration Manager Client-Management-Lizenzen.</w:t>
      </w:r>
    </w:p>
    <w:p w:rsidR="005D5C95" w:rsidRPr="00BB5519" w:rsidRDefault="005D5C95" w:rsidP="005D5C95">
      <w:pPr>
        <w:ind w:left="720"/>
        <w:rPr>
          <w:lang w:val="de-DE"/>
        </w:rPr>
      </w:pPr>
    </w:p>
    <w:p w:rsidR="005D5C95" w:rsidRPr="00BB5519" w:rsidRDefault="005D5C95" w:rsidP="00FE7ED4">
      <w:pPr>
        <w:ind w:left="720"/>
        <w:rPr>
          <w:lang w:val="de-DE"/>
        </w:rPr>
      </w:pPr>
      <w:r w:rsidRPr="00BB5519">
        <w:rPr>
          <w:rFonts w:cs="Tahoma"/>
          <w:color w:val="000000"/>
          <w:szCs w:val="24"/>
          <w:lang w:val="de-DE"/>
        </w:rPr>
        <w:t>Für Konzern-Abonnement-Verträge, mit Campus- und School-Verträge und Open Value Subscription-Verträge werden vorübergehend bis zum Ende der Lizenz-Beitrittslaufzeit die gleichen Rechte gewährt, sofern die Lizenzen und die Software Assurance während des Gewährungszeitraums gültig sind und der Kunde das Abonnement ununterbrochen aufrechterhält.</w:t>
      </w:r>
      <w:r w:rsidR="009E4976" w:rsidRPr="00BB5519">
        <w:rPr>
          <w:rFonts w:cs="Tahoma"/>
          <w:color w:val="000000"/>
          <w:szCs w:val="24"/>
          <w:lang w:val="de-DE"/>
        </w:rPr>
        <w:t xml:space="preserve"> </w:t>
      </w:r>
      <w:r w:rsidRPr="00BB5519">
        <w:rPr>
          <w:rFonts w:cs="Tahoma"/>
          <w:color w:val="000000"/>
          <w:szCs w:val="24"/>
          <w:lang w:val="de-DE"/>
        </w:rPr>
        <w:t>Diese Rechte werden erst nach Ausübung der Buy-Out-Option zeitlich unbeschränkt und unterliegen weiterhin allen Bestimmungen des Lizenzvertrages des</w:t>
      </w:r>
      <w:r w:rsidR="00FE7ED4">
        <w:rPr>
          <w:rFonts w:cs="Tahoma"/>
          <w:color w:val="000000"/>
          <w:szCs w:val="24"/>
          <w:lang w:val="de-DE"/>
        </w:rPr>
        <w:t> </w:t>
      </w:r>
      <w:r w:rsidRPr="00BB5519">
        <w:rPr>
          <w:rFonts w:cs="Tahoma"/>
          <w:color w:val="000000"/>
          <w:szCs w:val="24"/>
          <w:lang w:val="de-DE"/>
        </w:rPr>
        <w:t>Kunden.</w:t>
      </w:r>
    </w:p>
    <w:p w:rsidR="005D5C95" w:rsidRPr="00BB5519" w:rsidRDefault="005D5C95" w:rsidP="005D5C95">
      <w:pPr>
        <w:ind w:left="720"/>
        <w:rPr>
          <w:lang w:val="de-DE"/>
        </w:rPr>
      </w:pPr>
    </w:p>
    <w:p w:rsidR="005D5C95" w:rsidRPr="00BB5519" w:rsidRDefault="005D5C95" w:rsidP="005D5C95">
      <w:pPr>
        <w:ind w:left="720"/>
        <w:rPr>
          <w:lang w:val="de-DE"/>
        </w:rPr>
      </w:pPr>
      <w:r w:rsidRPr="00BB5519">
        <w:rPr>
          <w:rFonts w:cs="Tahoma"/>
          <w:color w:val="000000"/>
          <w:szCs w:val="24"/>
          <w:lang w:val="de-DE"/>
        </w:rPr>
        <w:t>Versions-Downgraderechte gelten für alle gewährten Client-Management-Lizenzen für System Center 2012 Configuration Manager.</w:t>
      </w:r>
    </w:p>
    <w:p w:rsidR="00ED12C0" w:rsidRPr="00BB5519" w:rsidRDefault="00ED12C0" w:rsidP="00ED12C0">
      <w:pPr>
        <w:ind w:left="900"/>
        <w:rPr>
          <w:lang w:val="de-DE"/>
        </w:rPr>
      </w:pPr>
    </w:p>
    <w:p w:rsidR="005D5C95" w:rsidRPr="00BB5519" w:rsidRDefault="005D5C95" w:rsidP="00ED12C0">
      <w:pPr>
        <w:ind w:left="900"/>
        <w:rPr>
          <w:lang w:val="de-DE"/>
        </w:rPr>
      </w:pPr>
    </w:p>
    <w:p w:rsidR="00A6493D" w:rsidRPr="00BB5519" w:rsidRDefault="00F66FB0" w:rsidP="00A6493D">
      <w:pPr>
        <w:pStyle w:val="Heading3"/>
        <w:rPr>
          <w:lang w:val="de-DE"/>
        </w:rPr>
      </w:pPr>
      <w:bookmarkStart w:id="1545" w:name="_107_EBS_2008"/>
      <w:bookmarkStart w:id="1546" w:name="_95_EBS_2008"/>
      <w:bookmarkStart w:id="1547" w:name="_98_Windows_EBS"/>
      <w:bookmarkStart w:id="1548" w:name="_Toc336338364"/>
      <w:bookmarkStart w:id="1549" w:name="_Toc354055053"/>
      <w:bookmarkStart w:id="1550" w:name="Srv_101WindowsEssBusSvrStdPrem"/>
      <w:bookmarkEnd w:id="1545"/>
      <w:bookmarkEnd w:id="1546"/>
      <w:bookmarkEnd w:id="1547"/>
      <w:r w:rsidRPr="00BB5519">
        <w:rPr>
          <w:rFonts w:ascii="Tahoma" w:hAnsi="Tahoma"/>
          <w:caps/>
          <w:color w:val="F66400"/>
          <w:sz w:val="22"/>
          <w:vertAlign w:val="superscript"/>
          <w:lang w:val="de-DE"/>
        </w:rPr>
        <w:t>98</w:t>
      </w:r>
      <w:r w:rsidRPr="00BB5519">
        <w:rPr>
          <w:rFonts w:ascii="Tahoma" w:hAnsi="Tahoma"/>
          <w:caps/>
          <w:color w:val="F66400"/>
          <w:sz w:val="24"/>
          <w:vertAlign w:val="superscript"/>
          <w:lang w:val="de-DE"/>
        </w:rPr>
        <w:t xml:space="preserve"> </w:t>
      </w:r>
      <w:r w:rsidRPr="00BB5519">
        <w:rPr>
          <w:rFonts w:ascii="Tahoma" w:hAnsi="Tahoma"/>
          <w:color w:val="F66400"/>
          <w:sz w:val="22"/>
          <w:szCs w:val="22"/>
          <w:lang w:val="de-DE"/>
        </w:rPr>
        <w:t>Windows EBS 2008 Standard und EBS 2008 Premium</w:t>
      </w:r>
      <w:bookmarkEnd w:id="1544"/>
      <w:bookmarkEnd w:id="1548"/>
      <w:bookmarkEnd w:id="1549"/>
    </w:p>
    <w:bookmarkEnd w:id="1540"/>
    <w:bookmarkEnd w:id="1550"/>
    <w:p w:rsidR="00113634" w:rsidRPr="00BB5519" w:rsidRDefault="00113634" w:rsidP="00113634">
      <w:pPr>
        <w:rPr>
          <w:lang w:val="de-DE"/>
        </w:rPr>
      </w:pPr>
    </w:p>
    <w:p w:rsidR="00113634" w:rsidRPr="00BB5519" w:rsidRDefault="00113634" w:rsidP="00376D4B">
      <w:pPr>
        <w:pStyle w:val="EndnoteText"/>
        <w:ind w:left="720"/>
        <w:rPr>
          <w:lang w:val="de-DE"/>
        </w:rPr>
      </w:pPr>
      <w:r w:rsidRPr="00BB5519">
        <w:rPr>
          <w:rFonts w:ascii="Tahoma" w:hAnsi="Tahoma" w:cs="Tahoma"/>
          <w:sz w:val="18"/>
          <w:szCs w:val="18"/>
          <w:lang w:val="de-DE"/>
        </w:rPr>
        <w:t>Diese Produkte haben den Status End-Of-Life (EOL) und werden nicht mehr angeboten.</w:t>
      </w:r>
    </w:p>
    <w:p w:rsidR="00113634" w:rsidRPr="0014112B" w:rsidRDefault="00113634" w:rsidP="00376D4B">
      <w:pPr>
        <w:pStyle w:val="EndnoteText"/>
        <w:ind w:left="720"/>
        <w:rPr>
          <w:rFonts w:ascii="Tahoma" w:hAnsi="Tahoma" w:cs="Tahoma"/>
          <w:sz w:val="18"/>
          <w:szCs w:val="18"/>
          <w:lang w:val="de-DE"/>
        </w:rPr>
      </w:pPr>
    </w:p>
    <w:p w:rsidR="00113634" w:rsidRPr="00BB5519" w:rsidRDefault="00113634" w:rsidP="00B76943">
      <w:pPr>
        <w:pStyle w:val="EndnoteText"/>
        <w:spacing w:after="60"/>
        <w:ind w:left="720"/>
        <w:rPr>
          <w:lang w:val="de-DE"/>
        </w:rPr>
      </w:pPr>
      <w:r w:rsidRPr="00BB5519">
        <w:rPr>
          <w:rFonts w:ascii="Tahoma" w:hAnsi="Tahoma" w:cs="Tahoma"/>
          <w:b/>
          <w:sz w:val="18"/>
          <w:szCs w:val="18"/>
          <w:lang w:val="de-DE"/>
        </w:rPr>
        <w:t>Einmalige Lizenzgewährung an Lizenzinhaber von EBS 2008 Standard und EBS 2008 Premium</w:t>
      </w:r>
    </w:p>
    <w:p w:rsidR="00113634" w:rsidRPr="00BB5519" w:rsidRDefault="00113634" w:rsidP="00B76943">
      <w:pPr>
        <w:pStyle w:val="ListParagraph"/>
        <w:contextualSpacing w:val="0"/>
        <w:rPr>
          <w:lang w:val="de-DE"/>
        </w:rPr>
      </w:pPr>
      <w:r w:rsidRPr="00BB5519">
        <w:rPr>
          <w:rFonts w:ascii="Tahoma" w:hAnsi="Tahoma" w:cs="Tahoma"/>
          <w:sz w:val="18"/>
          <w:szCs w:val="18"/>
          <w:u w:val="single"/>
          <w:lang w:val="de-DE"/>
        </w:rPr>
        <w:t>Alle Kunden mit Volumenlizenz für Windows Essential Business Server 2008 (EBS) Standard und Premium</w:t>
      </w:r>
      <w:r w:rsidRPr="00FE7ED4">
        <w:rPr>
          <w:rFonts w:ascii="Tahoma" w:hAnsi="Tahoma" w:cs="Tahoma"/>
          <w:bCs/>
          <w:sz w:val="18"/>
          <w:szCs w:val="18"/>
          <w:lang w:val="de-DE"/>
        </w:rPr>
        <w:t xml:space="preserve"> </w:t>
      </w:r>
      <w:r w:rsidRPr="00BB5519">
        <w:rPr>
          <w:rFonts w:ascii="Tahoma" w:hAnsi="Tahoma" w:cs="Tahoma"/>
          <w:sz w:val="18"/>
          <w:szCs w:val="18"/>
          <w:lang w:val="de-DE"/>
        </w:rPr>
        <w:t>haben ab dem 1. Juli 2010 Anspruch auf die folgenden zusätzlichen Lizenzen für jede EBS 2008 Standard- oder Premium-Lizenz:</w:t>
      </w:r>
    </w:p>
    <w:p w:rsidR="00A6493D" w:rsidRPr="0014112B" w:rsidRDefault="00A6493D" w:rsidP="00E63984">
      <w:pPr>
        <w:pStyle w:val="ListParagraph"/>
        <w:ind w:left="1260"/>
        <w:contextualSpacing w:val="0"/>
        <w:rPr>
          <w:rFonts w:ascii="Tahoma" w:hAnsi="Tahoma" w:cs="Tahoma"/>
          <w:sz w:val="18"/>
          <w:szCs w:val="18"/>
          <w:lang w:val="de-DE"/>
        </w:rPr>
      </w:pPr>
    </w:p>
    <w:p w:rsidR="00113634" w:rsidRPr="00BB5519" w:rsidRDefault="00113634" w:rsidP="00957DE8">
      <w:pPr>
        <w:pStyle w:val="ListParagraph"/>
        <w:numPr>
          <w:ilvl w:val="0"/>
          <w:numId w:val="27"/>
        </w:numPr>
        <w:spacing w:after="60"/>
        <w:ind w:left="1440"/>
        <w:contextualSpacing w:val="0"/>
      </w:pPr>
      <w:r w:rsidRPr="00BB5519">
        <w:rPr>
          <w:rFonts w:ascii="Tahoma" w:hAnsi="Tahoma" w:cs="Tahoma"/>
          <w:sz w:val="18"/>
          <w:szCs w:val="18"/>
        </w:rPr>
        <w:t>3 Softwarelizenzen für Windows Server 2008 Standard</w:t>
      </w:r>
    </w:p>
    <w:p w:rsidR="00113634" w:rsidRPr="00BB5519" w:rsidRDefault="00113634" w:rsidP="00957DE8">
      <w:pPr>
        <w:pStyle w:val="ListParagraph"/>
        <w:numPr>
          <w:ilvl w:val="0"/>
          <w:numId w:val="27"/>
        </w:numPr>
        <w:spacing w:after="60"/>
        <w:ind w:left="1440"/>
        <w:contextualSpacing w:val="0"/>
      </w:pPr>
      <w:r w:rsidRPr="00BB5519">
        <w:rPr>
          <w:rFonts w:ascii="Tahoma" w:hAnsi="Tahoma" w:cs="Tahoma"/>
          <w:sz w:val="18"/>
          <w:szCs w:val="18"/>
        </w:rPr>
        <w:t>2 Softwarelizenzen für Exchange Server 2007 Standard</w:t>
      </w:r>
    </w:p>
    <w:p w:rsidR="00113634" w:rsidRPr="00BB5519" w:rsidRDefault="00113634" w:rsidP="0000564E">
      <w:pPr>
        <w:pStyle w:val="ListParagraph"/>
        <w:numPr>
          <w:ilvl w:val="0"/>
          <w:numId w:val="27"/>
        </w:numPr>
        <w:spacing w:after="60"/>
        <w:ind w:left="1440"/>
        <w:contextualSpacing w:val="0"/>
        <w:rPr>
          <w:lang w:val="de-DE"/>
        </w:rPr>
      </w:pPr>
      <w:r w:rsidRPr="00BB5519">
        <w:rPr>
          <w:rFonts w:ascii="Tahoma" w:hAnsi="Tahoma" w:cs="Tahoma"/>
          <w:sz w:val="18"/>
          <w:szCs w:val="18"/>
          <w:lang w:val="de-DE"/>
        </w:rPr>
        <w:t>1 Softwarelizenz für System Center Essentials 2007 und 10 Server-Management-Lizenzen und 50</w:t>
      </w:r>
      <w:r w:rsidR="0000564E">
        <w:rPr>
          <w:rFonts w:ascii="Tahoma" w:hAnsi="Tahoma" w:cs="Tahoma"/>
          <w:sz w:val="18"/>
          <w:szCs w:val="18"/>
          <w:lang w:val="de-DE"/>
        </w:rPr>
        <w:t> </w:t>
      </w:r>
      <w:r w:rsidRPr="00BB5519">
        <w:rPr>
          <w:rFonts w:ascii="Tahoma" w:hAnsi="Tahoma" w:cs="Tahoma"/>
          <w:sz w:val="18"/>
          <w:szCs w:val="18"/>
          <w:lang w:val="de-DE"/>
        </w:rPr>
        <w:t>Client-Management-Lizenzen</w:t>
      </w:r>
    </w:p>
    <w:p w:rsidR="00113634" w:rsidRPr="00BB5519" w:rsidRDefault="00113634" w:rsidP="00E63984">
      <w:pPr>
        <w:ind w:left="1260"/>
        <w:rPr>
          <w:lang w:val="de-DE"/>
        </w:rPr>
      </w:pPr>
    </w:p>
    <w:p w:rsidR="00113634" w:rsidRPr="00E30AB2" w:rsidRDefault="00113634" w:rsidP="00FE7ED4">
      <w:pPr>
        <w:ind w:left="720"/>
        <w:rPr>
          <w:rFonts w:cs="Tahoma"/>
          <w:szCs w:val="18"/>
          <w:lang w:val="de-DE"/>
        </w:rPr>
      </w:pPr>
      <w:r w:rsidRPr="00E30AB2">
        <w:rPr>
          <w:rFonts w:cs="Tahoma"/>
          <w:szCs w:val="18"/>
          <w:lang w:val="de-DE"/>
        </w:rPr>
        <w:t>Durch den Volumenlizenzvertrag des Kunden und diesen Hinweis auf die Produktbedingungen werden die zusätzlichen Lizenzen belegt.</w:t>
      </w:r>
      <w:r w:rsidR="009E4976" w:rsidRPr="00E30AB2">
        <w:rPr>
          <w:rFonts w:cs="Tahoma"/>
          <w:szCs w:val="18"/>
          <w:lang w:val="de-DE"/>
        </w:rPr>
        <w:t xml:space="preserve"> </w:t>
      </w:r>
      <w:r w:rsidRPr="00E30AB2">
        <w:rPr>
          <w:rFonts w:cs="Tahoma"/>
          <w:szCs w:val="18"/>
          <w:lang w:val="de-DE"/>
        </w:rPr>
        <w:t>Die Nutzung der Software im Rahmen der zusätzlichen Lizenzen unterliegt den</w:t>
      </w:r>
      <w:r w:rsidR="00FE7ED4" w:rsidRPr="00E30AB2">
        <w:rPr>
          <w:rFonts w:cs="Tahoma"/>
          <w:szCs w:val="18"/>
          <w:lang w:val="de-DE"/>
        </w:rPr>
        <w:t> </w:t>
      </w:r>
      <w:r w:rsidRPr="00E30AB2">
        <w:rPr>
          <w:rFonts w:cs="Tahoma"/>
          <w:szCs w:val="18"/>
          <w:lang w:val="de-DE"/>
        </w:rPr>
        <w:t>Bestimmungen des Volumenlizenzvertrages des Kunden und den Produktbenutzungsrechten für die jeweiligen Produkte.</w:t>
      </w:r>
      <w:r w:rsidR="009E4976" w:rsidRPr="00E30AB2">
        <w:rPr>
          <w:rFonts w:cs="Tahoma"/>
          <w:szCs w:val="18"/>
          <w:lang w:val="de-DE"/>
        </w:rPr>
        <w:t xml:space="preserve"> </w:t>
      </w:r>
      <w:r w:rsidRPr="00E30AB2">
        <w:rPr>
          <w:rFonts w:cs="Tahoma"/>
          <w:szCs w:val="18"/>
          <w:lang w:val="de-DE"/>
        </w:rPr>
        <w:t>Das Recht zur Nutzung der Software im Rahmen der zusätzlichen Lizenzen gilt bis zum</w:t>
      </w:r>
      <w:r w:rsidR="00FE7ED4" w:rsidRPr="00E30AB2">
        <w:rPr>
          <w:rFonts w:cs="Tahoma"/>
          <w:szCs w:val="18"/>
          <w:lang w:val="de-DE"/>
        </w:rPr>
        <w:t> </w:t>
      </w:r>
      <w:r w:rsidRPr="00E30AB2">
        <w:rPr>
          <w:rFonts w:cs="Tahoma"/>
          <w:szCs w:val="18"/>
          <w:lang w:val="de-DE"/>
        </w:rPr>
        <w:t>Ablauf des Rechts zur Nutzung der Software gemäß den zugehörigen qualifizierenden Lizenzen.</w:t>
      </w:r>
      <w:r w:rsidR="009E4976" w:rsidRPr="00E30AB2">
        <w:rPr>
          <w:rFonts w:cs="Tahoma"/>
          <w:szCs w:val="18"/>
          <w:lang w:val="de-DE"/>
        </w:rPr>
        <w:t xml:space="preserve"> </w:t>
      </w:r>
      <w:r w:rsidRPr="00E30AB2">
        <w:rPr>
          <w:rFonts w:cs="Tahoma"/>
          <w:szCs w:val="18"/>
          <w:lang w:val="de-DE"/>
        </w:rPr>
        <w:t>Die</w:t>
      </w:r>
      <w:r w:rsidR="00FE7ED4" w:rsidRPr="00E30AB2">
        <w:rPr>
          <w:rFonts w:cs="Tahoma"/>
          <w:szCs w:val="18"/>
          <w:lang w:val="de-DE"/>
        </w:rPr>
        <w:t> </w:t>
      </w:r>
      <w:r w:rsidRPr="00E30AB2">
        <w:rPr>
          <w:rFonts w:cs="Tahoma"/>
          <w:szCs w:val="18"/>
          <w:lang w:val="de-DE"/>
        </w:rPr>
        <w:t>zusätzlichen Lizenzen können nicht separat von den qualifizierenden Lizenzen übertragen werden.</w:t>
      </w:r>
    </w:p>
    <w:p w:rsidR="00113634" w:rsidRPr="00E30AB2" w:rsidRDefault="00113634" w:rsidP="00957DE8">
      <w:pPr>
        <w:ind w:left="720"/>
        <w:rPr>
          <w:rFonts w:cs="Tahoma"/>
          <w:szCs w:val="18"/>
          <w:lang w:val="de-DE"/>
        </w:rPr>
      </w:pPr>
    </w:p>
    <w:p w:rsidR="00113634" w:rsidRPr="00E30AB2" w:rsidRDefault="00113634" w:rsidP="00957DE8">
      <w:pPr>
        <w:pStyle w:val="ListParagraph"/>
        <w:contextualSpacing w:val="0"/>
        <w:rPr>
          <w:rFonts w:ascii="Tahoma" w:hAnsi="Tahoma" w:cs="Tahoma"/>
          <w:sz w:val="18"/>
          <w:szCs w:val="18"/>
          <w:lang w:val="de-DE"/>
        </w:rPr>
      </w:pPr>
      <w:r w:rsidRPr="00E30AB2">
        <w:rPr>
          <w:rFonts w:ascii="Tahoma" w:hAnsi="Tahoma" w:cs="Tahoma"/>
          <w:sz w:val="18"/>
          <w:szCs w:val="18"/>
          <w:u w:val="single"/>
          <w:lang w:val="de-DE"/>
        </w:rPr>
        <w:t>Alle Kunden mit Volumenlizenz für Windows Essential Business Server (EBS) 2008 Standard</w:t>
      </w:r>
      <w:r w:rsidRPr="00E30AB2">
        <w:rPr>
          <w:rFonts w:ascii="Tahoma" w:hAnsi="Tahoma" w:cs="Tahoma"/>
          <w:bCs/>
          <w:sz w:val="18"/>
          <w:szCs w:val="18"/>
          <w:lang w:val="de-DE"/>
        </w:rPr>
        <w:t xml:space="preserve"> </w:t>
      </w:r>
      <w:r w:rsidRPr="00E30AB2">
        <w:rPr>
          <w:rFonts w:ascii="Tahoma" w:hAnsi="Tahoma" w:cs="Tahoma"/>
          <w:sz w:val="18"/>
          <w:szCs w:val="18"/>
          <w:lang w:val="de-DE"/>
        </w:rPr>
        <w:t>haben ab dem 1. Juli 2010 einen zusätzlichen Anspruch auf die folgenden zusätzlichen Lizenzen für jede EBS 2008 Standard-Lizenz mit aktiver Software Assurance:</w:t>
      </w:r>
    </w:p>
    <w:p w:rsidR="00A6493D" w:rsidRPr="00E30AB2" w:rsidRDefault="00A6493D" w:rsidP="00E63984">
      <w:pPr>
        <w:pStyle w:val="ListParagraph"/>
        <w:ind w:left="1260"/>
        <w:contextualSpacing w:val="0"/>
        <w:rPr>
          <w:rFonts w:ascii="Tahoma" w:hAnsi="Tahoma" w:cs="Tahoma"/>
          <w:sz w:val="18"/>
          <w:szCs w:val="18"/>
          <w:lang w:val="de-DE"/>
        </w:rPr>
      </w:pPr>
    </w:p>
    <w:p w:rsidR="00113634" w:rsidRPr="00E30AB2" w:rsidRDefault="00113634" w:rsidP="00957DE8">
      <w:pPr>
        <w:pStyle w:val="ListParagraph"/>
        <w:numPr>
          <w:ilvl w:val="0"/>
          <w:numId w:val="28"/>
        </w:numPr>
        <w:spacing w:after="60"/>
        <w:ind w:left="1440"/>
        <w:contextualSpacing w:val="0"/>
        <w:rPr>
          <w:rFonts w:ascii="Tahoma" w:hAnsi="Tahoma" w:cs="Tahoma"/>
          <w:sz w:val="18"/>
          <w:szCs w:val="18"/>
          <w:lang w:val="de-DE"/>
        </w:rPr>
      </w:pPr>
      <w:r w:rsidRPr="00E30AB2">
        <w:rPr>
          <w:rFonts w:ascii="Tahoma" w:hAnsi="Tahoma" w:cs="Tahoma"/>
          <w:sz w:val="18"/>
          <w:szCs w:val="18"/>
          <w:lang w:val="de-DE"/>
        </w:rPr>
        <w:t>3 Softwarelizenzen für Windows Server 2008 R2 Standard</w:t>
      </w:r>
    </w:p>
    <w:p w:rsidR="00113634" w:rsidRPr="00E30AB2" w:rsidRDefault="00113634" w:rsidP="00957DE8">
      <w:pPr>
        <w:pStyle w:val="ListParagraph"/>
        <w:numPr>
          <w:ilvl w:val="0"/>
          <w:numId w:val="28"/>
        </w:numPr>
        <w:spacing w:after="60"/>
        <w:ind w:left="1440"/>
        <w:contextualSpacing w:val="0"/>
        <w:rPr>
          <w:rFonts w:ascii="Tahoma" w:hAnsi="Tahoma" w:cs="Tahoma"/>
          <w:sz w:val="18"/>
          <w:szCs w:val="18"/>
        </w:rPr>
      </w:pPr>
      <w:r w:rsidRPr="00E30AB2">
        <w:rPr>
          <w:rFonts w:ascii="Tahoma" w:hAnsi="Tahoma" w:cs="Tahoma"/>
          <w:sz w:val="18"/>
          <w:szCs w:val="18"/>
        </w:rPr>
        <w:t>1 Softwarelizenz für Exchange Server 2010 Standard</w:t>
      </w:r>
    </w:p>
    <w:p w:rsidR="00E30AB2" w:rsidRPr="00E30AB2" w:rsidRDefault="00E30AB2" w:rsidP="00E30AB2">
      <w:pPr>
        <w:pStyle w:val="ListParagraph"/>
        <w:spacing w:after="60"/>
        <w:ind w:left="1440"/>
        <w:contextualSpacing w:val="0"/>
        <w:rPr>
          <w:rFonts w:ascii="Tahoma" w:hAnsi="Tahoma" w:cs="Tahoma"/>
          <w:sz w:val="18"/>
          <w:szCs w:val="18"/>
        </w:rPr>
      </w:pPr>
    </w:p>
    <w:p w:rsidR="00113634" w:rsidRPr="00E30AB2" w:rsidRDefault="00113634" w:rsidP="0000564E">
      <w:pPr>
        <w:pStyle w:val="ListParagraph"/>
        <w:numPr>
          <w:ilvl w:val="0"/>
          <w:numId w:val="28"/>
        </w:numPr>
        <w:spacing w:after="60"/>
        <w:ind w:left="1440"/>
        <w:contextualSpacing w:val="0"/>
        <w:rPr>
          <w:rFonts w:ascii="Tahoma" w:hAnsi="Tahoma" w:cs="Tahoma"/>
          <w:sz w:val="18"/>
          <w:szCs w:val="18"/>
          <w:lang w:val="de-DE"/>
        </w:rPr>
      </w:pPr>
      <w:r w:rsidRPr="00E30AB2">
        <w:rPr>
          <w:rFonts w:ascii="Tahoma" w:hAnsi="Tahoma" w:cs="Tahoma"/>
          <w:sz w:val="18"/>
          <w:szCs w:val="18"/>
          <w:lang w:val="de-DE"/>
        </w:rPr>
        <w:lastRenderedPageBreak/>
        <w:t>1 Softwarelizenz für System Center Essentials 2010 und 10 Server-Management-Lizenzen und 50</w:t>
      </w:r>
      <w:r w:rsidR="0000564E" w:rsidRPr="00E30AB2">
        <w:rPr>
          <w:rFonts w:ascii="Tahoma" w:hAnsi="Tahoma" w:cs="Tahoma"/>
          <w:sz w:val="18"/>
          <w:szCs w:val="18"/>
          <w:lang w:val="de-DE"/>
        </w:rPr>
        <w:t> </w:t>
      </w:r>
      <w:r w:rsidRPr="00E30AB2">
        <w:rPr>
          <w:rFonts w:ascii="Tahoma" w:hAnsi="Tahoma" w:cs="Tahoma"/>
          <w:sz w:val="18"/>
          <w:szCs w:val="18"/>
          <w:lang w:val="de-DE"/>
        </w:rPr>
        <w:t>Client-Management-Lizenzen</w:t>
      </w:r>
    </w:p>
    <w:p w:rsidR="00113634" w:rsidRPr="00E30AB2" w:rsidRDefault="00113634" w:rsidP="00957DE8">
      <w:pPr>
        <w:pStyle w:val="ListParagraph"/>
        <w:numPr>
          <w:ilvl w:val="0"/>
          <w:numId w:val="28"/>
        </w:numPr>
        <w:spacing w:after="60"/>
        <w:ind w:left="1440"/>
        <w:contextualSpacing w:val="0"/>
        <w:rPr>
          <w:rFonts w:ascii="Tahoma" w:hAnsi="Tahoma" w:cs="Tahoma"/>
          <w:sz w:val="18"/>
          <w:szCs w:val="18"/>
        </w:rPr>
      </w:pPr>
      <w:r w:rsidRPr="00E30AB2">
        <w:rPr>
          <w:rFonts w:ascii="Tahoma" w:hAnsi="Tahoma" w:cs="Tahoma"/>
          <w:sz w:val="18"/>
          <w:szCs w:val="18"/>
        </w:rPr>
        <w:t>1 Softwarelizenz für Forefront Threat Management Gateway, Medium Business Edition 2010</w:t>
      </w:r>
    </w:p>
    <w:p w:rsidR="00113634" w:rsidRPr="0014112B" w:rsidRDefault="00113634" w:rsidP="00E63984">
      <w:pPr>
        <w:pStyle w:val="ListParagraph"/>
        <w:ind w:left="1260"/>
        <w:rPr>
          <w:rFonts w:ascii="Tahoma" w:hAnsi="Tahoma" w:cs="Tahoma"/>
          <w:sz w:val="18"/>
          <w:szCs w:val="18"/>
        </w:rPr>
      </w:pPr>
    </w:p>
    <w:p w:rsidR="00113634" w:rsidRPr="00BB5519" w:rsidRDefault="00113634" w:rsidP="00957DE8">
      <w:pPr>
        <w:pStyle w:val="ListParagraph"/>
        <w:rPr>
          <w:lang w:val="de-DE"/>
        </w:rPr>
      </w:pPr>
      <w:r w:rsidRPr="00BB5519">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Standard-Lizenz erworben hat, ist der Kunde zur Nutzung dieser neuen Version statt der oben angegebenen Version berechtigt</w:t>
      </w:r>
      <w:r w:rsidR="0000564E">
        <w:rPr>
          <w:rFonts w:ascii="Tahoma" w:hAnsi="Tahoma" w:cs="Tahoma"/>
          <w:sz w:val="18"/>
          <w:szCs w:val="18"/>
          <w:lang w:val="de-DE"/>
        </w:rPr>
        <w:t>)</w:t>
      </w:r>
      <w:r w:rsidRPr="00BB5519">
        <w:rPr>
          <w:rFonts w:ascii="Tahoma" w:hAnsi="Tahoma" w:cs="Tahoma"/>
          <w:sz w:val="18"/>
          <w:szCs w:val="18"/>
          <w:lang w:val="de-DE"/>
        </w:rPr>
        <w:t>.</w:t>
      </w:r>
    </w:p>
    <w:p w:rsidR="0014112B" w:rsidRPr="00CB1EDE" w:rsidRDefault="0014112B" w:rsidP="0014112B">
      <w:pPr>
        <w:pStyle w:val="ListParagraph"/>
        <w:ind w:left="1260"/>
        <w:rPr>
          <w:rFonts w:ascii="Tahoma" w:hAnsi="Tahoma" w:cs="Tahoma"/>
          <w:sz w:val="18"/>
          <w:szCs w:val="18"/>
          <w:lang w:val="de-DE"/>
        </w:rPr>
      </w:pPr>
    </w:p>
    <w:p w:rsidR="00113634" w:rsidRPr="00BB5519" w:rsidRDefault="00113634" w:rsidP="00957DE8">
      <w:pPr>
        <w:ind w:left="720"/>
        <w:rPr>
          <w:lang w:val="de-DE"/>
        </w:rPr>
      </w:pPr>
      <w:r w:rsidRPr="00BB5519">
        <w:rPr>
          <w:rFonts w:cs="Tahoma"/>
          <w:szCs w:val="18"/>
          <w:lang w:val="de-DE"/>
        </w:rPr>
        <w:t>Durch den Volumenlizenzvertrag des Kunden und diesen Hinweis auf die Produktbedingungen werden die zusätzlichen Lizenzen belegt.</w:t>
      </w:r>
      <w:r w:rsidR="009E4976" w:rsidRPr="00BB5519">
        <w:rPr>
          <w:rFonts w:cs="Tahoma"/>
          <w:szCs w:val="18"/>
          <w:lang w:val="de-DE"/>
        </w:rPr>
        <w:t xml:space="preserve"> </w:t>
      </w:r>
      <w:r w:rsidRPr="00BB5519">
        <w:rPr>
          <w:rFonts w:cs="Tahoma"/>
          <w:szCs w:val="18"/>
          <w:lang w:val="de-DE"/>
        </w:rPr>
        <w:t>Die Nutzung der Software im Rahmen der zusätzlichen Lizenzen unterliegt den Bestimmungen des Volumenlizenzvertrages des Kunden und den Produktbenutzungsrechten für die jeweiligen Produkte.</w:t>
      </w:r>
      <w:r w:rsidR="009E4976" w:rsidRPr="00BB5519">
        <w:rPr>
          <w:rFonts w:cs="Tahoma"/>
          <w:szCs w:val="18"/>
          <w:lang w:val="de-DE"/>
        </w:rPr>
        <w:t xml:space="preserve"> </w:t>
      </w:r>
      <w:r w:rsidRPr="00BB5519">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9E4976" w:rsidRPr="00BB5519">
        <w:rPr>
          <w:rFonts w:cs="Tahoma"/>
          <w:szCs w:val="18"/>
          <w:lang w:val="de-DE"/>
        </w:rPr>
        <w:t xml:space="preserve"> </w:t>
      </w:r>
      <w:r w:rsidRPr="00BB5519">
        <w:rPr>
          <w:rFonts w:cs="Tahoma"/>
          <w:szCs w:val="18"/>
          <w:lang w:val="de-DE"/>
        </w:rPr>
        <w:t>Das Recht zur Nutzung von Forefront Protection 2010 für Exchange Server gilt bis zum Ablauf von Software Assurance für die zugehörigen qualifizierenden Lizenzen.</w:t>
      </w:r>
      <w:r w:rsidR="009E4976" w:rsidRPr="00BB5519">
        <w:rPr>
          <w:rFonts w:cs="Tahoma"/>
          <w:szCs w:val="18"/>
          <w:lang w:val="de-DE"/>
        </w:rPr>
        <w:t xml:space="preserve"> </w:t>
      </w:r>
      <w:r w:rsidRPr="00BB5519">
        <w:rPr>
          <w:rFonts w:cs="Tahoma"/>
          <w:szCs w:val="18"/>
          <w:lang w:val="de-DE"/>
        </w:rPr>
        <w:t>In sämtlichen Fällen können die zusätzlichen Lizenzen nicht separat von den qualifizierenden Lizenzen übertragen werden.</w:t>
      </w:r>
    </w:p>
    <w:p w:rsidR="0014112B" w:rsidRPr="00CB1EDE" w:rsidRDefault="0014112B" w:rsidP="0014112B">
      <w:pPr>
        <w:pStyle w:val="ListParagraph"/>
        <w:ind w:left="1260"/>
        <w:rPr>
          <w:rFonts w:ascii="Tahoma" w:hAnsi="Tahoma" w:cs="Tahoma"/>
          <w:sz w:val="18"/>
          <w:szCs w:val="18"/>
          <w:lang w:val="de-DE"/>
        </w:rPr>
      </w:pPr>
    </w:p>
    <w:p w:rsidR="00113634" w:rsidRPr="00BB5519" w:rsidRDefault="00113634" w:rsidP="00957DE8">
      <w:pPr>
        <w:tabs>
          <w:tab w:val="left" w:pos="1260"/>
        </w:tabs>
        <w:ind w:left="720"/>
        <w:rPr>
          <w:lang w:val="de-DE"/>
        </w:rPr>
      </w:pPr>
      <w:r w:rsidRPr="00BB5519">
        <w:rPr>
          <w:rFonts w:cs="Tahoma"/>
          <w:szCs w:val="18"/>
          <w:u w:val="single"/>
          <w:lang w:val="de-DE"/>
        </w:rPr>
        <w:t>Alle Kunden mit Volumenlizenz für Windows Essential Business Server (EBS) 2008 Premium</w:t>
      </w:r>
      <w:r w:rsidRPr="0014112B">
        <w:rPr>
          <w:rFonts w:cs="Tahoma"/>
          <w:szCs w:val="18"/>
          <w:lang w:val="de-DE"/>
        </w:rPr>
        <w:t xml:space="preserve"> </w:t>
      </w:r>
      <w:r w:rsidRPr="00BB5519">
        <w:rPr>
          <w:rFonts w:cs="Tahoma"/>
          <w:szCs w:val="18"/>
          <w:lang w:val="de-DE"/>
        </w:rPr>
        <w:t>haben ab dem 1. Juli 2010 einen zusätzlichen Anspruch auf die folgenden zusätzlichen Lizenzen für jede EBS 2008 Premium-Lizenz mit aktiver Software Assurance:</w:t>
      </w:r>
    </w:p>
    <w:p w:rsidR="0014112B" w:rsidRPr="00CB1EDE" w:rsidRDefault="0014112B" w:rsidP="0014112B">
      <w:pPr>
        <w:pStyle w:val="ListParagraph"/>
        <w:ind w:left="1800"/>
        <w:rPr>
          <w:rFonts w:ascii="Tahoma" w:hAnsi="Tahoma" w:cs="Tahoma"/>
          <w:sz w:val="18"/>
          <w:szCs w:val="18"/>
          <w:lang w:val="de-DE"/>
        </w:rPr>
      </w:pPr>
    </w:p>
    <w:p w:rsidR="00113634" w:rsidRPr="00BB5519" w:rsidRDefault="00113634" w:rsidP="00957DE8">
      <w:pPr>
        <w:pStyle w:val="ListParagraph"/>
        <w:numPr>
          <w:ilvl w:val="0"/>
          <w:numId w:val="29"/>
        </w:numPr>
        <w:spacing w:after="60"/>
        <w:contextualSpacing w:val="0"/>
        <w:rPr>
          <w:lang w:val="de-DE"/>
        </w:rPr>
      </w:pPr>
      <w:r w:rsidRPr="00BB5519">
        <w:rPr>
          <w:rFonts w:ascii="Tahoma" w:hAnsi="Tahoma" w:cs="Tahoma"/>
          <w:sz w:val="18"/>
          <w:szCs w:val="18"/>
          <w:lang w:val="de-DE"/>
        </w:rPr>
        <w:t>4 Softwarelizenzen für Windows Server 2008 R2 Standard</w:t>
      </w:r>
    </w:p>
    <w:p w:rsidR="00113634" w:rsidRPr="00BB5519" w:rsidRDefault="00113634" w:rsidP="00957DE8">
      <w:pPr>
        <w:pStyle w:val="ListParagraph"/>
        <w:numPr>
          <w:ilvl w:val="0"/>
          <w:numId w:val="29"/>
        </w:numPr>
        <w:spacing w:after="60"/>
        <w:contextualSpacing w:val="0"/>
        <w:rPr>
          <w:lang w:val="de-DE"/>
        </w:rPr>
      </w:pPr>
      <w:r w:rsidRPr="00BB5519">
        <w:rPr>
          <w:rFonts w:ascii="Tahoma" w:hAnsi="Tahoma" w:cs="Tahoma"/>
          <w:sz w:val="18"/>
          <w:szCs w:val="18"/>
          <w:lang w:val="de-DE"/>
        </w:rPr>
        <w:t>1 Softwarelizenz für SQL Server 2008 R2 Standard</w:t>
      </w:r>
    </w:p>
    <w:p w:rsidR="00113634" w:rsidRPr="00BB5519" w:rsidRDefault="00113634" w:rsidP="00957DE8">
      <w:pPr>
        <w:pStyle w:val="ListParagraph"/>
        <w:numPr>
          <w:ilvl w:val="0"/>
          <w:numId w:val="29"/>
        </w:numPr>
        <w:spacing w:after="60"/>
        <w:contextualSpacing w:val="0"/>
      </w:pPr>
      <w:r w:rsidRPr="00BB5519">
        <w:rPr>
          <w:rFonts w:ascii="Tahoma" w:hAnsi="Tahoma" w:cs="Tahoma"/>
          <w:sz w:val="18"/>
          <w:szCs w:val="18"/>
        </w:rPr>
        <w:t>2 Softwarelizenzen für Exchange Server 2010 Standard</w:t>
      </w:r>
    </w:p>
    <w:p w:rsidR="00113634" w:rsidRPr="00BB5519" w:rsidRDefault="00113634" w:rsidP="0014112B">
      <w:pPr>
        <w:pStyle w:val="ListParagraph"/>
        <w:numPr>
          <w:ilvl w:val="0"/>
          <w:numId w:val="29"/>
        </w:numPr>
        <w:spacing w:after="60"/>
        <w:contextualSpacing w:val="0"/>
        <w:rPr>
          <w:lang w:val="de-DE"/>
        </w:rPr>
      </w:pPr>
      <w:r w:rsidRPr="00BB5519">
        <w:rPr>
          <w:rFonts w:ascii="Tahoma" w:hAnsi="Tahoma" w:cs="Tahoma"/>
          <w:sz w:val="18"/>
          <w:szCs w:val="18"/>
          <w:lang w:val="de-DE"/>
        </w:rPr>
        <w:t>1 Softwarelizenz für System Center Essentials 2010 und 10 Server-Management-Lizenzen und</w:t>
      </w:r>
      <w:r w:rsidR="0014112B">
        <w:rPr>
          <w:rFonts w:ascii="Tahoma" w:hAnsi="Tahoma" w:cs="Tahoma"/>
          <w:sz w:val="18"/>
          <w:szCs w:val="18"/>
          <w:lang w:val="de-DE"/>
        </w:rPr>
        <w:t> </w:t>
      </w:r>
      <w:r w:rsidRPr="00BB5519">
        <w:rPr>
          <w:rFonts w:ascii="Tahoma" w:hAnsi="Tahoma" w:cs="Tahoma"/>
          <w:sz w:val="18"/>
          <w:szCs w:val="18"/>
          <w:lang w:val="de-DE"/>
        </w:rPr>
        <w:t>50 Client-Management-Lizenzen</w:t>
      </w:r>
    </w:p>
    <w:p w:rsidR="00113634" w:rsidRPr="00BB5519" w:rsidRDefault="00113634" w:rsidP="00957DE8">
      <w:pPr>
        <w:pStyle w:val="ListParagraph"/>
        <w:numPr>
          <w:ilvl w:val="0"/>
          <w:numId w:val="29"/>
        </w:numPr>
        <w:spacing w:after="60"/>
        <w:contextualSpacing w:val="0"/>
      </w:pPr>
      <w:r w:rsidRPr="00BB5519">
        <w:rPr>
          <w:rFonts w:ascii="Tahoma" w:hAnsi="Tahoma" w:cs="Tahoma"/>
          <w:sz w:val="18"/>
          <w:szCs w:val="18"/>
        </w:rPr>
        <w:t>1 Softwarelizenz für Forefront Threat Management Gateway, Medium Business 2010</w:t>
      </w:r>
    </w:p>
    <w:p w:rsidR="00113634" w:rsidRPr="00BB5519" w:rsidRDefault="00113634" w:rsidP="00E63984">
      <w:pPr>
        <w:pStyle w:val="ListParagraph"/>
        <w:ind w:left="1620"/>
      </w:pPr>
    </w:p>
    <w:p w:rsidR="00113634" w:rsidRPr="00BB5519" w:rsidRDefault="00113634" w:rsidP="00957DE8">
      <w:pPr>
        <w:pStyle w:val="ListParagraph"/>
        <w:rPr>
          <w:lang w:val="de-DE"/>
        </w:rPr>
      </w:pPr>
      <w:r w:rsidRPr="00BB5519">
        <w:rPr>
          <w:rFonts w:ascii="Tahoma" w:hAnsi="Tahoma" w:cs="Tahoma"/>
          <w:sz w:val="18"/>
          <w:szCs w:val="18"/>
          <w:lang w:val="de-DE"/>
        </w:rPr>
        <w:t>(Wenn eine neue Version der oben genannten Produkte im Rahmen des Volumenlizenzprogramms verfügbar ist, unter dem ein Kunde die qualifizierenden Lizenzen vor Ablauf der aktiven Software Assurance für seine EBS 2008 Premium-Lizenz erworben hat, ist der Kunde zur Nutzung dieser neuen Version statt der oben angegebenen Version berechtigt.)</w:t>
      </w:r>
    </w:p>
    <w:p w:rsidR="00113634" w:rsidRPr="00BB5519" w:rsidRDefault="00113634" w:rsidP="00EF2279">
      <w:pPr>
        <w:pStyle w:val="ListParagraph"/>
        <w:ind w:left="1260"/>
        <w:rPr>
          <w:lang w:val="de-DE"/>
        </w:rPr>
      </w:pPr>
    </w:p>
    <w:p w:rsidR="00113634" w:rsidRPr="00BB5519" w:rsidRDefault="00113634" w:rsidP="00957DE8">
      <w:pPr>
        <w:ind w:left="720"/>
        <w:rPr>
          <w:lang w:val="de-DE"/>
        </w:rPr>
      </w:pPr>
      <w:r w:rsidRPr="00BB5519">
        <w:rPr>
          <w:rFonts w:cs="Tahoma"/>
          <w:szCs w:val="18"/>
          <w:lang w:val="de-DE"/>
        </w:rPr>
        <w:t>Durch den Volumenlizenzvertrag des Kunden und diesen Hinweis auf die Produktbedingungen werden die zusätzlichen Lizenzen belegt.</w:t>
      </w:r>
      <w:r w:rsidR="009E4976" w:rsidRPr="00BB5519">
        <w:rPr>
          <w:rFonts w:cs="Tahoma"/>
          <w:szCs w:val="18"/>
          <w:lang w:val="de-DE"/>
        </w:rPr>
        <w:t xml:space="preserve"> </w:t>
      </w:r>
      <w:r w:rsidRPr="00BB5519">
        <w:rPr>
          <w:rFonts w:cs="Tahoma"/>
          <w:szCs w:val="18"/>
          <w:lang w:val="de-DE"/>
        </w:rPr>
        <w:t>Die Nutzung der Software im Rahmen der zusätzlichen Lizenzen unterliegt den Bestimmungen des Volumenlizenzvertrages des Kunden und den Produktbenutzungsrechten für die jeweiligen Produkte.</w:t>
      </w:r>
      <w:r w:rsidR="009E4976" w:rsidRPr="00BB5519">
        <w:rPr>
          <w:rFonts w:cs="Tahoma"/>
          <w:szCs w:val="18"/>
          <w:lang w:val="de-DE"/>
        </w:rPr>
        <w:t xml:space="preserve"> </w:t>
      </w:r>
      <w:r w:rsidRPr="00BB5519">
        <w:rPr>
          <w:rFonts w:cs="Tahoma"/>
          <w:szCs w:val="18"/>
          <w:lang w:val="de-DE"/>
        </w:rPr>
        <w:t>Außer im Fall von Forefront Protection 2010 für Exchange Server gilt das Recht zur Nutzung der Software im Rahmen der zusätzlichen Lizenzen bis zum Ablauf des Rechts zur Nutzung der Software gemäß den zugehörigen qualifizierenden Lizenzen.</w:t>
      </w:r>
      <w:r w:rsidR="009E4976" w:rsidRPr="00BB5519">
        <w:rPr>
          <w:rFonts w:cs="Tahoma"/>
          <w:szCs w:val="18"/>
          <w:lang w:val="de-DE"/>
        </w:rPr>
        <w:t xml:space="preserve"> </w:t>
      </w:r>
      <w:r w:rsidRPr="00BB5519">
        <w:rPr>
          <w:rFonts w:cs="Tahoma"/>
          <w:szCs w:val="18"/>
          <w:lang w:val="de-DE"/>
        </w:rPr>
        <w:t>Das Recht zur Nutzung von Forefront Protection 2010 für Exchange Server gilt bis zum Ablauf von Software Assurance für die zugehörigen qualifizierenden Lizenzen.</w:t>
      </w:r>
      <w:r w:rsidR="009E4976" w:rsidRPr="00BB5519">
        <w:rPr>
          <w:rFonts w:cs="Tahoma"/>
          <w:szCs w:val="18"/>
          <w:lang w:val="de-DE"/>
        </w:rPr>
        <w:t xml:space="preserve"> </w:t>
      </w:r>
      <w:r w:rsidRPr="00BB5519">
        <w:rPr>
          <w:rFonts w:cs="Tahoma"/>
          <w:szCs w:val="18"/>
          <w:lang w:val="de-DE"/>
        </w:rPr>
        <w:t>In sämtlichen Fällen können die zusätzlichen Lizenzen nicht separat von den qualifizierenden Lizenzen übertragen werden.</w:t>
      </w:r>
    </w:p>
    <w:p w:rsidR="00113634" w:rsidRPr="00BB5519" w:rsidRDefault="00113634" w:rsidP="00E63984">
      <w:pPr>
        <w:pStyle w:val="ListParagraph"/>
        <w:ind w:left="1800"/>
        <w:rPr>
          <w:lang w:val="de-DE"/>
        </w:rPr>
      </w:pPr>
    </w:p>
    <w:p w:rsidR="00113634" w:rsidRPr="00BB5519" w:rsidRDefault="00113634" w:rsidP="00957DE8">
      <w:pPr>
        <w:pStyle w:val="ListParagraph"/>
        <w:spacing w:after="60"/>
        <w:contextualSpacing w:val="0"/>
        <w:rPr>
          <w:lang w:val="de-DE"/>
        </w:rPr>
      </w:pPr>
      <w:r w:rsidRPr="00BB5519">
        <w:rPr>
          <w:rFonts w:ascii="Tahoma" w:hAnsi="Tahoma" w:cs="Tahoma"/>
          <w:b/>
          <w:sz w:val="18"/>
          <w:szCs w:val="18"/>
          <w:lang w:val="de-DE"/>
        </w:rPr>
        <w:t>Zusätzliche Nutzungsrechte für CALs für Windows Essential Business Server (EBS) 2008</w:t>
      </w:r>
    </w:p>
    <w:p w:rsidR="00113634" w:rsidRPr="00BB5519" w:rsidRDefault="00113634" w:rsidP="00957DE8">
      <w:pPr>
        <w:ind w:left="720"/>
        <w:rPr>
          <w:lang w:val="de-DE"/>
        </w:rPr>
      </w:pPr>
      <w:r w:rsidRPr="00BB5519">
        <w:rPr>
          <w:rFonts w:cs="Tahoma"/>
          <w:szCs w:val="18"/>
          <w:lang w:val="de-DE"/>
        </w:rPr>
        <w:t>Ungeachtet etwaiger anderslautender Bestimmungen in den Produktbenutzungsrechten für Windows Server 2008 und Exchange Server 2007 Standard können Kunden ihre EBS 2008 CAL-Suite und EBS 2008 CAL-Suite für Premium-Nutzer und –Geräte verwenden, um innerhalb oder außerhalb ihrer EBS 2008-Domäne auf ihre lizenzierten Instanzen dieser Software zuzugreifen. Darüber hinaus können Kunden ungeachtet etwaiger anderslautender Bestimmungen in den Produktbenutzungsrechten für SQL Server 2008 Standard ihre EBS 2008 CAL-Suite für Premium-Nutzer und -Geräte verwenden, um innerhalb oder außerhalb ihrer EBS 2008-Domäne auf ihre lizenzierten Instanzen von SQL Server 2008 Standard zuzugreifen.</w:t>
      </w:r>
    </w:p>
    <w:p w:rsidR="00113634" w:rsidRDefault="00113634" w:rsidP="00EF2279">
      <w:pPr>
        <w:tabs>
          <w:tab w:val="left" w:pos="1260"/>
        </w:tabs>
        <w:ind w:left="1260"/>
        <w:rPr>
          <w:lang w:val="de-DE"/>
        </w:rPr>
      </w:pPr>
    </w:p>
    <w:p w:rsidR="00E30AB2" w:rsidRPr="00BB5519" w:rsidRDefault="00E30AB2" w:rsidP="00EF2279">
      <w:pPr>
        <w:tabs>
          <w:tab w:val="left" w:pos="1260"/>
        </w:tabs>
        <w:ind w:left="1260"/>
        <w:rPr>
          <w:lang w:val="de-DE"/>
        </w:rPr>
      </w:pPr>
    </w:p>
    <w:p w:rsidR="00113634" w:rsidRPr="00E30AB2" w:rsidRDefault="00113634" w:rsidP="00957DE8">
      <w:pPr>
        <w:tabs>
          <w:tab w:val="left" w:pos="1260"/>
        </w:tabs>
        <w:ind w:left="720"/>
        <w:rPr>
          <w:rFonts w:cs="Tahoma"/>
          <w:szCs w:val="18"/>
        </w:rPr>
      </w:pPr>
      <w:r w:rsidRPr="00E30AB2">
        <w:rPr>
          <w:rFonts w:cs="Tahoma"/>
          <w:szCs w:val="18"/>
          <w:lang w:val="de-DE"/>
        </w:rPr>
        <w:lastRenderedPageBreak/>
        <w:t xml:space="preserve">Für Kunden mit CALs für Windows Essential Business Server (EBS) 2008 mit aktiver Software Assurance ab dem 1. </w:t>
      </w:r>
      <w:r w:rsidRPr="00E30AB2">
        <w:rPr>
          <w:rFonts w:cs="Tahoma"/>
          <w:szCs w:val="18"/>
        </w:rPr>
        <w:t>Juli 2010:</w:t>
      </w:r>
    </w:p>
    <w:p w:rsidR="00A6493D" w:rsidRPr="00E30AB2" w:rsidRDefault="00A6493D" w:rsidP="00EF2279">
      <w:pPr>
        <w:pStyle w:val="ListParagraph"/>
        <w:tabs>
          <w:tab w:val="left" w:pos="1260"/>
        </w:tabs>
        <w:ind w:left="1260"/>
        <w:contextualSpacing w:val="0"/>
        <w:rPr>
          <w:rFonts w:ascii="Tahoma" w:hAnsi="Tahoma" w:cs="Tahoma"/>
          <w:sz w:val="18"/>
          <w:szCs w:val="18"/>
        </w:rPr>
      </w:pPr>
    </w:p>
    <w:p w:rsidR="00113634" w:rsidRPr="00E30AB2" w:rsidRDefault="00113634" w:rsidP="00A434A4">
      <w:pPr>
        <w:pStyle w:val="ListParagraph"/>
        <w:numPr>
          <w:ilvl w:val="0"/>
          <w:numId w:val="146"/>
        </w:numPr>
        <w:tabs>
          <w:tab w:val="left" w:pos="1440"/>
        </w:tabs>
        <w:spacing w:after="60"/>
        <w:contextualSpacing w:val="0"/>
        <w:rPr>
          <w:rFonts w:ascii="Tahoma" w:hAnsi="Tahoma" w:cs="Tahoma"/>
          <w:sz w:val="18"/>
          <w:szCs w:val="18"/>
          <w:lang w:val="de-DE"/>
        </w:rPr>
      </w:pPr>
      <w:r w:rsidRPr="00E30AB2">
        <w:rPr>
          <w:rFonts w:ascii="Tahoma" w:hAnsi="Tahoma" w:cs="Tahoma"/>
          <w:sz w:val="18"/>
          <w:szCs w:val="18"/>
          <w:lang w:val="de-DE"/>
        </w:rPr>
        <w:t>Für jede CAL-Suite des Kunden für EBS 2008 mit aktiver Software Assurance ab dem 1. Juli 2010 hat der Kunde Anspruch auf die folgenden zusätzlichen Lizenzen:</w:t>
      </w:r>
    </w:p>
    <w:p w:rsidR="00113634" w:rsidRPr="00E30AB2"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E30AB2">
        <w:rPr>
          <w:rFonts w:ascii="Tahoma" w:hAnsi="Tahoma" w:cs="Tahoma"/>
          <w:sz w:val="18"/>
          <w:szCs w:val="18"/>
        </w:rPr>
        <w:t>1 CAL für Windows Server 2008</w:t>
      </w:r>
    </w:p>
    <w:p w:rsidR="00113634" w:rsidRPr="00E30AB2"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E30AB2">
        <w:rPr>
          <w:rFonts w:ascii="Tahoma" w:hAnsi="Tahoma" w:cs="Tahoma"/>
          <w:sz w:val="18"/>
          <w:szCs w:val="18"/>
        </w:rPr>
        <w:t>1 Standard-CAL für Exchange Server 2010</w:t>
      </w:r>
    </w:p>
    <w:p w:rsidR="00113634" w:rsidRPr="00E30AB2"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de-DE"/>
        </w:rPr>
      </w:pPr>
      <w:r w:rsidRPr="00E30AB2">
        <w:rPr>
          <w:rFonts w:ascii="Tahoma" w:hAnsi="Tahoma" w:cs="Tahoma"/>
          <w:sz w:val="18"/>
          <w:szCs w:val="18"/>
          <w:lang w:val="de-DE"/>
        </w:rPr>
        <w:t>1 Geräte- oder Nutzer-Abonnementlizenz für Forefront Protection 2010 für Exchange Server</w:t>
      </w:r>
    </w:p>
    <w:p w:rsidR="00A6493D" w:rsidRPr="00E30AB2" w:rsidRDefault="00A6493D" w:rsidP="00A434A4">
      <w:pPr>
        <w:pStyle w:val="ListParagraph"/>
        <w:tabs>
          <w:tab w:val="num" w:pos="1800"/>
        </w:tabs>
        <w:spacing w:after="60"/>
        <w:ind w:left="1800"/>
        <w:contextualSpacing w:val="0"/>
        <w:rPr>
          <w:rFonts w:ascii="Tahoma" w:hAnsi="Tahoma" w:cs="Tahoma"/>
          <w:sz w:val="18"/>
          <w:szCs w:val="18"/>
          <w:lang w:val="de-DE"/>
        </w:rPr>
      </w:pPr>
    </w:p>
    <w:p w:rsidR="00113634" w:rsidRPr="00E30AB2"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E30AB2">
        <w:rPr>
          <w:rFonts w:ascii="Tahoma" w:hAnsi="Tahoma" w:cs="Tahoma"/>
          <w:sz w:val="18"/>
          <w:szCs w:val="18"/>
          <w:lang w:val="de-DE"/>
        </w:rPr>
        <w:t xml:space="preserve">Für jede CAL-Suite für EBS 2008 für Premium-Nutzer und -Geräte des Kunden mit aktiver Software Assurance ab dem 1. </w:t>
      </w:r>
      <w:r w:rsidRPr="00E30AB2">
        <w:rPr>
          <w:rFonts w:ascii="Tahoma" w:hAnsi="Tahoma" w:cs="Tahoma"/>
          <w:sz w:val="18"/>
          <w:szCs w:val="18"/>
        </w:rPr>
        <w:t>Juli 2010 hat dieser Anspruch auf die folgenden zusätzlichen Lizenzen:</w:t>
      </w:r>
    </w:p>
    <w:p w:rsidR="00113634" w:rsidRPr="00E30AB2"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E30AB2">
        <w:rPr>
          <w:rFonts w:ascii="Tahoma" w:hAnsi="Tahoma" w:cs="Tahoma"/>
          <w:sz w:val="18"/>
          <w:szCs w:val="18"/>
        </w:rPr>
        <w:t>CAL für Windows Server 2008</w:t>
      </w:r>
    </w:p>
    <w:p w:rsidR="00113634" w:rsidRPr="00E30AB2"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E30AB2">
        <w:rPr>
          <w:rFonts w:ascii="Tahoma" w:hAnsi="Tahoma" w:cs="Tahoma"/>
          <w:sz w:val="18"/>
          <w:szCs w:val="18"/>
        </w:rPr>
        <w:t>Standard-CAL für Exchange Server 2010</w:t>
      </w:r>
    </w:p>
    <w:p w:rsidR="002512D3" w:rsidRPr="00E30AB2"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E30AB2">
        <w:rPr>
          <w:rFonts w:ascii="Tahoma" w:hAnsi="Tahoma" w:cs="Tahoma"/>
          <w:sz w:val="18"/>
          <w:szCs w:val="18"/>
        </w:rPr>
        <w:t>CAL für SQL Server 2008 R2</w:t>
      </w:r>
    </w:p>
    <w:p w:rsidR="00113634" w:rsidRPr="00E30AB2" w:rsidRDefault="00113634" w:rsidP="00A434A4">
      <w:pPr>
        <w:pStyle w:val="ListParagraph"/>
        <w:numPr>
          <w:ilvl w:val="1"/>
          <w:numId w:val="147"/>
        </w:numPr>
        <w:tabs>
          <w:tab w:val="clear" w:pos="720"/>
        </w:tabs>
        <w:spacing w:after="60"/>
        <w:ind w:left="1980"/>
        <w:contextualSpacing w:val="0"/>
        <w:rPr>
          <w:rFonts w:ascii="Tahoma" w:hAnsi="Tahoma" w:cs="Tahoma"/>
          <w:sz w:val="18"/>
          <w:szCs w:val="18"/>
          <w:lang w:val="de-DE"/>
        </w:rPr>
      </w:pPr>
      <w:r w:rsidRPr="00E30AB2">
        <w:rPr>
          <w:rFonts w:ascii="Tahoma" w:hAnsi="Tahoma" w:cs="Tahoma"/>
          <w:sz w:val="18"/>
          <w:szCs w:val="18"/>
          <w:lang w:val="de-DE"/>
        </w:rPr>
        <w:t>1 Geräte- oder Nutzer-Abonnementlizenz für Forefront Protection 2010 für Exchange Server</w:t>
      </w:r>
    </w:p>
    <w:p w:rsidR="00113634" w:rsidRPr="00E30AB2" w:rsidRDefault="00113634" w:rsidP="00A434A4">
      <w:pPr>
        <w:pStyle w:val="ListParagraph"/>
        <w:spacing w:after="60"/>
        <w:ind w:left="1980"/>
        <w:contextualSpacing w:val="0"/>
        <w:rPr>
          <w:rFonts w:ascii="Tahoma" w:hAnsi="Tahoma" w:cs="Tahoma"/>
          <w:sz w:val="18"/>
          <w:szCs w:val="18"/>
          <w:lang w:val="de-DE"/>
        </w:rPr>
      </w:pPr>
      <w:r w:rsidRPr="00E30AB2">
        <w:rPr>
          <w:rFonts w:ascii="Tahoma" w:hAnsi="Tahoma" w:cs="Tahoma"/>
          <w:sz w:val="18"/>
          <w:szCs w:val="18"/>
          <w:lang w:val="de-DE"/>
        </w:rPr>
        <w:t>(Wenn eine neue Version dieser Produkte im Rahmen des Volumenlizenzprogramms verfügbar ist, unter dem ein Kunde die qualifizierenden Lizenzen vor Ablauf der aktiven Software Assurance für seine qualifizierende CAL für EBS 2008 erworben hat, ist der Kunde zur Nutzung der CALs berechtigt, die dieser Version entsprechen.</w:t>
      </w:r>
    </w:p>
    <w:p w:rsidR="00113634" w:rsidRPr="00BB5519" w:rsidRDefault="00113634" w:rsidP="00113634">
      <w:pPr>
        <w:rPr>
          <w:lang w:val="de-DE"/>
        </w:rPr>
      </w:pPr>
    </w:p>
    <w:p w:rsidR="001E3F07" w:rsidRPr="00BB5519" w:rsidRDefault="00113634" w:rsidP="00A434A4">
      <w:pPr>
        <w:ind w:left="720"/>
        <w:rPr>
          <w:lang w:val="de-DE"/>
        </w:rPr>
      </w:pPr>
      <w:r w:rsidRPr="00BB5519">
        <w:rPr>
          <w:rFonts w:cs="Tahoma"/>
          <w:szCs w:val="18"/>
          <w:lang w:val="de-DE"/>
        </w:rPr>
        <w:t>Durch den Volumenlizenzvertrag des Kunden und diesen Hinweis auf die Produktbedingungen werden die zusätzlichen CALs belegt.</w:t>
      </w:r>
      <w:r w:rsidR="009E4976" w:rsidRPr="00BB5519">
        <w:rPr>
          <w:rFonts w:cs="Tahoma"/>
          <w:szCs w:val="18"/>
          <w:lang w:val="de-DE"/>
        </w:rPr>
        <w:t xml:space="preserve"> </w:t>
      </w:r>
      <w:r w:rsidRPr="00BB5519">
        <w:rPr>
          <w:rFonts w:cs="Tahoma"/>
          <w:szCs w:val="18"/>
          <w:lang w:val="de-DE"/>
        </w:rPr>
        <w:t>Die Nutzung der Software im Rahmen der zusätzlichen CALs unterliegt den Bestimmungen des Volumenlizenzvertrages des Kunden und den Produktbenutzungsrechten für die jeweiligen Produkte.</w:t>
      </w:r>
      <w:r w:rsidR="009E4976" w:rsidRPr="00BB5519">
        <w:rPr>
          <w:rFonts w:cs="Tahoma"/>
          <w:szCs w:val="18"/>
          <w:lang w:val="de-DE"/>
        </w:rPr>
        <w:t xml:space="preserve"> </w:t>
      </w:r>
      <w:r w:rsidRPr="00BB5519">
        <w:rPr>
          <w:rFonts w:cs="Tahoma"/>
          <w:szCs w:val="18"/>
          <w:lang w:val="de-DE"/>
        </w:rPr>
        <w:t>Das Recht zur Nutzung der Software im Rahmen der zusätzlichen CALs gilt bis zum Ablauf des Rechts zur Nutzung der Software im Rahmen der qualifizierenden CALs.</w:t>
      </w:r>
      <w:r w:rsidR="009E4976" w:rsidRPr="00BB5519">
        <w:rPr>
          <w:rFonts w:cs="Tahoma"/>
          <w:szCs w:val="18"/>
          <w:lang w:val="de-DE"/>
        </w:rPr>
        <w:t xml:space="preserve"> </w:t>
      </w:r>
      <w:r w:rsidRPr="00BB5519">
        <w:rPr>
          <w:rFonts w:cs="Tahoma"/>
          <w:szCs w:val="18"/>
          <w:lang w:val="de-DE"/>
        </w:rPr>
        <w:t>In sämtlichen Fällen können die zusätzlichen CALs nicht separat von den qualifizierenden CALs übertragen werden.</w:t>
      </w:r>
      <w:bookmarkStart w:id="1551" w:name="_107_Windows_Azure"/>
      <w:bookmarkEnd w:id="1551"/>
    </w:p>
    <w:p w:rsidR="00113634" w:rsidRPr="00BB5519" w:rsidRDefault="00113634" w:rsidP="00113634">
      <w:pPr>
        <w:rPr>
          <w:lang w:val="de-DE"/>
        </w:rPr>
      </w:pPr>
    </w:p>
    <w:p w:rsidR="00DE0D10" w:rsidRPr="00BB5519" w:rsidRDefault="00DE0D10" w:rsidP="00957DE8">
      <w:pPr>
        <w:rPr>
          <w:lang w:val="de-DE"/>
        </w:rPr>
      </w:pPr>
    </w:p>
    <w:p w:rsidR="00023FE7" w:rsidRPr="00BB5519" w:rsidRDefault="00F66FB0" w:rsidP="00EF2279">
      <w:pPr>
        <w:pStyle w:val="Heading3"/>
        <w:rPr>
          <w:lang w:val="de-DE"/>
        </w:rPr>
      </w:pPr>
      <w:bookmarkStart w:id="1552" w:name="_99_Windows_HPC"/>
      <w:bookmarkStart w:id="1553" w:name="Srv_109HPCServer2008_R2Suite"/>
      <w:bookmarkStart w:id="1554" w:name="_Toc336338365"/>
      <w:bookmarkStart w:id="1555" w:name="_Toc354055054"/>
      <w:bookmarkStart w:id="1556" w:name="Srv_96WindowsHighPerfCompSvr08"/>
      <w:bookmarkStart w:id="1557" w:name="Srv_94HPCServer2008_R2Suite"/>
      <w:bookmarkStart w:id="1558" w:name="Srv_106HPCServer2008_R2Suite"/>
      <w:bookmarkEnd w:id="1552"/>
      <w:r w:rsidRPr="00BB5519">
        <w:rPr>
          <w:rFonts w:ascii="Tahoma" w:hAnsi="Tahoma"/>
          <w:caps/>
          <w:color w:val="F66400"/>
          <w:sz w:val="22"/>
          <w:vertAlign w:val="superscript"/>
          <w:lang w:val="de-DE"/>
        </w:rPr>
        <w:t xml:space="preserve">99 </w:t>
      </w:r>
      <w:r w:rsidRPr="00BB5519">
        <w:rPr>
          <w:rFonts w:ascii="Tahoma" w:hAnsi="Tahoma"/>
          <w:color w:val="F66400"/>
          <w:sz w:val="22"/>
          <w:lang w:val="de-DE"/>
        </w:rPr>
        <w:t>Windows HPC Server 2008 R2 Suite</w:t>
      </w:r>
      <w:bookmarkEnd w:id="1553"/>
      <w:bookmarkEnd w:id="1554"/>
      <w:bookmarkEnd w:id="1555"/>
    </w:p>
    <w:bookmarkEnd w:id="1556"/>
    <w:bookmarkEnd w:id="1557"/>
    <w:bookmarkEnd w:id="1558"/>
    <w:p w:rsidR="00023FE7" w:rsidRPr="00BB5519" w:rsidRDefault="00023FE7" w:rsidP="00A434A4">
      <w:pPr>
        <w:pStyle w:val="EndnoteText"/>
        <w:rPr>
          <w:lang w:val="de-DE"/>
        </w:rPr>
      </w:pPr>
    </w:p>
    <w:p w:rsidR="00A434A4" w:rsidRPr="00BB5519" w:rsidRDefault="001978C7" w:rsidP="00A434A4">
      <w:pPr>
        <w:spacing w:after="60"/>
        <w:ind w:left="720"/>
        <w:rPr>
          <w:lang w:val="de-DE"/>
        </w:rPr>
      </w:pPr>
      <w:r w:rsidRPr="00BB5519">
        <w:rPr>
          <w:b/>
          <w:color w:val="000000"/>
          <w:lang w:val="de-DE"/>
        </w:rPr>
        <w:t>Lizenzgewährungen im Zusammenhang mit dem Ende der Lebensdauer von HPC Server Suite</w:t>
      </w:r>
    </w:p>
    <w:p w:rsidR="001978C7" w:rsidRPr="00BB5519" w:rsidRDefault="001978C7" w:rsidP="00A434A4">
      <w:pPr>
        <w:ind w:left="720"/>
        <w:rPr>
          <w:lang w:val="de-DE"/>
        </w:rPr>
      </w:pPr>
      <w:r w:rsidRPr="00BB5519">
        <w:rPr>
          <w:color w:val="000000"/>
          <w:lang w:val="de-DE"/>
        </w:rPr>
        <w:t>HPC Server Suite 2008 R2 ist die letzte Version von HPC Server Suite. Volumenlizenzkunden, die am 1. September 2012 oder am Datum der ersten Verfügbarkeit von Windows Server 2012 zum Download im Volume Licensing Service Center, wobei das frühere Datum maßgeblich ist, über aktive Software Assurance für HPC Server Suite-Lizenzen verfügen, („Qualifizierende Lizenzen“) sind berechtigt,</w:t>
      </w:r>
      <w:r w:rsidRPr="00BB5519">
        <w:rPr>
          <w:rFonts w:eastAsia="Calibri" w:cs="Tahoma"/>
          <w:szCs w:val="18"/>
          <w:lang w:val="de-DE"/>
        </w:rPr>
        <w:t xml:space="preserve"> auf die Software Windows Server 2012 Standard upzugraden und sie anstelle von HPC Server Suite zu verwenden. Um dieses Upgrade zu erleichtern, wird angenommen, dass dem Kunden bei Verfügbarkeit von Windows Server 2012 für jede Qualifizierende Lizenz, die der Kunde besitzt, eine Windows Server 2012 Standard-Prozessorlizenz gewährt wird.</w:t>
      </w:r>
    </w:p>
    <w:p w:rsidR="00A434A4" w:rsidRPr="00BB5519" w:rsidRDefault="00A434A4" w:rsidP="00A434A4">
      <w:pPr>
        <w:ind w:left="720"/>
        <w:rPr>
          <w:lang w:val="de-DE"/>
        </w:rPr>
      </w:pPr>
    </w:p>
    <w:p w:rsidR="001978C7" w:rsidRPr="00BB5519" w:rsidRDefault="001978C7" w:rsidP="00A434A4">
      <w:pPr>
        <w:numPr>
          <w:ilvl w:val="0"/>
          <w:numId w:val="66"/>
        </w:numPr>
        <w:tabs>
          <w:tab w:val="left" w:pos="1440"/>
        </w:tabs>
        <w:spacing w:after="60"/>
        <w:ind w:left="1440"/>
        <w:rPr>
          <w:lang w:val="de-DE"/>
        </w:rPr>
      </w:pPr>
      <w:r w:rsidRPr="00BB5519">
        <w:rPr>
          <w:rFonts w:eastAsia="Calibri" w:cs="Tahoma"/>
          <w:szCs w:val="18"/>
          <w:lang w:val="de-DE"/>
        </w:rPr>
        <w:t>Lizenzen, die im Rahmen dieser Gewährung erworben werden, umfassen Software Assurance.</w:t>
      </w:r>
      <w:r w:rsidR="009E4976" w:rsidRPr="00BB5519">
        <w:rPr>
          <w:rFonts w:eastAsia="Calibri" w:cs="Tahoma"/>
          <w:szCs w:val="18"/>
          <w:lang w:val="de-DE"/>
        </w:rPr>
        <w:t xml:space="preserve"> </w:t>
      </w:r>
      <w:r w:rsidRPr="00BB5519">
        <w:rPr>
          <w:rFonts w:eastAsia="Calibri" w:cs="Tahoma"/>
          <w:szCs w:val="18"/>
          <w:lang w:val="de-DE"/>
        </w:rPr>
        <w:t>Diese Software Assurance gilt bis zum Ablauf der Software Assurance für die Qualifizierenden Lizenzen.</w:t>
      </w:r>
    </w:p>
    <w:p w:rsidR="001978C7" w:rsidRPr="00BB5519" w:rsidRDefault="001978C7" w:rsidP="00A434A4">
      <w:pPr>
        <w:numPr>
          <w:ilvl w:val="0"/>
          <w:numId w:val="66"/>
        </w:numPr>
        <w:tabs>
          <w:tab w:val="left" w:pos="1440"/>
        </w:tabs>
        <w:spacing w:after="60"/>
        <w:ind w:left="1440"/>
        <w:rPr>
          <w:lang w:val="de-DE"/>
        </w:rPr>
      </w:pPr>
      <w:r w:rsidRPr="00BB5519">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1978C7" w:rsidRPr="00BB5519" w:rsidRDefault="001978C7" w:rsidP="00A434A4">
      <w:pPr>
        <w:numPr>
          <w:ilvl w:val="0"/>
          <w:numId w:val="66"/>
        </w:numPr>
        <w:tabs>
          <w:tab w:val="left" w:pos="1440"/>
        </w:tabs>
        <w:spacing w:after="60"/>
        <w:ind w:left="1440"/>
        <w:rPr>
          <w:lang w:val="de-DE"/>
        </w:rPr>
      </w:pPr>
      <w:r w:rsidRPr="00BB5519">
        <w:rPr>
          <w:rFonts w:eastAsia="Calibri" w:cs="Tahoma"/>
          <w:szCs w:val="18"/>
          <w:lang w:val="de-DE"/>
        </w:rPr>
        <w:t>Bei Upgrade auf Windows Server 2012 Standard unter dieser Gewährung sind die bestehenden Qualifizierenden Lizenzen für HPC Server Suite des Kunden nicht mehr gültig.</w:t>
      </w:r>
    </w:p>
    <w:p w:rsidR="001978C7" w:rsidRPr="00BB5519" w:rsidRDefault="001978C7" w:rsidP="00A434A4">
      <w:pPr>
        <w:numPr>
          <w:ilvl w:val="0"/>
          <w:numId w:val="70"/>
        </w:numPr>
        <w:tabs>
          <w:tab w:val="left" w:pos="1440"/>
        </w:tabs>
        <w:spacing w:after="60"/>
        <w:ind w:left="1440"/>
        <w:rPr>
          <w:lang w:val="de-DE"/>
        </w:rPr>
      </w:pPr>
      <w:r w:rsidRPr="00BB5519">
        <w:rPr>
          <w:color w:val="000000"/>
          <w:lang w:val="de-DE"/>
        </w:rPr>
        <w:t xml:space="preserve">HPC Server Suite- </w:t>
      </w:r>
      <w:r w:rsidRPr="00BB5519">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1978C7" w:rsidRPr="00BB5519" w:rsidRDefault="001978C7" w:rsidP="00A434A4">
      <w:pPr>
        <w:numPr>
          <w:ilvl w:val="0"/>
          <w:numId w:val="70"/>
        </w:numPr>
        <w:tabs>
          <w:tab w:val="left" w:pos="1440"/>
        </w:tabs>
        <w:spacing w:after="60"/>
        <w:ind w:left="1440"/>
        <w:rPr>
          <w:lang w:val="de-DE"/>
        </w:rPr>
      </w:pPr>
      <w:r w:rsidRPr="00BB5519">
        <w:rPr>
          <w:rFonts w:cs="Tahoma"/>
          <w:bCs/>
          <w:color w:val="000000"/>
          <w:szCs w:val="18"/>
          <w:lang w:val="de-DE"/>
        </w:rPr>
        <w:lastRenderedPageBreak/>
        <w:t>Ungeachtet der Gewährung von Windows Server 2012 Standard-Lizenzen und Upgrades dieser Version, bleiben Verpflichtungen zur Zahlung von fälligen Beträgen für die Qualifizierenden Lizenzen und Software Assurance in vollem Umfang wirksam.</w:t>
      </w:r>
    </w:p>
    <w:p w:rsidR="00DE4110" w:rsidRPr="00BB5519" w:rsidRDefault="001978C7" w:rsidP="00A434A4">
      <w:pPr>
        <w:numPr>
          <w:ilvl w:val="0"/>
          <w:numId w:val="70"/>
        </w:numPr>
        <w:tabs>
          <w:tab w:val="left" w:pos="1440"/>
        </w:tabs>
        <w:spacing w:after="60"/>
        <w:ind w:left="1440"/>
        <w:rPr>
          <w:lang w:val="de-DE"/>
        </w:rPr>
      </w:pPr>
      <w:r w:rsidRPr="00BB5519">
        <w:rPr>
          <w:rFonts w:cs="Tahoma"/>
          <w:bCs/>
          <w:color w:val="000000"/>
          <w:szCs w:val="18"/>
          <w:lang w:val="de-DE"/>
        </w:rPr>
        <w:t>Informieren Sie sich außerdem in den Hinweisen in der Produktliste für Windows Server 2008 R2 HPC Edition &amp; HPC Pack 2008 R2 Enterprise.</w:t>
      </w:r>
      <w:bookmarkStart w:id="1559" w:name="_109_Windows®_Intune"/>
      <w:bookmarkEnd w:id="1559"/>
    </w:p>
    <w:p w:rsidR="00A434A4" w:rsidRPr="00BB5519" w:rsidRDefault="00A434A4" w:rsidP="00A434A4">
      <w:pPr>
        <w:tabs>
          <w:tab w:val="left" w:pos="1440"/>
        </w:tabs>
        <w:ind w:left="1080"/>
        <w:contextualSpacing/>
        <w:rPr>
          <w:lang w:val="de-DE"/>
        </w:rPr>
      </w:pPr>
    </w:p>
    <w:p w:rsidR="00A434A4" w:rsidRPr="00BB5519" w:rsidRDefault="00A434A4" w:rsidP="00376D4B">
      <w:pPr>
        <w:ind w:left="720"/>
        <w:rPr>
          <w:lang w:val="de-DE"/>
        </w:rPr>
      </w:pPr>
    </w:p>
    <w:p w:rsidR="008779BC" w:rsidRPr="00BB5519" w:rsidRDefault="00F66FB0" w:rsidP="00A434A4">
      <w:pPr>
        <w:pStyle w:val="Heading2"/>
        <w:ind w:left="0"/>
        <w:rPr>
          <w:lang w:val="de-DE"/>
        </w:rPr>
      </w:pPr>
      <w:bookmarkStart w:id="1560" w:name="_100_Windows_Multipoint"/>
      <w:bookmarkStart w:id="1561" w:name="_Toc336338367"/>
      <w:bookmarkStart w:id="1562" w:name="_Toc354055055"/>
      <w:bookmarkEnd w:id="1560"/>
      <w:r w:rsidRPr="00BB5519">
        <w:rPr>
          <w:rFonts w:ascii="Tahoma" w:hAnsi="Tahoma" w:cs="Tahoma"/>
          <w:caps/>
          <w:color w:val="FA6500"/>
          <w:sz w:val="22"/>
          <w:vertAlign w:val="superscript"/>
          <w:lang w:val="de-DE"/>
        </w:rPr>
        <w:t xml:space="preserve">100 </w:t>
      </w:r>
      <w:r w:rsidRPr="00BB5519">
        <w:rPr>
          <w:rFonts w:ascii="Tahoma" w:hAnsi="Tahoma" w:cs="Tahoma"/>
          <w:color w:val="FA6500"/>
          <w:sz w:val="22"/>
          <w:lang w:val="de-DE"/>
        </w:rPr>
        <w:t xml:space="preserve">Windows Multipoint Server </w:t>
      </w:r>
      <w:bookmarkEnd w:id="1561"/>
      <w:r w:rsidRPr="00BB5519">
        <w:rPr>
          <w:rFonts w:ascii="Tahoma" w:hAnsi="Tahoma" w:cs="Tahoma"/>
          <w:color w:val="FA6500"/>
          <w:sz w:val="22"/>
          <w:lang w:val="de-DE"/>
        </w:rPr>
        <w:t>2012 Standard</w:t>
      </w:r>
      <w:bookmarkEnd w:id="1562"/>
      <w:r w:rsidRPr="00BB5519">
        <w:rPr>
          <w:rFonts w:ascii="Tahoma" w:hAnsi="Tahoma" w:cs="Tahoma"/>
          <w:color w:val="FA6500"/>
          <w:sz w:val="22"/>
          <w:lang w:val="de-DE"/>
        </w:rPr>
        <w:t xml:space="preserve"> </w:t>
      </w:r>
    </w:p>
    <w:p w:rsidR="00A434A4" w:rsidRPr="00BB5519" w:rsidRDefault="00A434A4" w:rsidP="00A434A4">
      <w:pPr>
        <w:rPr>
          <w:lang w:val="de-DE"/>
        </w:rPr>
      </w:pPr>
    </w:p>
    <w:p w:rsidR="00F745E1" w:rsidRPr="00BB5519" w:rsidRDefault="008779BC" w:rsidP="00A434A4">
      <w:pPr>
        <w:ind w:left="720"/>
        <w:rPr>
          <w:lang w:val="de-DE"/>
        </w:rPr>
      </w:pPr>
      <w:r w:rsidRPr="00BB5519">
        <w:rPr>
          <w:rFonts w:eastAsia="Calibri" w:cs="Tahoma"/>
          <w:color w:val="000000"/>
          <w:szCs w:val="18"/>
          <w:lang w:val="de-DE"/>
        </w:rPr>
        <w:t>Windows Multipoint Server 2012 Standard ist die nächste Version von Windows Multipoint Server 2011 Standard.</w:t>
      </w:r>
    </w:p>
    <w:p w:rsidR="00A434A4" w:rsidRPr="00BB5519" w:rsidRDefault="00A434A4" w:rsidP="00A434A4">
      <w:pPr>
        <w:rPr>
          <w:lang w:val="de-DE"/>
        </w:rPr>
      </w:pPr>
    </w:p>
    <w:p w:rsidR="00A434A4" w:rsidRPr="00BB5519" w:rsidRDefault="00A434A4" w:rsidP="00A434A4">
      <w:pPr>
        <w:rPr>
          <w:lang w:val="de-DE"/>
        </w:rPr>
      </w:pPr>
    </w:p>
    <w:p w:rsidR="00092F30" w:rsidRPr="00BB5519" w:rsidRDefault="00F66FB0" w:rsidP="00A434A4">
      <w:pPr>
        <w:pStyle w:val="Heading2"/>
        <w:ind w:left="0"/>
        <w:rPr>
          <w:lang w:val="de-DE"/>
        </w:rPr>
      </w:pPr>
      <w:bookmarkStart w:id="1563" w:name="_Toc336338368"/>
      <w:bookmarkStart w:id="1564" w:name="_Toc354055056"/>
      <w:bookmarkStart w:id="1565" w:name="Srv_103WinMultipointSvr2011Premium"/>
      <w:bookmarkStart w:id="1566" w:name="Srv_107WinMultipointSvr2011Premium"/>
      <w:bookmarkStart w:id="1567" w:name="Srv_111WinMultipointSvr2011Premium"/>
      <w:r w:rsidRPr="00BB5519">
        <w:rPr>
          <w:rFonts w:ascii="Tahoma" w:hAnsi="Tahoma" w:cs="Tahoma"/>
          <w:caps/>
          <w:color w:val="FA6500"/>
          <w:sz w:val="22"/>
          <w:szCs w:val="22"/>
          <w:vertAlign w:val="superscript"/>
          <w:lang w:val="de-DE"/>
        </w:rPr>
        <w:t>101</w:t>
      </w:r>
      <w:r w:rsidRPr="00BB5519">
        <w:rPr>
          <w:rFonts w:ascii="Tahoma" w:hAnsi="Tahoma" w:cs="Tahoma"/>
          <w:caps/>
          <w:color w:val="FA6500"/>
          <w:sz w:val="22"/>
          <w:vertAlign w:val="superscript"/>
          <w:lang w:val="de-DE"/>
        </w:rPr>
        <w:t xml:space="preserve"> </w:t>
      </w:r>
      <w:r w:rsidRPr="00BB5519">
        <w:rPr>
          <w:rFonts w:ascii="Tahoma" w:hAnsi="Tahoma" w:cs="Tahoma"/>
          <w:color w:val="FA6500"/>
          <w:sz w:val="22"/>
          <w:lang w:val="de-DE"/>
        </w:rPr>
        <w:t xml:space="preserve">Windows Multipoint Server </w:t>
      </w:r>
      <w:bookmarkEnd w:id="1563"/>
      <w:r w:rsidRPr="00BB5519">
        <w:rPr>
          <w:rFonts w:ascii="Tahoma" w:hAnsi="Tahoma" w:cs="Tahoma"/>
          <w:color w:val="FA6500"/>
          <w:sz w:val="22"/>
          <w:lang w:val="de-DE"/>
        </w:rPr>
        <w:t>2012 Premium</w:t>
      </w:r>
      <w:bookmarkEnd w:id="1564"/>
      <w:r w:rsidRPr="00BB5519">
        <w:rPr>
          <w:rFonts w:ascii="Tahoma" w:hAnsi="Tahoma" w:cs="Tahoma"/>
          <w:color w:val="FA6500"/>
          <w:sz w:val="22"/>
          <w:lang w:val="de-DE"/>
        </w:rPr>
        <w:t xml:space="preserve"> </w:t>
      </w:r>
      <w:bookmarkEnd w:id="1565"/>
      <w:bookmarkEnd w:id="1566"/>
      <w:bookmarkEnd w:id="1567"/>
    </w:p>
    <w:p w:rsidR="00A434A4" w:rsidRPr="00BB5519" w:rsidRDefault="00A434A4" w:rsidP="00A434A4">
      <w:pPr>
        <w:rPr>
          <w:lang w:val="de-DE"/>
        </w:rPr>
      </w:pPr>
    </w:p>
    <w:p w:rsidR="00F745E1" w:rsidRPr="00BB5519" w:rsidRDefault="00092F30" w:rsidP="00A434A4">
      <w:pPr>
        <w:ind w:left="720"/>
        <w:rPr>
          <w:lang w:val="de-DE"/>
        </w:rPr>
      </w:pPr>
      <w:r w:rsidRPr="00BB5519">
        <w:rPr>
          <w:rFonts w:eastAsia="Calibri" w:cs="Tahoma"/>
          <w:color w:val="000000"/>
          <w:szCs w:val="18"/>
          <w:lang w:val="de-DE"/>
        </w:rPr>
        <w:t>Windows Multipoint Server 2012 Premium ist die nächste Version von Windows Multipoint Server 2011 Premium.</w:t>
      </w:r>
      <w:bookmarkStart w:id="1568" w:name="_Toc280612355"/>
    </w:p>
    <w:p w:rsidR="00A434A4" w:rsidRPr="00BB5519" w:rsidRDefault="00A434A4" w:rsidP="00A434A4">
      <w:pPr>
        <w:rPr>
          <w:lang w:val="de-DE"/>
        </w:rPr>
      </w:pPr>
    </w:p>
    <w:p w:rsidR="00A434A4" w:rsidRPr="00BB5519" w:rsidRDefault="00A434A4" w:rsidP="00A434A4">
      <w:pPr>
        <w:rPr>
          <w:lang w:val="de-DE"/>
        </w:rPr>
      </w:pPr>
    </w:p>
    <w:p w:rsidR="00092F30" w:rsidRPr="00BB5519" w:rsidRDefault="00F66FB0" w:rsidP="00092F30">
      <w:pPr>
        <w:pStyle w:val="Heading2"/>
        <w:ind w:left="0"/>
      </w:pPr>
      <w:bookmarkStart w:id="1569" w:name="_102_CAL_für"/>
      <w:bookmarkStart w:id="1570" w:name="_Toc354055057"/>
      <w:bookmarkStart w:id="1571" w:name="Srv_104WinMultipointSvr2011CAL"/>
      <w:bookmarkStart w:id="1572" w:name="Srv_108WinMultipointSvr2011CAL"/>
      <w:bookmarkStart w:id="1573" w:name="Srv_112WinMultipointSvr2011CAL"/>
      <w:bookmarkEnd w:id="1569"/>
      <w:r w:rsidRPr="00BB5519">
        <w:rPr>
          <w:rFonts w:ascii="Tahoma" w:hAnsi="Tahoma" w:cs="Tahoma"/>
          <w:caps/>
          <w:color w:val="FA6500"/>
          <w:sz w:val="22"/>
          <w:szCs w:val="22"/>
          <w:vertAlign w:val="superscript"/>
        </w:rPr>
        <w:t>102</w:t>
      </w:r>
      <w:r w:rsidRPr="00BB5519">
        <w:rPr>
          <w:rFonts w:ascii="Tahoma" w:hAnsi="Tahoma" w:cs="Tahoma"/>
          <w:color w:val="FA6500"/>
          <w:sz w:val="22"/>
          <w:szCs w:val="22"/>
        </w:rPr>
        <w:t xml:space="preserve"> CAL für Windows </w:t>
      </w:r>
      <w:bookmarkEnd w:id="1568"/>
      <w:r w:rsidRPr="00BB5519">
        <w:rPr>
          <w:rFonts w:ascii="Tahoma" w:hAnsi="Tahoma" w:cs="Tahoma"/>
          <w:color w:val="FA6500"/>
          <w:sz w:val="22"/>
          <w:szCs w:val="22"/>
        </w:rPr>
        <w:t>Multipoint Server 2012</w:t>
      </w:r>
      <w:bookmarkEnd w:id="1570"/>
    </w:p>
    <w:bookmarkEnd w:id="1571"/>
    <w:bookmarkEnd w:id="1572"/>
    <w:bookmarkEnd w:id="1573"/>
    <w:p w:rsidR="00092F30" w:rsidRPr="00BB5519" w:rsidRDefault="00092F30" w:rsidP="00092F30">
      <w:pPr>
        <w:ind w:firstLine="360"/>
      </w:pPr>
    </w:p>
    <w:p w:rsidR="0008452D" w:rsidRPr="00BB5519" w:rsidRDefault="00092F30" w:rsidP="0000564E">
      <w:pPr>
        <w:ind w:left="720"/>
        <w:rPr>
          <w:lang w:val="de-DE"/>
        </w:rPr>
      </w:pPr>
      <w:r w:rsidRPr="00BB5519">
        <w:rPr>
          <w:rFonts w:eastAsia="Calibri" w:cs="Tahoma"/>
          <w:color w:val="000000"/>
          <w:szCs w:val="18"/>
          <w:lang w:val="de-DE"/>
        </w:rPr>
        <w:t>CAL für Windows Multipoint Server 2012 ist die nächste Version von CAL für Windows Multipoint Server</w:t>
      </w:r>
      <w:r w:rsidR="0000564E">
        <w:rPr>
          <w:rFonts w:eastAsia="Calibri" w:cs="Tahoma"/>
          <w:color w:val="000000"/>
          <w:szCs w:val="18"/>
          <w:lang w:val="de-DE"/>
        </w:rPr>
        <w:t> </w:t>
      </w:r>
      <w:r w:rsidRPr="00BB5519">
        <w:rPr>
          <w:rFonts w:eastAsia="Calibri" w:cs="Tahoma"/>
          <w:color w:val="000000"/>
          <w:szCs w:val="18"/>
          <w:lang w:val="de-DE"/>
        </w:rPr>
        <w:t>2011.</w:t>
      </w:r>
    </w:p>
    <w:p w:rsidR="00A434A4" w:rsidRPr="00BB5519" w:rsidRDefault="00A434A4" w:rsidP="00A434A4">
      <w:pPr>
        <w:rPr>
          <w:lang w:val="de-DE"/>
        </w:rPr>
      </w:pPr>
    </w:p>
    <w:p w:rsidR="00A434A4" w:rsidRPr="00BB5519" w:rsidRDefault="00A434A4" w:rsidP="00A434A4">
      <w:pPr>
        <w:rPr>
          <w:lang w:val="de-DE"/>
        </w:rPr>
      </w:pPr>
    </w:p>
    <w:p w:rsidR="00023FE7" w:rsidRPr="00BB5519" w:rsidRDefault="00F66FB0" w:rsidP="00EF2279">
      <w:pPr>
        <w:pStyle w:val="Heading3"/>
        <w:ind w:left="360" w:hanging="360"/>
        <w:rPr>
          <w:lang w:val="de-DE"/>
        </w:rPr>
      </w:pPr>
      <w:bookmarkStart w:id="1574" w:name="_103_Windows_Server"/>
      <w:bookmarkStart w:id="1575" w:name="_Toc336338369"/>
      <w:bookmarkStart w:id="1576" w:name="_Toc354055058"/>
      <w:bookmarkStart w:id="1577" w:name="Srv_97WinSvr08HighPerfCompandHyperV"/>
      <w:bookmarkStart w:id="1578" w:name="Srv_98WinSvr08HighPerfCompandHyperV"/>
      <w:bookmarkStart w:id="1579" w:name="Srv_110WinSvr08R2HPC"/>
      <w:bookmarkStart w:id="1580" w:name="Srv_114WinSvr08R2HPC"/>
      <w:bookmarkEnd w:id="1574"/>
      <w:r w:rsidRPr="00BB5519">
        <w:rPr>
          <w:rFonts w:ascii="Tahoma" w:hAnsi="Tahoma"/>
          <w:caps/>
          <w:color w:val="F66400"/>
          <w:sz w:val="22"/>
          <w:vertAlign w:val="superscript"/>
          <w:lang w:val="de-DE"/>
        </w:rPr>
        <w:t>103</w:t>
      </w:r>
      <w:r w:rsidRPr="00BB5519">
        <w:rPr>
          <w:rFonts w:ascii="Tahoma" w:hAnsi="Tahoma"/>
          <w:color w:val="F66400"/>
          <w:sz w:val="22"/>
          <w:lang w:val="de-DE"/>
        </w:rPr>
        <w:t xml:space="preserve"> Windows Server 2008 R2 HPC</w:t>
      </w:r>
      <w:r w:rsidRPr="00BB5519">
        <w:rPr>
          <w:rStyle w:val="Heading3Char"/>
          <w:rFonts w:ascii="Tahoma" w:hAnsi="Tahoma"/>
          <w:b/>
          <w:color w:val="F66400"/>
          <w:sz w:val="22"/>
          <w:lang w:val="de-DE"/>
        </w:rPr>
        <w:t xml:space="preserve"> Edition</w:t>
      </w:r>
      <w:bookmarkEnd w:id="1575"/>
      <w:bookmarkEnd w:id="1576"/>
      <w:r w:rsidRPr="00BB5519">
        <w:rPr>
          <w:rStyle w:val="Heading3Char"/>
          <w:rFonts w:ascii="Tahoma" w:hAnsi="Tahoma"/>
          <w:b/>
          <w:color w:val="F66400"/>
          <w:sz w:val="22"/>
          <w:lang w:val="de-DE"/>
        </w:rPr>
        <w:t xml:space="preserve"> </w:t>
      </w:r>
    </w:p>
    <w:bookmarkEnd w:id="1577"/>
    <w:bookmarkEnd w:id="1578"/>
    <w:bookmarkEnd w:id="1579"/>
    <w:bookmarkEnd w:id="1580"/>
    <w:p w:rsidR="00023FE7" w:rsidRPr="00BB5519" w:rsidRDefault="00023FE7" w:rsidP="00A434A4">
      <w:pPr>
        <w:rPr>
          <w:lang w:val="de-DE"/>
        </w:rPr>
      </w:pPr>
    </w:p>
    <w:p w:rsidR="00A434A4" w:rsidRPr="00BB5519" w:rsidRDefault="001978C7" w:rsidP="00A434A4">
      <w:pPr>
        <w:spacing w:after="60"/>
        <w:ind w:left="720"/>
        <w:rPr>
          <w:lang w:val="de-DE"/>
        </w:rPr>
      </w:pPr>
      <w:r w:rsidRPr="00BB5519">
        <w:rPr>
          <w:b/>
          <w:color w:val="000000"/>
          <w:lang w:val="de-DE"/>
        </w:rPr>
        <w:t>Lizenzgewährungen im Zusammenhang mit dem Ende der Lebensdauer von Windows Server HPC Edition</w:t>
      </w:r>
    </w:p>
    <w:p w:rsidR="001978C7" w:rsidRPr="00BB5519" w:rsidRDefault="001978C7" w:rsidP="0000564E">
      <w:pPr>
        <w:ind w:left="720"/>
        <w:rPr>
          <w:lang w:val="de-DE"/>
        </w:rPr>
      </w:pPr>
      <w:r w:rsidRPr="00BB5519">
        <w:rPr>
          <w:color w:val="000000"/>
          <w:lang w:val="de-DE"/>
        </w:rPr>
        <w:t>Windows Server 2008 R2 ist die letzte Version von Windows Server HPC Edition. Volumenlizenzkunden, die am 1. September 2012 oder am Datum der ersten Verfügbarkeit von Windows Server 2012 zum Download im Volume Licensing Service Center, wobei das frühere Datum maßgeblich ist, über aktive Software Assurance für Windows Server 2008 R2 HPC Edition-Lizenzen verfügen, (</w:t>
      </w:r>
      <w:r w:rsidR="0000564E">
        <w:rPr>
          <w:color w:val="000000"/>
          <w:lang w:val="de-DE"/>
        </w:rPr>
        <w:t>“</w:t>
      </w:r>
      <w:r w:rsidRPr="00BB5519">
        <w:rPr>
          <w:color w:val="000000"/>
          <w:lang w:val="de-DE"/>
        </w:rPr>
        <w:t>Qualifizierende Lizenzen</w:t>
      </w:r>
      <w:r w:rsidR="0000564E">
        <w:rPr>
          <w:color w:val="000000"/>
          <w:lang w:val="de-DE"/>
        </w:rPr>
        <w:t>”</w:t>
      </w:r>
      <w:r w:rsidRPr="00BB5519">
        <w:rPr>
          <w:color w:val="000000"/>
          <w:lang w:val="de-DE"/>
        </w:rPr>
        <w:t xml:space="preserve">) sind berechtigt, </w:t>
      </w:r>
      <w:r w:rsidRPr="00BB5519">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A434A4" w:rsidRPr="00BB5519" w:rsidRDefault="00A434A4" w:rsidP="00A434A4">
      <w:pPr>
        <w:ind w:left="720"/>
        <w:rPr>
          <w:lang w:val="de-DE"/>
        </w:rPr>
      </w:pPr>
    </w:p>
    <w:p w:rsidR="001978C7" w:rsidRPr="00BB5519" w:rsidRDefault="001978C7" w:rsidP="00A434A4">
      <w:pPr>
        <w:numPr>
          <w:ilvl w:val="0"/>
          <w:numId w:val="70"/>
        </w:numPr>
        <w:tabs>
          <w:tab w:val="clear" w:pos="360"/>
          <w:tab w:val="num" w:pos="1440"/>
        </w:tabs>
        <w:spacing w:after="60"/>
        <w:ind w:left="1440"/>
        <w:rPr>
          <w:lang w:val="de-DE"/>
        </w:rPr>
      </w:pPr>
      <w:r w:rsidRPr="00BB5519">
        <w:rPr>
          <w:color w:val="000000"/>
          <w:lang w:val="de-DE"/>
        </w:rPr>
        <w:t>Wenn ein Kunde über eine ungerade Anzahl von Windows Server HPC Edition-Lizenzen verfügt, muss der Kunde auf die nächste gerade Zahl aufrunden, um festzustellen, wie viele Lizenzen ihm gewährt werden.</w:t>
      </w:r>
      <w:r w:rsidR="009E4976" w:rsidRPr="00BB5519">
        <w:rPr>
          <w:color w:val="000000"/>
          <w:lang w:val="de-DE"/>
        </w:rPr>
        <w:t xml:space="preserve"> </w:t>
      </w:r>
      <w:r w:rsidRPr="00BB5519">
        <w:rPr>
          <w:color w:val="000000"/>
          <w:lang w:val="de-DE"/>
        </w:rPr>
        <w:t>Beispiel: Einem Kunden, der über drei Windows Server HPC Edition-Lizenzen verfügt, werden insgesamt zwei Windows Server 2012 Standard-Lizenzen gewährt.</w:t>
      </w:r>
    </w:p>
    <w:p w:rsidR="001978C7" w:rsidRPr="00BB5519" w:rsidRDefault="001978C7" w:rsidP="00A434A4">
      <w:pPr>
        <w:pStyle w:val="ListParagraph"/>
        <w:numPr>
          <w:ilvl w:val="0"/>
          <w:numId w:val="70"/>
        </w:numPr>
        <w:tabs>
          <w:tab w:val="clear" w:pos="360"/>
          <w:tab w:val="num" w:pos="1440"/>
        </w:tabs>
        <w:spacing w:after="60"/>
        <w:ind w:left="1440"/>
        <w:contextualSpacing w:val="0"/>
        <w:rPr>
          <w:lang w:val="de-DE"/>
        </w:rPr>
      </w:pPr>
      <w:r w:rsidRPr="00BB5519">
        <w:rPr>
          <w:rFonts w:ascii="Tahoma" w:eastAsia="Calibri" w:hAnsi="Tahoma" w:cs="Tahoma"/>
          <w:sz w:val="18"/>
          <w:szCs w:val="18"/>
          <w:lang w:val="de-DE"/>
        </w:rPr>
        <w:t>Lizenzen, die im Rahmen dieser Gewährung erworben werden, umfassen Software Assurance.</w:t>
      </w:r>
      <w:r w:rsidR="009E4976" w:rsidRPr="00BB5519">
        <w:rPr>
          <w:rFonts w:ascii="Tahoma" w:eastAsia="Calibri" w:hAnsi="Tahoma" w:cs="Tahoma"/>
          <w:sz w:val="18"/>
          <w:szCs w:val="18"/>
          <w:lang w:val="de-DE"/>
        </w:rPr>
        <w:t xml:space="preserve"> </w:t>
      </w:r>
      <w:r w:rsidRPr="00BB5519">
        <w:rPr>
          <w:rFonts w:ascii="Tahoma" w:eastAsia="Calibri" w:hAnsi="Tahoma" w:cs="Tahoma"/>
          <w:sz w:val="18"/>
          <w:szCs w:val="18"/>
          <w:lang w:val="de-DE"/>
        </w:rPr>
        <w:t>Diese Software Assurance gilt bis zum Ablauf der Software Assurance für die Qualifizierenden Lizenzen.</w:t>
      </w:r>
    </w:p>
    <w:p w:rsidR="001978C7" w:rsidRPr="00BB5519" w:rsidRDefault="001978C7" w:rsidP="00A434A4">
      <w:pPr>
        <w:pStyle w:val="ListParagraph"/>
        <w:numPr>
          <w:ilvl w:val="0"/>
          <w:numId w:val="70"/>
        </w:numPr>
        <w:tabs>
          <w:tab w:val="clear" w:pos="360"/>
          <w:tab w:val="num" w:pos="1440"/>
        </w:tabs>
        <w:spacing w:after="60"/>
        <w:ind w:left="1440"/>
        <w:contextualSpacing w:val="0"/>
        <w:rPr>
          <w:lang w:val="de-DE"/>
        </w:rPr>
      </w:pPr>
      <w:r w:rsidRPr="00BB551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1978C7" w:rsidRPr="00E30AB2" w:rsidRDefault="001978C7" w:rsidP="00A434A4">
      <w:pPr>
        <w:numPr>
          <w:ilvl w:val="0"/>
          <w:numId w:val="70"/>
        </w:numPr>
        <w:tabs>
          <w:tab w:val="clear" w:pos="360"/>
          <w:tab w:val="num" w:pos="1440"/>
          <w:tab w:val="left" w:pos="2160"/>
        </w:tabs>
        <w:spacing w:after="60"/>
        <w:ind w:left="1440"/>
        <w:rPr>
          <w:lang w:val="de-DE"/>
        </w:rPr>
      </w:pPr>
      <w:r w:rsidRPr="00BB5519">
        <w:rPr>
          <w:rFonts w:eastAsia="Calibri" w:cs="Tahoma"/>
          <w:szCs w:val="18"/>
          <w:lang w:val="de-DE"/>
        </w:rPr>
        <w:t xml:space="preserve">Bei Upgrade auf Windows Server 2012 Standard unter dieser Gewährung bleiben die bestehenden </w:t>
      </w:r>
      <w:r w:rsidRPr="00BB5519">
        <w:rPr>
          <w:color w:val="000000"/>
          <w:lang w:val="de-DE"/>
        </w:rPr>
        <w:t>Windows Server 2008 R2 HPC Edition</w:t>
      </w:r>
      <w:r w:rsidRPr="00BB5519">
        <w:rPr>
          <w:rFonts w:eastAsia="Calibri" w:cs="Tahoma"/>
          <w:szCs w:val="18"/>
          <w:lang w:val="de-DE"/>
        </w:rPr>
        <w:t>-Lizenzen des Kunden gültig.</w:t>
      </w:r>
    </w:p>
    <w:p w:rsidR="00E30AB2" w:rsidRDefault="00E30AB2" w:rsidP="00E30AB2">
      <w:pPr>
        <w:tabs>
          <w:tab w:val="left" w:pos="2160"/>
        </w:tabs>
        <w:spacing w:after="60"/>
        <w:rPr>
          <w:rFonts w:eastAsia="Calibri" w:cs="Tahoma"/>
          <w:szCs w:val="18"/>
          <w:lang w:val="de-DE"/>
        </w:rPr>
      </w:pPr>
    </w:p>
    <w:p w:rsidR="00E30AB2" w:rsidRDefault="00E30AB2" w:rsidP="00E30AB2">
      <w:pPr>
        <w:tabs>
          <w:tab w:val="left" w:pos="2160"/>
        </w:tabs>
        <w:spacing w:after="60"/>
        <w:rPr>
          <w:rFonts w:eastAsia="Calibri" w:cs="Tahoma"/>
          <w:szCs w:val="18"/>
          <w:lang w:val="de-DE"/>
        </w:rPr>
      </w:pPr>
    </w:p>
    <w:p w:rsidR="00E30AB2" w:rsidRPr="00BB5519" w:rsidRDefault="00E30AB2" w:rsidP="00E30AB2">
      <w:pPr>
        <w:tabs>
          <w:tab w:val="left" w:pos="2160"/>
        </w:tabs>
        <w:spacing w:after="60"/>
        <w:rPr>
          <w:lang w:val="de-DE"/>
        </w:rPr>
      </w:pPr>
    </w:p>
    <w:p w:rsidR="001978C7" w:rsidRPr="00BB5519" w:rsidRDefault="001978C7" w:rsidP="00E30AB2">
      <w:pPr>
        <w:numPr>
          <w:ilvl w:val="0"/>
          <w:numId w:val="70"/>
        </w:numPr>
        <w:tabs>
          <w:tab w:val="clear" w:pos="360"/>
          <w:tab w:val="num" w:pos="1440"/>
        </w:tabs>
        <w:spacing w:after="40"/>
        <w:ind w:left="1440"/>
        <w:rPr>
          <w:lang w:val="de-DE"/>
        </w:rPr>
      </w:pPr>
      <w:r w:rsidRPr="00BB5519">
        <w:rPr>
          <w:color w:val="000000"/>
          <w:lang w:val="de-DE"/>
        </w:rPr>
        <w:lastRenderedPageBreak/>
        <w:t>Windows Server 2008 R2 HPC Edition-</w:t>
      </w:r>
      <w:r w:rsidRPr="00BB5519">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1978C7" w:rsidRPr="00BB5519" w:rsidRDefault="001978C7" w:rsidP="00E30AB2">
      <w:pPr>
        <w:numPr>
          <w:ilvl w:val="0"/>
          <w:numId w:val="70"/>
        </w:numPr>
        <w:tabs>
          <w:tab w:val="clear" w:pos="360"/>
          <w:tab w:val="num" w:pos="1440"/>
        </w:tabs>
        <w:spacing w:after="40"/>
        <w:ind w:left="1440"/>
        <w:rPr>
          <w:lang w:val="de-DE"/>
        </w:rPr>
      </w:pPr>
      <w:r w:rsidRPr="00BB5519">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A434A4" w:rsidRPr="00BB5519" w:rsidRDefault="00A434A4" w:rsidP="00A434A4">
      <w:pPr>
        <w:contextualSpacing/>
        <w:rPr>
          <w:lang w:val="de-DE"/>
        </w:rPr>
      </w:pPr>
    </w:p>
    <w:p w:rsidR="008C2FF8" w:rsidRPr="00BB5519" w:rsidRDefault="001978C7" w:rsidP="00E30AB2">
      <w:pPr>
        <w:keepNext/>
        <w:keepLines/>
        <w:spacing w:after="40"/>
        <w:ind w:left="720"/>
        <w:rPr>
          <w:lang w:val="de-DE"/>
        </w:rPr>
      </w:pPr>
      <w:r w:rsidRPr="00BB5519">
        <w:rPr>
          <w:rFonts w:eastAsia="Calibri" w:cs="Tahoma"/>
          <w:b/>
          <w:szCs w:val="18"/>
          <w:lang w:val="de-DE"/>
        </w:rPr>
        <w:t>Zusätzliche Informationen zur Verwendung von Windows Server 2012 für High Performance Computing (HPC)</w:t>
      </w:r>
    </w:p>
    <w:p w:rsidR="002F7203" w:rsidRPr="00BB5519" w:rsidRDefault="001978C7" w:rsidP="009374EE">
      <w:pPr>
        <w:keepNext/>
        <w:keepLines/>
        <w:ind w:left="720"/>
        <w:contextualSpacing/>
        <w:rPr>
          <w:lang w:val="de-DE"/>
        </w:rPr>
      </w:pPr>
      <w:r w:rsidRPr="00BB5519">
        <w:rPr>
          <w:rFonts w:eastAsia="Calibri" w:cs="Tahoma"/>
          <w:szCs w:val="18"/>
          <w:lang w:val="de-DE"/>
        </w:rPr>
        <w:t>Wenn Windows Server 2012 Standard oder Datacenter für High Performance Computing verwendet wird, benötigen Sie keine CALs für den Zugriff auf die Software. Eine „</w:t>
      </w:r>
      <w:r w:rsidRPr="00BB5519">
        <w:rPr>
          <w:lang w:val="de-DE"/>
        </w:rPr>
        <w:t>High Performance Computing („HPC“) Workload“</w:t>
      </w:r>
      <w:r w:rsidRPr="00BB5519">
        <w:rPr>
          <w:b/>
          <w:bCs/>
          <w:lang w:val="de-DE"/>
        </w:rPr>
        <w:t xml:space="preserve"> </w:t>
      </w:r>
      <w:r w:rsidRPr="00BB5519">
        <w:rPr>
          <w:lang w:val="de-DE"/>
        </w:rPr>
        <w:t>ist eine Workload, bei der die Serversoftware zur Ausführung eines Clusterknotens verwendet wird und in Verbindung mit anderer Software</w:t>
      </w:r>
      <w:r w:rsidRPr="00BB5519">
        <w:rPr>
          <w:u w:val="single"/>
          <w:lang w:val="de-DE"/>
        </w:rPr>
        <w:t>genutzt wird</w:t>
      </w:r>
      <w:r w:rsidRPr="0014112B">
        <w:rPr>
          <w:lang w:val="de-DE"/>
        </w:rPr>
        <w:t>, sofern</w:t>
      </w:r>
      <w:r w:rsidRPr="00BB5519">
        <w:rPr>
          <w:lang w:val="de-DE"/>
        </w:rPr>
        <w:t xml:space="preserve"> dies notwendig ist, um die Sicherheits-, Speicher-, Leistungsverbesserungs- und Systemverwaltung auf einem Clusterknoten zur Unterstützung der geclusterten HPC-Anwendungen zu ermöglichen.</w:t>
      </w:r>
      <w:r w:rsidRPr="00BB5519">
        <w:rPr>
          <w:rFonts w:eastAsia="Calibri" w:cs="Tahoma"/>
          <w:szCs w:val="18"/>
          <w:lang w:val="de-DE"/>
        </w:rPr>
        <w:t xml:space="preserve"> Zusätzliche Informationen finden Sie in den Produktbenutzungsrechten.</w:t>
      </w:r>
      <w:bookmarkStart w:id="1581" w:name="Srv_1120WinSvr08R2Enterprise"/>
    </w:p>
    <w:p w:rsidR="008C2FF8" w:rsidRDefault="008C2FF8" w:rsidP="008C2FF8">
      <w:pPr>
        <w:contextualSpacing/>
        <w:rPr>
          <w:lang w:val="de-DE"/>
        </w:rPr>
      </w:pPr>
    </w:p>
    <w:p w:rsidR="00056205" w:rsidRPr="00BB5519" w:rsidRDefault="00056205" w:rsidP="008C2FF8">
      <w:pPr>
        <w:contextualSpacing/>
        <w:rPr>
          <w:lang w:val="de-DE"/>
        </w:rPr>
      </w:pPr>
    </w:p>
    <w:p w:rsidR="006D0B36" w:rsidRPr="00BB5519" w:rsidRDefault="00F66FB0" w:rsidP="00056205">
      <w:pPr>
        <w:pStyle w:val="Heading3"/>
        <w:rPr>
          <w:lang w:val="de-DE"/>
        </w:rPr>
      </w:pPr>
      <w:bookmarkStart w:id="1582" w:name="_97_Windows_Server"/>
      <w:bookmarkStart w:id="1583" w:name="_98_Windows_Server"/>
      <w:bookmarkStart w:id="1584" w:name="_104_Windows_Server"/>
      <w:bookmarkStart w:id="1585" w:name="_Toc336338370"/>
      <w:bookmarkStart w:id="1586" w:name="_Toc354055059"/>
      <w:bookmarkStart w:id="1587" w:name="Srv_116WinSvr08R2Enterprise"/>
      <w:bookmarkStart w:id="1588" w:name="Srv_100WinSvr08R2Enterprise"/>
      <w:bookmarkEnd w:id="1582"/>
      <w:bookmarkEnd w:id="1583"/>
      <w:bookmarkEnd w:id="1584"/>
      <w:r w:rsidRPr="00BB5519">
        <w:rPr>
          <w:rFonts w:ascii="Tahoma" w:hAnsi="Tahoma"/>
          <w:caps/>
          <w:color w:val="F66400"/>
          <w:sz w:val="22"/>
          <w:vertAlign w:val="superscript"/>
          <w:lang w:val="de-DE"/>
        </w:rPr>
        <w:t>104</w:t>
      </w:r>
      <w:r w:rsidRPr="00BB5519">
        <w:rPr>
          <w:rFonts w:ascii="Tahoma" w:hAnsi="Tahoma"/>
          <w:color w:val="F66400"/>
          <w:sz w:val="22"/>
          <w:lang w:val="de-DE"/>
        </w:rPr>
        <w:t xml:space="preserve"> Windows Server 2008 R2 Enterprise</w:t>
      </w:r>
      <w:bookmarkEnd w:id="1585"/>
      <w:bookmarkEnd w:id="1586"/>
      <w:r w:rsidRPr="00BB5519">
        <w:rPr>
          <w:rFonts w:ascii="Tahoma" w:hAnsi="Tahoma"/>
          <w:color w:val="F66400"/>
          <w:sz w:val="22"/>
          <w:lang w:val="de-DE"/>
        </w:rPr>
        <w:t xml:space="preserve"> </w:t>
      </w:r>
      <w:bookmarkEnd w:id="1587"/>
    </w:p>
    <w:bookmarkEnd w:id="1581"/>
    <w:bookmarkEnd w:id="1588"/>
    <w:p w:rsidR="00156AE7" w:rsidRPr="00BB5519" w:rsidRDefault="00156AE7" w:rsidP="008C2FF8">
      <w:pPr>
        <w:ind w:left="900"/>
        <w:rPr>
          <w:lang w:val="de-DE"/>
        </w:rPr>
      </w:pPr>
    </w:p>
    <w:p w:rsidR="00171927" w:rsidRPr="00BB5519" w:rsidRDefault="00156AE7" w:rsidP="00E30AB2">
      <w:pPr>
        <w:spacing w:after="40"/>
        <w:ind w:left="720"/>
        <w:rPr>
          <w:lang w:val="de-DE"/>
        </w:rPr>
      </w:pPr>
      <w:r w:rsidRPr="00BB5519">
        <w:rPr>
          <w:b/>
          <w:color w:val="000000"/>
          <w:lang w:val="de-DE"/>
        </w:rPr>
        <w:t>Lizenzgewährungen im Zusammenhang mit dem Ende der Lebensdauer von Windows Server Enterprise</w:t>
      </w:r>
    </w:p>
    <w:p w:rsidR="00156AE7" w:rsidRPr="00BB5519" w:rsidRDefault="00156AE7" w:rsidP="008C2FF8">
      <w:pPr>
        <w:ind w:left="720"/>
        <w:rPr>
          <w:lang w:val="de-DE"/>
        </w:rPr>
      </w:pPr>
      <w:r w:rsidRPr="00BB5519">
        <w:rPr>
          <w:color w:val="000000"/>
          <w:lang w:val="de-DE"/>
        </w:rPr>
        <w:t>Windows Server 2008 R2 ist die letzte Version von Windows Server Enterprise.</w:t>
      </w:r>
      <w:r w:rsidR="009E4976" w:rsidRPr="00BB5519">
        <w:rPr>
          <w:color w:val="000000"/>
          <w:lang w:val="de-DE"/>
        </w:rPr>
        <w:t xml:space="preserve"> </w:t>
      </w:r>
      <w:r w:rsidRPr="00BB5519">
        <w:rPr>
          <w:color w:val="000000"/>
          <w:lang w:val="de-DE"/>
        </w:rPr>
        <w:t xml:space="preserve">Volumenlizenzkunden, die am 1. September 2012 oder am Datum der ersten Verfügbarkeit von Windows Server 2012 zum Download im Volume Licensing Service Center, wobei das frühere Datum maßgeblich ist, über aktive Software Assurance für Windows Server 2008 R2 Enterprise-Lizenzen verfügen („Qualifizierende Lizenzen“), </w:t>
      </w:r>
      <w:r w:rsidRPr="00BB5519">
        <w:rPr>
          <w:rFonts w:eastAsia="Calibri" w:cs="Tahoma"/>
          <w:szCs w:val="18"/>
          <w:lang w:val="de-DE"/>
        </w:rPr>
        <w:t>sind berechtigt, auf die Software Windows Server 2012 Standard upzugraden und sie anstelle von Windows Server 2008 R2 Enterprise zu verwenden. Um dieses Upgrade zu erleichtern, wird angenommen, dass dem Kunden bei Verfügbarkeit von Windows Server 2012 für jede Qualifizierende Lizenz, die der Kunde besitzt, Folgendes gewährt wird:</w:t>
      </w:r>
    </w:p>
    <w:p w:rsidR="00171927" w:rsidRPr="00BB5519" w:rsidRDefault="00171927" w:rsidP="00171927">
      <w:pPr>
        <w:spacing w:after="60"/>
        <w:ind w:left="720"/>
        <w:rPr>
          <w:lang w:val="de-DE"/>
        </w:rPr>
      </w:pPr>
    </w:p>
    <w:p w:rsidR="00156AE7" w:rsidRPr="00BB5519" w:rsidRDefault="00156AE7" w:rsidP="00E30AB2">
      <w:pPr>
        <w:numPr>
          <w:ilvl w:val="0"/>
          <w:numId w:val="66"/>
        </w:numPr>
        <w:spacing w:after="40"/>
        <w:ind w:left="1440"/>
        <w:rPr>
          <w:lang w:val="de-DE"/>
        </w:rPr>
      </w:pPr>
      <w:r w:rsidRPr="00BB5519">
        <w:rPr>
          <w:rFonts w:eastAsia="Calibri" w:cs="Tahoma"/>
          <w:szCs w:val="18"/>
          <w:lang w:val="de-DE"/>
        </w:rPr>
        <w:t>Zwei Windows Server 2012 Standard-Lizenzen ODER</w:t>
      </w:r>
    </w:p>
    <w:p w:rsidR="00156AE7" w:rsidRPr="00BB5519" w:rsidRDefault="00156AE7" w:rsidP="00E30AB2">
      <w:pPr>
        <w:numPr>
          <w:ilvl w:val="0"/>
          <w:numId w:val="66"/>
        </w:numPr>
        <w:spacing w:after="40"/>
        <w:ind w:left="1440"/>
      </w:pPr>
      <w:r w:rsidRPr="00BB5519">
        <w:rPr>
          <w:rFonts w:eastAsia="Calibri" w:cs="Tahoma"/>
          <w:szCs w:val="18"/>
          <w:lang w:val="de-DE"/>
        </w:rPr>
        <w:t>Drei bei Qualifizierenden Lizenzen, die mit SA erworben oder zwischen dem 1. </w:t>
      </w:r>
      <w:r w:rsidRPr="00BB5519">
        <w:rPr>
          <w:rFonts w:eastAsia="Calibri" w:cs="Tahoma"/>
          <w:szCs w:val="18"/>
        </w:rPr>
        <w:t>April 2012 und dem 31. August 2012 verlängert wurden, ODER</w:t>
      </w:r>
    </w:p>
    <w:p w:rsidR="00156AE7" w:rsidRPr="00BB5519" w:rsidRDefault="00156AE7" w:rsidP="00E30AB2">
      <w:pPr>
        <w:numPr>
          <w:ilvl w:val="0"/>
          <w:numId w:val="66"/>
        </w:numPr>
        <w:spacing w:after="40"/>
        <w:ind w:left="1440"/>
        <w:rPr>
          <w:lang w:val="de-DE"/>
        </w:rPr>
      </w:pPr>
      <w:r w:rsidRPr="00BB5519">
        <w:rPr>
          <w:rFonts w:eastAsia="Calibri" w:cs="Tahoma"/>
          <w:szCs w:val="18"/>
          <w:lang w:val="de-DE"/>
        </w:rPr>
        <w:t>Vier Windows Server 20123 Standard-Lizenzen, wenn die tatsächliche Anzahl physischer Prozessoren auf dem Server, dem die Qualifizierende Lizenz zugewiesen ist, vier übersteigt. (In diesen Fällen müssen Kunden die Konfiguration der physischen Hardware dokumentieren, die diese Software vor Ablauf von Software Assurance für die Qualifizierenden Lizenzen unter dem aktuellen Vertrag unterstützt, entweder mit dem Microsoft MAP-Tool oder einer gleichwertigen Software. Diese Gewährung ist nur für eine Qualifizierende Lizenz pro Server verfügbar.)</w:t>
      </w:r>
    </w:p>
    <w:p w:rsidR="00156AE7" w:rsidRPr="00E30AB2" w:rsidRDefault="00156AE7" w:rsidP="00E30AB2">
      <w:pPr>
        <w:numPr>
          <w:ilvl w:val="0"/>
          <w:numId w:val="66"/>
        </w:numPr>
        <w:spacing w:after="40"/>
        <w:ind w:left="1440"/>
        <w:rPr>
          <w:spacing w:val="-2"/>
          <w:lang w:val="de-DE"/>
        </w:rPr>
      </w:pPr>
      <w:r w:rsidRPr="00E30AB2">
        <w:rPr>
          <w:rFonts w:eastAsia="Calibri" w:cs="Tahoma"/>
          <w:spacing w:val="-2"/>
          <w:szCs w:val="18"/>
          <w:lang w:val="de-DE"/>
        </w:rPr>
        <w:t>Lizenzen, die im Rahmen dieser Gewährung erworben werden, umfassen Software Assurance.</w:t>
      </w:r>
      <w:r w:rsidR="009E4976" w:rsidRPr="00E30AB2">
        <w:rPr>
          <w:rFonts w:eastAsia="Calibri" w:cs="Tahoma"/>
          <w:spacing w:val="-2"/>
          <w:szCs w:val="18"/>
          <w:lang w:val="de-DE"/>
        </w:rPr>
        <w:t xml:space="preserve"> </w:t>
      </w:r>
      <w:r w:rsidRPr="00E30AB2">
        <w:rPr>
          <w:rFonts w:eastAsia="Calibri" w:cs="Tahoma"/>
          <w:spacing w:val="-2"/>
          <w:szCs w:val="18"/>
          <w:lang w:val="de-DE"/>
        </w:rPr>
        <w:t>Diese Software Assurance gilt bis zum Ablauf der Software Assurance für die Qualifizierenden Lizenzen.</w:t>
      </w:r>
    </w:p>
    <w:p w:rsidR="00156AE7" w:rsidRPr="00BB5519" w:rsidRDefault="00156AE7" w:rsidP="00E30AB2">
      <w:pPr>
        <w:numPr>
          <w:ilvl w:val="0"/>
          <w:numId w:val="66"/>
        </w:numPr>
        <w:spacing w:after="40"/>
        <w:ind w:left="1440"/>
        <w:rPr>
          <w:lang w:val="de-DE"/>
        </w:rPr>
      </w:pPr>
      <w:r w:rsidRPr="00BB5519">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r w:rsidR="009E4976" w:rsidRPr="00BB5519">
        <w:rPr>
          <w:rFonts w:eastAsia="Calibri" w:cs="Tahoma"/>
          <w:szCs w:val="18"/>
          <w:lang w:val="de-DE"/>
        </w:rPr>
        <w:t xml:space="preserve"> </w:t>
      </w:r>
    </w:p>
    <w:p w:rsidR="00156AE7" w:rsidRPr="00BB5519" w:rsidRDefault="00156AE7" w:rsidP="00E30AB2">
      <w:pPr>
        <w:numPr>
          <w:ilvl w:val="0"/>
          <w:numId w:val="66"/>
        </w:numPr>
        <w:spacing w:after="40"/>
        <w:ind w:left="1440"/>
        <w:rPr>
          <w:lang w:val="de-DE"/>
        </w:rPr>
      </w:pPr>
      <w:r w:rsidRPr="00BB5519">
        <w:rPr>
          <w:rFonts w:eastAsia="Calibri" w:cs="Tahoma"/>
          <w:szCs w:val="18"/>
          <w:lang w:val="de-DE"/>
        </w:rPr>
        <w:t>Bei Upgrade auf Windows Server 2012 Standard unter dieser Gewährung sind die bestehenden Qualifizierenden Lizenzen für Windows Server Enterprise des Kunden nicht mehr gültig.</w:t>
      </w:r>
    </w:p>
    <w:p w:rsidR="00156AE7" w:rsidRPr="00BB5519" w:rsidRDefault="00156AE7" w:rsidP="00E30AB2">
      <w:pPr>
        <w:numPr>
          <w:ilvl w:val="0"/>
          <w:numId w:val="66"/>
        </w:numPr>
        <w:spacing w:after="40"/>
        <w:ind w:left="1440"/>
        <w:rPr>
          <w:lang w:val="de-DE"/>
        </w:rPr>
      </w:pPr>
      <w:r w:rsidRPr="00BB5519">
        <w:rPr>
          <w:rFonts w:eastAsia="Calibri" w:cs="Tahoma"/>
          <w:szCs w:val="18"/>
          <w:lang w:val="de-DE"/>
        </w:rPr>
        <w:t>Windows Server 2008 R2 Enterprise-Lizenzen,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r w:rsidR="009E4976" w:rsidRPr="00BB5519">
        <w:rPr>
          <w:rFonts w:eastAsia="Calibri" w:cs="Tahoma"/>
          <w:szCs w:val="18"/>
          <w:lang w:val="de-DE"/>
        </w:rPr>
        <w:t xml:space="preserve"> </w:t>
      </w:r>
    </w:p>
    <w:p w:rsidR="00156AE7" w:rsidRPr="00BB5519" w:rsidRDefault="00156AE7" w:rsidP="00E30AB2">
      <w:pPr>
        <w:numPr>
          <w:ilvl w:val="0"/>
          <w:numId w:val="66"/>
        </w:numPr>
        <w:spacing w:after="40"/>
        <w:ind w:left="1440"/>
        <w:rPr>
          <w:lang w:val="de-DE"/>
        </w:rPr>
      </w:pPr>
      <w:r w:rsidRPr="00BB5519">
        <w:rPr>
          <w:rFonts w:eastAsia="Calibri" w:cs="Tahoma"/>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EF1978" w:rsidRPr="00BB5519" w:rsidRDefault="00F66FB0" w:rsidP="00EF2279">
      <w:pPr>
        <w:rPr>
          <w:lang w:val="de-DE"/>
        </w:rPr>
      </w:pPr>
      <w:bookmarkStart w:id="1589" w:name="Srv_1102WinSvr08R2Itanium"/>
      <w:bookmarkStart w:id="1590" w:name="_Toc336338371"/>
      <w:bookmarkStart w:id="1591" w:name="_Toc354055060"/>
      <w:bookmarkStart w:id="1592" w:name="Srv_1132WinSvr08R2Itanium"/>
      <w:bookmarkStart w:id="1593" w:name="Srv_117WinSvr08R2Itanium"/>
      <w:bookmarkStart w:id="1594" w:name="Srv_98WinSvr08StdandHyperV"/>
      <w:bookmarkStart w:id="1595" w:name="Srv_99WinSvr08StdandHyperV"/>
      <w:r w:rsidRPr="00BB5519">
        <w:rPr>
          <w:rStyle w:val="Heading3Char"/>
          <w:rFonts w:ascii="Tahoma" w:hAnsi="Tahoma"/>
          <w:caps/>
          <w:color w:val="F66400"/>
          <w:sz w:val="22"/>
          <w:vertAlign w:val="superscript"/>
          <w:lang w:val="de-DE"/>
        </w:rPr>
        <w:lastRenderedPageBreak/>
        <w:t>105</w:t>
      </w:r>
      <w:r w:rsidRPr="00BB5519">
        <w:rPr>
          <w:rStyle w:val="Heading3Char"/>
          <w:rFonts w:ascii="Tahoma" w:hAnsi="Tahoma"/>
          <w:color w:val="F66400"/>
          <w:sz w:val="22"/>
          <w:lang w:val="de-DE"/>
        </w:rPr>
        <w:t xml:space="preserve"> Windows Server 2008 R2 für Itanium-basierte Systeme</w:t>
      </w:r>
      <w:bookmarkEnd w:id="1589"/>
      <w:bookmarkEnd w:id="1590"/>
      <w:bookmarkEnd w:id="1591"/>
    </w:p>
    <w:bookmarkEnd w:id="1592"/>
    <w:bookmarkEnd w:id="1593"/>
    <w:p w:rsidR="00376D4B" w:rsidRPr="00BB5519" w:rsidRDefault="00376D4B" w:rsidP="007E3162">
      <w:pPr>
        <w:ind w:left="360"/>
        <w:rPr>
          <w:lang w:val="de-DE"/>
        </w:rPr>
      </w:pPr>
    </w:p>
    <w:p w:rsidR="007E3162" w:rsidRPr="00BB5519" w:rsidRDefault="006533DF" w:rsidP="00A362A4">
      <w:pPr>
        <w:spacing w:after="40"/>
        <w:ind w:left="720"/>
        <w:rPr>
          <w:lang w:val="de-DE"/>
        </w:rPr>
      </w:pPr>
      <w:r w:rsidRPr="00BB5519">
        <w:rPr>
          <w:b/>
          <w:color w:val="000000"/>
          <w:lang w:val="de-DE"/>
        </w:rPr>
        <w:t>Lizenzgewährungen im Zusammenhang mit dem Ende der Lebensdauer von Windows Server für Itanium-basierte Systeme</w:t>
      </w:r>
    </w:p>
    <w:p w:rsidR="006533DF" w:rsidRPr="00BB5519" w:rsidRDefault="006533DF" w:rsidP="007E3162">
      <w:pPr>
        <w:ind w:left="720"/>
        <w:rPr>
          <w:lang w:val="de-DE"/>
        </w:rPr>
      </w:pPr>
      <w:r w:rsidRPr="00BB5519">
        <w:rPr>
          <w:color w:val="000000"/>
          <w:lang w:val="de-DE"/>
        </w:rPr>
        <w:t>Windows Server 2008 R2 ist die letzte Version von Windows Server für Itanium-basierte Systeme.</w:t>
      </w:r>
      <w:r w:rsidR="009E4976" w:rsidRPr="00BB5519">
        <w:rPr>
          <w:color w:val="000000"/>
          <w:lang w:val="de-DE"/>
        </w:rPr>
        <w:t xml:space="preserve"> </w:t>
      </w:r>
      <w:r w:rsidRPr="00BB5519">
        <w:rPr>
          <w:color w:val="000000"/>
          <w:lang w:val="de-DE"/>
        </w:rPr>
        <w:t>Volumenlizenzkunden, die am 1. September 2012 oder am Datum der ersten Verfügbarkeit von Windows Server 2012 zum Download im Volume Licensing Service Center, wobei das frühere Datum maßgeblich ist, über aktive Software Assurance für Lizenzen für Windows Server 2008 R2 für Itanium-basierte Systeme verfügen, („Qualifizierende Lizenzen“) sind berechtigt,</w:t>
      </w:r>
      <w:r w:rsidRPr="00BB5519">
        <w:rPr>
          <w:rFonts w:eastAsia="Calibri" w:cs="Tahoma"/>
          <w:szCs w:val="18"/>
          <w:lang w:val="de-DE"/>
        </w:rPr>
        <w:t xml:space="preserve"> auf die Software Windows Server 2012 Datacenter upzugraden und sie anstelle von Windows Server 2008 R2 für Itanium-basierte Systeme zu verwenden. Um dieses Upgrade zu erleichtern, wird angenommen, dass dem Kunden bei Verfügbarkeit von Windows Server 2012 für jeweils zwei Qualifizierende Lizenzen, die der Kunde besitzt, eine Windows Server 2012 Datacenter-Prozessorlizenz gewährt wird. </w:t>
      </w:r>
    </w:p>
    <w:p w:rsidR="007E3162" w:rsidRPr="00BB5519" w:rsidRDefault="007E3162" w:rsidP="007E3162">
      <w:pPr>
        <w:ind w:left="720"/>
        <w:rPr>
          <w:lang w:val="de-DE"/>
        </w:rPr>
      </w:pPr>
    </w:p>
    <w:p w:rsidR="006533DF" w:rsidRPr="00BB5519" w:rsidRDefault="006533DF" w:rsidP="00A362A4">
      <w:pPr>
        <w:numPr>
          <w:ilvl w:val="0"/>
          <w:numId w:val="70"/>
        </w:numPr>
        <w:tabs>
          <w:tab w:val="clear" w:pos="360"/>
          <w:tab w:val="num" w:pos="1440"/>
        </w:tabs>
        <w:spacing w:after="40"/>
        <w:ind w:left="1440"/>
        <w:rPr>
          <w:lang w:val="de-DE"/>
        </w:rPr>
      </w:pPr>
      <w:r w:rsidRPr="00BB5519">
        <w:rPr>
          <w:color w:val="000000"/>
          <w:lang w:val="de-DE"/>
        </w:rPr>
        <w:t>Wenn ein Kunde über eine ungerade Anzahl von Qualifizierenden Lizenzen verfügt, muss der Kunde auf die nächste gerade Zahl abrunden, um festzustellen, wie viele Lizenzen ihm gewährt werden.</w:t>
      </w:r>
      <w:r w:rsidR="009E4976" w:rsidRPr="00BB5519">
        <w:rPr>
          <w:color w:val="000000"/>
          <w:lang w:val="de-DE"/>
        </w:rPr>
        <w:t xml:space="preserve"> </w:t>
      </w:r>
      <w:r w:rsidRPr="00BB5519">
        <w:rPr>
          <w:color w:val="000000"/>
          <w:lang w:val="de-DE"/>
        </w:rPr>
        <w:t xml:space="preserve">Beispiel: Einem Kunden, der über drei Qualifizierende Lizenzen verfügt, wird insgesamt eine Windows Server 2012 Datacenter-Lizenz gewährt. </w:t>
      </w:r>
    </w:p>
    <w:p w:rsidR="006533DF" w:rsidRPr="00BB5519" w:rsidRDefault="006533DF" w:rsidP="00A362A4">
      <w:pPr>
        <w:pStyle w:val="ListParagraph"/>
        <w:numPr>
          <w:ilvl w:val="0"/>
          <w:numId w:val="70"/>
        </w:numPr>
        <w:tabs>
          <w:tab w:val="clear" w:pos="360"/>
          <w:tab w:val="num" w:pos="1440"/>
        </w:tabs>
        <w:spacing w:after="40"/>
        <w:ind w:left="1440"/>
        <w:contextualSpacing w:val="0"/>
        <w:rPr>
          <w:lang w:val="de-DE"/>
        </w:rPr>
      </w:pPr>
      <w:r w:rsidRPr="00BB5519">
        <w:rPr>
          <w:rFonts w:ascii="Tahoma" w:eastAsia="Calibri" w:hAnsi="Tahoma" w:cs="Tahoma"/>
          <w:sz w:val="18"/>
          <w:szCs w:val="18"/>
          <w:lang w:val="de-DE"/>
        </w:rPr>
        <w:t>Lizenzen, die im Rahmen dieser Gewährung erworben werden, umfassen Software Assurance.</w:t>
      </w:r>
      <w:r w:rsidR="009E4976" w:rsidRPr="00BB5519">
        <w:rPr>
          <w:rFonts w:ascii="Tahoma" w:eastAsia="Calibri" w:hAnsi="Tahoma" w:cs="Tahoma"/>
          <w:sz w:val="18"/>
          <w:szCs w:val="18"/>
          <w:lang w:val="de-DE"/>
        </w:rPr>
        <w:t xml:space="preserve"> </w:t>
      </w:r>
      <w:r w:rsidRPr="00BB5519">
        <w:rPr>
          <w:rFonts w:ascii="Tahoma" w:eastAsia="Calibri" w:hAnsi="Tahoma" w:cs="Tahoma"/>
          <w:sz w:val="18"/>
          <w:szCs w:val="18"/>
          <w:lang w:val="de-DE"/>
        </w:rPr>
        <w:t>Diese Software Assurance gilt bis zum Ablauf der Software Assurance für die Qualifizierenden Lizenzen.</w:t>
      </w:r>
    </w:p>
    <w:p w:rsidR="006533DF" w:rsidRPr="00BB5519" w:rsidRDefault="006533DF" w:rsidP="00A362A4">
      <w:pPr>
        <w:pStyle w:val="ListParagraph"/>
        <w:numPr>
          <w:ilvl w:val="0"/>
          <w:numId w:val="70"/>
        </w:numPr>
        <w:tabs>
          <w:tab w:val="clear" w:pos="360"/>
          <w:tab w:val="num" w:pos="1440"/>
        </w:tabs>
        <w:spacing w:after="40"/>
        <w:ind w:left="1440"/>
        <w:contextualSpacing w:val="0"/>
        <w:rPr>
          <w:lang w:val="de-DE"/>
        </w:rPr>
      </w:pPr>
      <w:r w:rsidRPr="00BB551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6533DF" w:rsidRPr="00BB5519" w:rsidRDefault="006533DF" w:rsidP="00A362A4">
      <w:pPr>
        <w:numPr>
          <w:ilvl w:val="0"/>
          <w:numId w:val="70"/>
        </w:numPr>
        <w:tabs>
          <w:tab w:val="clear" w:pos="360"/>
          <w:tab w:val="num" w:pos="1440"/>
        </w:tabs>
        <w:spacing w:after="40"/>
        <w:ind w:left="1440"/>
        <w:rPr>
          <w:lang w:val="de-DE"/>
        </w:rPr>
      </w:pPr>
      <w:r w:rsidRPr="00BB5519">
        <w:rPr>
          <w:rFonts w:eastAsia="Calibri" w:cs="Tahoma"/>
          <w:szCs w:val="18"/>
          <w:lang w:val="de-DE"/>
        </w:rPr>
        <w:t>Bei Upgrade auf Windows Server 2012 Datacenter unter dieser Gewährung sind die bestehenden Qualifizierenden Lizenzen für Windows Server 2008 R2 für Itanium-basierte Systeme des Kunden nicht mehr gültig.</w:t>
      </w:r>
    </w:p>
    <w:p w:rsidR="006533DF" w:rsidRPr="00BB5519" w:rsidRDefault="006533DF" w:rsidP="00A362A4">
      <w:pPr>
        <w:numPr>
          <w:ilvl w:val="0"/>
          <w:numId w:val="70"/>
        </w:numPr>
        <w:tabs>
          <w:tab w:val="clear" w:pos="360"/>
          <w:tab w:val="num" w:pos="1440"/>
        </w:tabs>
        <w:spacing w:after="40"/>
        <w:ind w:left="1440"/>
        <w:rPr>
          <w:lang w:val="de-DE"/>
        </w:rPr>
      </w:pPr>
      <w:r w:rsidRPr="00BB5519">
        <w:rPr>
          <w:color w:val="000000"/>
          <w:lang w:val="de-DE"/>
        </w:rPr>
        <w:t xml:space="preserve">Lizenzen für Windows Server 2008 R2 für Itanium-basierte Systeme, </w:t>
      </w:r>
      <w:r w:rsidRPr="00BB5519">
        <w:rPr>
          <w:rFonts w:cs="Tahoma"/>
          <w:bCs/>
          <w:color w:val="000000"/>
          <w:szCs w:val="18"/>
          <w:lang w:val="de-DE"/>
        </w:rPr>
        <w:t>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9E4976" w:rsidRPr="00BB5519">
        <w:rPr>
          <w:rFonts w:cs="Tahoma"/>
          <w:bCs/>
          <w:color w:val="000000"/>
          <w:szCs w:val="18"/>
          <w:lang w:val="de-DE"/>
        </w:rPr>
        <w:t xml:space="preserve"> </w:t>
      </w:r>
    </w:p>
    <w:p w:rsidR="006533DF" w:rsidRPr="00BB5519" w:rsidRDefault="006533DF" w:rsidP="00A362A4">
      <w:pPr>
        <w:numPr>
          <w:ilvl w:val="0"/>
          <w:numId w:val="70"/>
        </w:numPr>
        <w:tabs>
          <w:tab w:val="clear" w:pos="360"/>
          <w:tab w:val="num" w:pos="1440"/>
        </w:tabs>
        <w:spacing w:after="40"/>
        <w:ind w:left="1440"/>
        <w:rPr>
          <w:lang w:val="de-DE"/>
        </w:rPr>
      </w:pPr>
      <w:r w:rsidRPr="00BB5519">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D63C1B" w:rsidRPr="00BB5519" w:rsidRDefault="00D63C1B" w:rsidP="007E3162">
      <w:pPr>
        <w:rPr>
          <w:lang w:val="de-DE"/>
        </w:rPr>
      </w:pPr>
      <w:bookmarkStart w:id="1596" w:name="_117_Windows_Server"/>
      <w:bookmarkEnd w:id="1594"/>
      <w:bookmarkEnd w:id="1595"/>
      <w:bookmarkEnd w:id="1596"/>
    </w:p>
    <w:p w:rsidR="00586FCE" w:rsidRPr="00BB5519" w:rsidRDefault="00586FCE" w:rsidP="00EF2279">
      <w:pPr>
        <w:rPr>
          <w:lang w:val="de-DE"/>
        </w:rPr>
      </w:pPr>
    </w:p>
    <w:p w:rsidR="00FE1A01" w:rsidRPr="00BB5519" w:rsidRDefault="00F66FB0" w:rsidP="00EF2279">
      <w:pPr>
        <w:pStyle w:val="Heading3"/>
        <w:rPr>
          <w:lang w:val="de-DE"/>
        </w:rPr>
      </w:pPr>
      <w:bookmarkStart w:id="1597" w:name="_116_Windows_Server"/>
      <w:bookmarkStart w:id="1598" w:name="_106_CAL_für"/>
      <w:bookmarkStart w:id="1599" w:name="_Toc336338372"/>
      <w:bookmarkStart w:id="1600" w:name="_Toc354055061"/>
      <w:bookmarkStart w:id="1601" w:name="Srv_101Win2008RemoteCALandExtConn"/>
      <w:bookmarkStart w:id="1602" w:name="Srv_115Win2008RemoteCALandExtConn"/>
      <w:bookmarkStart w:id="1603" w:name="Srv_119Win2008RemoteCALandExtConn"/>
      <w:bookmarkStart w:id="1604" w:name="Srv_101WindowsSvr2008RemoteDesktop"/>
      <w:bookmarkEnd w:id="1597"/>
      <w:bookmarkEnd w:id="1598"/>
      <w:r w:rsidRPr="00BB5519">
        <w:rPr>
          <w:rStyle w:val="Heading3Char"/>
          <w:rFonts w:ascii="Tahoma" w:hAnsi="Tahoma"/>
          <w:b/>
          <w:caps/>
          <w:color w:val="F66400"/>
          <w:sz w:val="22"/>
          <w:vertAlign w:val="superscript"/>
          <w:lang w:val="de-DE"/>
        </w:rPr>
        <w:t xml:space="preserve">106 </w:t>
      </w:r>
      <w:r w:rsidRPr="00BB5519">
        <w:rPr>
          <w:rFonts w:ascii="Tahoma" w:hAnsi="Tahoma"/>
          <w:color w:val="F66400"/>
          <w:sz w:val="22"/>
          <w:lang w:val="de-DE"/>
        </w:rPr>
        <w:t>CAL für Windows Server 2012</w:t>
      </w:r>
      <w:bookmarkEnd w:id="1599"/>
      <w:bookmarkEnd w:id="1600"/>
    </w:p>
    <w:p w:rsidR="00FE1A01" w:rsidRPr="00BB5519" w:rsidRDefault="00FE1A01" w:rsidP="002A01C2">
      <w:pPr>
        <w:rPr>
          <w:lang w:val="de-DE"/>
        </w:rPr>
      </w:pPr>
    </w:p>
    <w:p w:rsidR="00FE1A01" w:rsidRPr="00BB5519" w:rsidRDefault="00FE1A01" w:rsidP="002A01C2">
      <w:pPr>
        <w:ind w:left="720"/>
        <w:rPr>
          <w:lang w:val="de-DE"/>
        </w:rPr>
      </w:pPr>
      <w:r w:rsidRPr="00BB5519">
        <w:rPr>
          <w:rFonts w:cs="Tahoma"/>
          <w:szCs w:val="18"/>
          <w:lang w:val="de-DE"/>
        </w:rPr>
        <w:t>CAL für Windows Server 2012 ist die nächste Version von CAL für Windows Server 2008.</w:t>
      </w:r>
    </w:p>
    <w:p w:rsidR="002A01C2" w:rsidRPr="00BB5519" w:rsidRDefault="002A01C2" w:rsidP="002A01C2">
      <w:pPr>
        <w:ind w:left="720"/>
        <w:rPr>
          <w:lang w:val="de-DE"/>
        </w:rPr>
      </w:pPr>
    </w:p>
    <w:p w:rsidR="002A01C2" w:rsidRPr="00BB5519" w:rsidRDefault="00FE1A01" w:rsidP="00A362A4">
      <w:pPr>
        <w:spacing w:after="40"/>
        <w:ind w:left="720"/>
        <w:rPr>
          <w:lang w:val="de-DE"/>
        </w:rPr>
      </w:pPr>
      <w:r w:rsidRPr="00BB5519">
        <w:rPr>
          <w:rFonts w:eastAsia="Calibri" w:cs="Tahoma"/>
          <w:b/>
          <w:szCs w:val="18"/>
          <w:lang w:val="de-DE"/>
        </w:rPr>
        <w:t>Verwendung von Windows Server 2012 als Webserver</w:t>
      </w:r>
    </w:p>
    <w:p w:rsidR="00FE1A01" w:rsidRPr="00BB5519" w:rsidRDefault="00FE1A01" w:rsidP="002A01C2">
      <w:pPr>
        <w:ind w:left="720"/>
        <w:rPr>
          <w:lang w:val="de-DE"/>
        </w:rPr>
      </w:pPr>
      <w:r w:rsidRPr="00BB5519">
        <w:rPr>
          <w:rFonts w:cs="Tahoma"/>
          <w:color w:val="000000"/>
          <w:szCs w:val="18"/>
          <w:lang w:val="de-DE"/>
        </w:rPr>
        <w:t>Wenn Windows Server 2012 Standard oder Datacenter als Webserver verwendet wird, benötigen Sie keine CALs für den Zugriff auf die Software. Eine „Web Workload“ bedeutet Folgendes:</w:t>
      </w:r>
    </w:p>
    <w:p w:rsidR="002A01C2" w:rsidRPr="00BB5519" w:rsidRDefault="002A01C2" w:rsidP="002A01C2">
      <w:pPr>
        <w:pStyle w:val="PURBody-Indented"/>
        <w:spacing w:after="0"/>
        <w:ind w:left="720"/>
        <w:rPr>
          <w:lang w:val="de-DE"/>
        </w:rPr>
      </w:pPr>
    </w:p>
    <w:p w:rsidR="002A01C2" w:rsidRPr="00BB5519" w:rsidRDefault="006707A3" w:rsidP="00A362A4">
      <w:pPr>
        <w:pStyle w:val="PURBody-Indented"/>
        <w:spacing w:after="40"/>
        <w:ind w:left="720"/>
        <w:rPr>
          <w:lang w:val="de-DE"/>
        </w:rPr>
      </w:pPr>
      <w:r w:rsidRPr="00BB5519">
        <w:rPr>
          <w:rFonts w:ascii="Tahoma" w:hAnsi="Tahoma" w:cs="Tahoma"/>
          <w:b/>
          <w:bCs/>
          <w:sz w:val="18"/>
          <w:szCs w:val="18"/>
          <w:lang w:val="de-DE"/>
        </w:rPr>
        <w:t>Web Workload</w:t>
      </w:r>
      <w:r w:rsidRPr="00BB5519">
        <w:rPr>
          <w:rFonts w:ascii="Tahoma" w:hAnsi="Tahoma" w:cs="Tahoma"/>
          <w:b/>
          <w:sz w:val="18"/>
          <w:szCs w:val="18"/>
          <w:lang w:val="de-DE"/>
        </w:rPr>
        <w:t xml:space="preserve"> (Internet-Weblösungen)</w:t>
      </w:r>
    </w:p>
    <w:p w:rsidR="006707A3" w:rsidRPr="00BB5519" w:rsidRDefault="006707A3" w:rsidP="002A01C2">
      <w:pPr>
        <w:pStyle w:val="PURBody-Indented"/>
        <w:spacing w:after="0"/>
        <w:ind w:left="720"/>
        <w:rPr>
          <w:lang w:val="de-DE"/>
        </w:rPr>
      </w:pPr>
      <w:r w:rsidRPr="00BB5519">
        <w:rPr>
          <w:rFonts w:ascii="Tahoma" w:hAnsi="Tahoma" w:cs="Tahoma"/>
          <w:sz w:val="18"/>
          <w:szCs w:val="18"/>
          <w:lang w:val="de-DE"/>
        </w:rPr>
        <w:t xml:space="preserve">„Internet-Weblösungen“ sind öffentlich zugänglich und bestehen ausschließlich aus Webseiten, Websites, Webanwendungen, Webdiensten und/oder POP3-Mailservern. Aus Gründen der Deutlichkeit sei gesagt, dass der Zugriff auf Inhalte, Informationen und Anwendungen, die durch die Software innerhalb einer Internet-Weblösung bereitgestellt werden, nicht auf Ihre Mitarbeiter oder die Mitarbeiter Ihrer verbundenen Unternehmen beschränkt ist. </w:t>
      </w:r>
    </w:p>
    <w:p w:rsidR="002A01C2" w:rsidRPr="00BB5519" w:rsidRDefault="002A01C2" w:rsidP="002A01C2">
      <w:pPr>
        <w:pStyle w:val="PURBody-Indented"/>
        <w:spacing w:after="0"/>
        <w:ind w:firstLine="450"/>
        <w:rPr>
          <w:lang w:val="de-DE"/>
        </w:rPr>
      </w:pPr>
    </w:p>
    <w:p w:rsidR="006707A3" w:rsidRPr="00BB5519" w:rsidRDefault="006707A3" w:rsidP="002A01C2">
      <w:pPr>
        <w:pStyle w:val="PURBody-Indented"/>
        <w:spacing w:after="0"/>
        <w:ind w:firstLine="450"/>
        <w:rPr>
          <w:lang w:val="de-DE"/>
        </w:rPr>
      </w:pPr>
      <w:r w:rsidRPr="00BB5519">
        <w:rPr>
          <w:rFonts w:ascii="Tahoma" w:hAnsi="Tahoma" w:cs="Tahoma"/>
          <w:sz w:val="18"/>
          <w:szCs w:val="18"/>
          <w:lang w:val="de-DE"/>
        </w:rPr>
        <w:t>Sie dürfen die Software in „Internet-Weblösungen“ zur Ausführung von Folgendem verwenden:</w:t>
      </w:r>
    </w:p>
    <w:p w:rsidR="002A01C2" w:rsidRPr="00BB5519" w:rsidRDefault="002A01C2" w:rsidP="002A01C2">
      <w:pPr>
        <w:pStyle w:val="PURBody-Indented"/>
        <w:spacing w:after="0"/>
        <w:ind w:firstLine="450"/>
        <w:rPr>
          <w:lang w:val="de-DE"/>
        </w:rPr>
      </w:pPr>
    </w:p>
    <w:p w:rsidR="006707A3" w:rsidRPr="00BB5519" w:rsidRDefault="006707A3" w:rsidP="002A01C2">
      <w:pPr>
        <w:pStyle w:val="PURBullet-Indented"/>
        <w:numPr>
          <w:ilvl w:val="0"/>
          <w:numId w:val="148"/>
        </w:numPr>
        <w:spacing w:after="60" w:line="240" w:lineRule="auto"/>
        <w:ind w:left="1440" w:hanging="360"/>
        <w:contextualSpacing w:val="0"/>
        <w:rPr>
          <w:lang w:val="de-DE"/>
        </w:rPr>
      </w:pPr>
      <w:r w:rsidRPr="00BB5519">
        <w:rPr>
          <w:rFonts w:ascii="Tahoma" w:hAnsi="Tahoma" w:cs="Tahoma"/>
          <w:sz w:val="18"/>
          <w:szCs w:val="18"/>
          <w:lang w:val="de-DE"/>
        </w:rPr>
        <w:t>Webserver-Software (z. B. Microsoft-Internetinformationsdienste) und Management oder Security Agents (z. B. den System Center Operations Manager-Agent)</w:t>
      </w:r>
    </w:p>
    <w:p w:rsidR="006707A3" w:rsidRPr="00BB5519" w:rsidRDefault="006707A3" w:rsidP="002A01C2">
      <w:pPr>
        <w:pStyle w:val="PURBullet-Indented"/>
        <w:numPr>
          <w:ilvl w:val="0"/>
          <w:numId w:val="148"/>
        </w:numPr>
        <w:spacing w:after="60" w:line="240" w:lineRule="auto"/>
        <w:ind w:left="1440" w:hanging="360"/>
        <w:contextualSpacing w:val="0"/>
        <w:rPr>
          <w:lang w:val="de-DE"/>
        </w:rPr>
      </w:pPr>
      <w:r w:rsidRPr="00BB5519">
        <w:rPr>
          <w:rFonts w:ascii="Tahoma" w:hAnsi="Tahoma" w:cs="Tahoma"/>
          <w:sz w:val="18"/>
          <w:szCs w:val="18"/>
          <w:lang w:val="de-DE"/>
        </w:rPr>
        <w:lastRenderedPageBreak/>
        <w:t xml:space="preserve">Datenbankmodulsoftware (z. B. Microsoft SQL Server) ausschließlich zur Unterstützung von Internet-Weblösungen </w:t>
      </w:r>
    </w:p>
    <w:p w:rsidR="006707A3" w:rsidRPr="00BB5519" w:rsidRDefault="006707A3" w:rsidP="002A01C2">
      <w:pPr>
        <w:pStyle w:val="PURBullet-Indented"/>
        <w:numPr>
          <w:ilvl w:val="0"/>
          <w:numId w:val="148"/>
        </w:numPr>
        <w:spacing w:after="60" w:line="240" w:lineRule="auto"/>
        <w:ind w:left="1440" w:hanging="360"/>
        <w:contextualSpacing w:val="0"/>
        <w:rPr>
          <w:lang w:val="de-DE"/>
        </w:rPr>
      </w:pPr>
      <w:r w:rsidRPr="00BB5519">
        <w:rPr>
          <w:rFonts w:ascii="Tahoma" w:hAnsi="Tahoma" w:cs="Tahoma"/>
          <w:sz w:val="18"/>
          <w:szCs w:val="18"/>
          <w:lang w:val="de-DE"/>
        </w:rPr>
        <w:t>der Domain Name System (DNS)-Dienst zur Auflösung von Internetnamen in IP-Adressen, sofern es sich hierbei nicht um die einzige Funktion dieser Instanz der Software handelt.</w:t>
      </w:r>
    </w:p>
    <w:p w:rsidR="000D5F24" w:rsidRPr="00BB5519" w:rsidRDefault="000D5F24">
      <w:pPr>
        <w:rPr>
          <w:lang w:val="de-DE"/>
        </w:rPr>
      </w:pPr>
    </w:p>
    <w:p w:rsidR="002A01C2" w:rsidRPr="00BB5519" w:rsidRDefault="00FE1A01" w:rsidP="002A01C2">
      <w:pPr>
        <w:spacing w:after="60"/>
        <w:ind w:left="720"/>
        <w:rPr>
          <w:lang w:val="de-DE"/>
        </w:rPr>
      </w:pPr>
      <w:r w:rsidRPr="00BB5519">
        <w:rPr>
          <w:rFonts w:eastAsia="Calibri" w:cs="Tahoma"/>
          <w:b/>
          <w:szCs w:val="18"/>
          <w:lang w:val="de-DE"/>
        </w:rPr>
        <w:t>Verwenden von Windows Server 2012 für High Performance Computing (HPC)</w:t>
      </w:r>
    </w:p>
    <w:p w:rsidR="00376D4B" w:rsidRPr="00BB5519" w:rsidRDefault="00FE1A01" w:rsidP="004D1715">
      <w:pPr>
        <w:ind w:left="720"/>
        <w:rPr>
          <w:lang w:val="de-DE"/>
        </w:rPr>
      </w:pPr>
      <w:r w:rsidRPr="00BB5519">
        <w:rPr>
          <w:color w:val="000000"/>
          <w:lang w:val="de-DE"/>
        </w:rPr>
        <w:t>Wenn Windows Server 2012 Standard oder Datacenter für High Performance Computing verwendet wird, benötigen Sie keine CALs für den Zugriff auf die Software. Eine „High Performance Computing (</w:t>
      </w:r>
      <w:r w:rsidR="004D1715">
        <w:rPr>
          <w:color w:val="000000"/>
          <w:lang w:val="de-DE"/>
        </w:rPr>
        <w:t>„</w:t>
      </w:r>
      <w:r w:rsidRPr="00BB5519">
        <w:rPr>
          <w:color w:val="000000"/>
          <w:lang w:val="de-DE"/>
        </w:rPr>
        <w:t>HPC”) Workload“ ist eine Workload, bei der die Serversoftware zur Ausführung eines Clusterknotens verwendet wird und in Verbindung mit anderer Software genutzt wird, sofern dies notwendig ist, um die Sicherheits-, Speicher-, Leistungsverbesserungs- und Systemverwaltung auf einem Clusterknoten zur Unterstützung der geclusterten HPC-Anwendungen zu ermöglichen. Zusätzliche Informationen finden Sie in den Produktbenutzungsrechten.</w:t>
      </w:r>
      <w:bookmarkEnd w:id="1601"/>
      <w:bookmarkEnd w:id="1602"/>
      <w:bookmarkEnd w:id="1603"/>
    </w:p>
    <w:p w:rsidR="00376D4B" w:rsidRPr="00BB5519" w:rsidRDefault="00376D4B" w:rsidP="002A01C2">
      <w:pPr>
        <w:pStyle w:val="ListParagraph"/>
        <w:ind w:left="0"/>
        <w:contextualSpacing w:val="0"/>
        <w:rPr>
          <w:lang w:val="de-DE"/>
        </w:rPr>
      </w:pPr>
    </w:p>
    <w:p w:rsidR="00F745E1" w:rsidRPr="00BB5519" w:rsidRDefault="00F745E1" w:rsidP="002A01C2">
      <w:pPr>
        <w:rPr>
          <w:lang w:val="de-DE"/>
        </w:rPr>
      </w:pPr>
    </w:p>
    <w:p w:rsidR="00F745E1" w:rsidRPr="00BB5519" w:rsidRDefault="00F66FB0" w:rsidP="00F745E1">
      <w:pPr>
        <w:pStyle w:val="Heading3"/>
        <w:ind w:left="360" w:hanging="360"/>
        <w:rPr>
          <w:lang w:val="de-DE"/>
        </w:rPr>
      </w:pPr>
      <w:bookmarkStart w:id="1605" w:name="_114_Windows_Server"/>
      <w:bookmarkStart w:id="1606" w:name="_107_Windows_Server"/>
      <w:bookmarkStart w:id="1607" w:name="_Toc336338373"/>
      <w:bookmarkStart w:id="1608" w:name="_Toc354055062"/>
      <w:bookmarkStart w:id="1609" w:name="Srv_111WinSvr08R2Datacenter"/>
      <w:bookmarkStart w:id="1610" w:name="Srv_115WinSvr08R2Datacenter"/>
      <w:bookmarkEnd w:id="1605"/>
      <w:bookmarkEnd w:id="1606"/>
      <w:r w:rsidRPr="00BB5519">
        <w:rPr>
          <w:rFonts w:ascii="Tahoma" w:hAnsi="Tahoma"/>
          <w:caps/>
          <w:color w:val="F66400"/>
          <w:sz w:val="22"/>
          <w:vertAlign w:val="superscript"/>
          <w:lang w:val="de-DE"/>
        </w:rPr>
        <w:t xml:space="preserve">107 </w:t>
      </w:r>
      <w:r w:rsidRPr="00BB5519">
        <w:rPr>
          <w:rFonts w:ascii="Tahoma" w:hAnsi="Tahoma"/>
          <w:color w:val="F66400"/>
          <w:sz w:val="22"/>
          <w:lang w:val="de-DE"/>
        </w:rPr>
        <w:t>Windows Server 2008 R2 Datacenter</w:t>
      </w:r>
      <w:bookmarkEnd w:id="1607"/>
      <w:bookmarkEnd w:id="1608"/>
      <w:r w:rsidRPr="00BB5519">
        <w:rPr>
          <w:rFonts w:ascii="Tahoma" w:hAnsi="Tahoma"/>
          <w:color w:val="F66400"/>
          <w:sz w:val="22"/>
          <w:lang w:val="de-DE"/>
        </w:rPr>
        <w:t xml:space="preserve"> </w:t>
      </w:r>
    </w:p>
    <w:bookmarkEnd w:id="1609"/>
    <w:bookmarkEnd w:id="1610"/>
    <w:p w:rsidR="00F745E1" w:rsidRPr="00BB5519" w:rsidRDefault="00F745E1" w:rsidP="00F745E1">
      <w:pPr>
        <w:ind w:left="900"/>
        <w:rPr>
          <w:lang w:val="de-DE"/>
        </w:rPr>
      </w:pPr>
    </w:p>
    <w:p w:rsidR="002A01C2" w:rsidRPr="00BB5519" w:rsidRDefault="00F745E1" w:rsidP="002A01C2">
      <w:pPr>
        <w:spacing w:after="60"/>
        <w:ind w:left="720"/>
        <w:rPr>
          <w:lang w:val="de-DE"/>
        </w:rPr>
      </w:pPr>
      <w:r w:rsidRPr="00BB5519">
        <w:rPr>
          <w:b/>
          <w:color w:val="000000"/>
          <w:lang w:val="de-DE"/>
        </w:rPr>
        <w:t>Lizenzgewährungen im Zusammenhang mit der Änderung des Lizenzmodells für Windows Server Datacenter</w:t>
      </w:r>
    </w:p>
    <w:p w:rsidR="00F745E1" w:rsidRPr="00BB5519" w:rsidRDefault="00F745E1" w:rsidP="00F745E1">
      <w:pPr>
        <w:spacing w:after="200"/>
        <w:ind w:left="720"/>
        <w:rPr>
          <w:lang w:val="de-DE"/>
        </w:rPr>
      </w:pPr>
      <w:r w:rsidRPr="00BB5519">
        <w:rPr>
          <w:color w:val="000000"/>
          <w:lang w:val="de-DE"/>
        </w:rPr>
        <w:t>Windows Server 2012 Datacenter wird unter einem neuen Lizenzmodell lizenziert, unter dem jede Lizenz bis zu zwei physische Prozessoren abdecken kann. Volumenlizenzkunden, die am 1. September 2012 oder am Datum der ersten Verfügbarkeit von Windows Server 2012 zum Download im Volume Licensing Service Center, wobei das frühere Datum maßgeblich ist, über aktive Software Assurance für Windows Server 2008 R2 Datacenter-Lizenzen verfügen, („Qualifizierende Lizenzen“) sind berechtigt,</w:t>
      </w:r>
      <w:r w:rsidRPr="00BB5519">
        <w:rPr>
          <w:rFonts w:eastAsia="Calibri" w:cs="Tahoma"/>
          <w:szCs w:val="18"/>
          <w:lang w:val="de-DE"/>
        </w:rPr>
        <w:t xml:space="preserve"> auf die Software Windows Server 2012 Datacenter upzugraden und sie anstelle von Windows Server 2008 R2 Datacenter zu verwenden. Um dieses Upgrade zu erleichtern, wird angenommen, dass dem Kunden bei Verfügbarkeit von Windows Server 2012 für jeweils zwei Qualifizierende Lizenzen, die der Kunde besitzt, eine Windows Server 2012 Datacenter-Prozessorlizenz gewährt wird. </w:t>
      </w:r>
    </w:p>
    <w:p w:rsidR="00F745E1" w:rsidRPr="00BB5519" w:rsidRDefault="00F745E1" w:rsidP="005B6712">
      <w:pPr>
        <w:numPr>
          <w:ilvl w:val="0"/>
          <w:numId w:val="66"/>
        </w:numPr>
        <w:spacing w:afterLines="60" w:after="144"/>
        <w:ind w:left="1440" w:hanging="274"/>
        <w:rPr>
          <w:lang w:val="de-DE"/>
        </w:rPr>
      </w:pPr>
      <w:r w:rsidRPr="00BB5519">
        <w:rPr>
          <w:color w:val="000000"/>
          <w:lang w:val="de-DE"/>
        </w:rPr>
        <w:t>Wenn ein Kunde über eine ungerade Anzahl von Qualifizierenden Lizenzen verfügt, muss der Kunde auf die nächste gerade Zahl abrunden, um festzustellen, wie viele Lizenzen ihm gewährt werden.</w:t>
      </w:r>
      <w:r w:rsidR="009E4976" w:rsidRPr="00BB5519">
        <w:rPr>
          <w:color w:val="000000"/>
          <w:lang w:val="de-DE"/>
        </w:rPr>
        <w:t xml:space="preserve"> </w:t>
      </w:r>
      <w:r w:rsidRPr="00BB5519">
        <w:rPr>
          <w:color w:val="000000"/>
          <w:lang w:val="de-DE"/>
        </w:rPr>
        <w:t xml:space="preserve">Beispiel: Einem Kunden, der über drei Qualifizierende Lizenzen verfügt, wird insgesamt eine Windows Server 2012 Datacenter-Lizenz gewährt. </w:t>
      </w:r>
    </w:p>
    <w:p w:rsidR="00F745E1" w:rsidRPr="00BB5519" w:rsidRDefault="00F745E1" w:rsidP="005B6712">
      <w:pPr>
        <w:numPr>
          <w:ilvl w:val="0"/>
          <w:numId w:val="66"/>
        </w:numPr>
        <w:tabs>
          <w:tab w:val="left" w:pos="990"/>
        </w:tabs>
        <w:spacing w:afterLines="60" w:after="144"/>
        <w:ind w:left="1440" w:hanging="274"/>
        <w:rPr>
          <w:lang w:val="de-DE"/>
        </w:rPr>
      </w:pPr>
      <w:r w:rsidRPr="00BB5519">
        <w:rPr>
          <w:rFonts w:eastAsia="Calibri" w:cs="Tahoma"/>
          <w:szCs w:val="18"/>
          <w:lang w:val="de-DE"/>
        </w:rPr>
        <w:t>Lizenzen, die im Rahmen dieser Gewährung erworben werden, umfassen Software Assurance.</w:t>
      </w:r>
      <w:r w:rsidR="009E4976" w:rsidRPr="00BB5519">
        <w:rPr>
          <w:rFonts w:eastAsia="Calibri" w:cs="Tahoma"/>
          <w:szCs w:val="18"/>
          <w:lang w:val="de-DE"/>
        </w:rPr>
        <w:t xml:space="preserve"> </w:t>
      </w:r>
      <w:r w:rsidRPr="00BB5519">
        <w:rPr>
          <w:rFonts w:eastAsia="Calibri" w:cs="Tahoma"/>
          <w:szCs w:val="18"/>
          <w:lang w:val="de-DE"/>
        </w:rPr>
        <w:t>Diese Software Assurance gilt bis zum Ablauf der Software Assurance für die Qualifizierenden Lizenzen.</w:t>
      </w:r>
    </w:p>
    <w:p w:rsidR="00F745E1" w:rsidRPr="00BB5519" w:rsidRDefault="00F745E1" w:rsidP="005B6712">
      <w:pPr>
        <w:numPr>
          <w:ilvl w:val="0"/>
          <w:numId w:val="66"/>
        </w:numPr>
        <w:tabs>
          <w:tab w:val="left" w:pos="990"/>
        </w:tabs>
        <w:spacing w:afterLines="60" w:after="144"/>
        <w:ind w:left="1440" w:hanging="274"/>
        <w:rPr>
          <w:lang w:val="de-DE"/>
        </w:rPr>
      </w:pPr>
      <w:r w:rsidRPr="00BB5519">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F745E1" w:rsidRPr="00BB5519" w:rsidRDefault="00F745E1" w:rsidP="005B6712">
      <w:pPr>
        <w:numPr>
          <w:ilvl w:val="0"/>
          <w:numId w:val="70"/>
        </w:numPr>
        <w:spacing w:afterLines="60" w:after="144"/>
        <w:ind w:left="1440" w:hanging="274"/>
        <w:rPr>
          <w:lang w:val="de-DE"/>
        </w:rPr>
      </w:pPr>
      <w:r w:rsidRPr="00BB5519">
        <w:rPr>
          <w:rFonts w:eastAsia="Calibri" w:cs="Tahoma"/>
          <w:szCs w:val="18"/>
          <w:lang w:val="de-DE"/>
        </w:rPr>
        <w:t>Bei Upgrade auf Windows Server 2012 Datacenter unter dieser Gewährung sind die bestehenden Qualifizierenden Lizenzen für Windows Server 2008 R2 Datacenter des Kunden nicht mehr gültig.</w:t>
      </w:r>
    </w:p>
    <w:p w:rsidR="00F745E1" w:rsidRPr="00BB5519" w:rsidRDefault="00F745E1" w:rsidP="005B6712">
      <w:pPr>
        <w:numPr>
          <w:ilvl w:val="0"/>
          <w:numId w:val="70"/>
        </w:numPr>
        <w:spacing w:afterLines="60" w:after="144"/>
        <w:ind w:left="1440" w:hanging="274"/>
        <w:rPr>
          <w:lang w:val="de-DE"/>
        </w:rPr>
      </w:pPr>
      <w:r w:rsidRPr="00BB5519">
        <w:rPr>
          <w:color w:val="000000"/>
          <w:lang w:val="de-DE"/>
        </w:rPr>
        <w:t>Windows Server 2008 R2 Datacenter-</w:t>
      </w:r>
      <w:r w:rsidRPr="00BB5519">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w:t>
      </w:r>
      <w:r w:rsidR="009E4976" w:rsidRPr="00BB5519">
        <w:rPr>
          <w:rFonts w:cs="Tahoma"/>
          <w:bCs/>
          <w:color w:val="000000"/>
          <w:szCs w:val="18"/>
          <w:lang w:val="de-DE"/>
        </w:rPr>
        <w:t xml:space="preserve"> </w:t>
      </w:r>
    </w:p>
    <w:p w:rsidR="00FD1141" w:rsidRPr="00BB5519" w:rsidRDefault="00FD1141" w:rsidP="005B6712">
      <w:pPr>
        <w:numPr>
          <w:ilvl w:val="0"/>
          <w:numId w:val="70"/>
        </w:numPr>
        <w:spacing w:afterLines="60" w:after="144"/>
        <w:ind w:left="1440" w:hanging="274"/>
        <w:rPr>
          <w:lang w:val="de-DE"/>
        </w:rPr>
      </w:pPr>
      <w:r w:rsidRPr="00BB5519">
        <w:rPr>
          <w:rFonts w:cs="Tahoma"/>
          <w:lang w:val="de-DE"/>
        </w:rPr>
        <w:t xml:space="preserve">Einzelne Prozessorlizenzen für Windows Server Datacenter, die nach dem 1. September 2012 mit Software Assurance erworben werden, sind ebenfalls Qualifizierende Lizenzen zu Zwecken der obigen Gewährung. </w:t>
      </w:r>
    </w:p>
    <w:p w:rsidR="00F745E1" w:rsidRPr="00BB5519" w:rsidRDefault="00F745E1" w:rsidP="005B6712">
      <w:pPr>
        <w:numPr>
          <w:ilvl w:val="0"/>
          <w:numId w:val="70"/>
        </w:numPr>
        <w:spacing w:afterLines="60" w:after="144"/>
        <w:ind w:left="1440" w:hanging="274"/>
        <w:rPr>
          <w:lang w:val="de-DE"/>
        </w:rPr>
      </w:pPr>
      <w:r w:rsidRPr="00BB5519">
        <w:rPr>
          <w:rFonts w:cs="Tahoma"/>
          <w:bCs/>
          <w:color w:val="000000"/>
          <w:szCs w:val="18"/>
          <w:lang w:val="de-DE"/>
        </w:rPr>
        <w:t>Ungeachtet der Gewährung von Windows Server 2012 Datacenter-Lizenzen und Upgrades dieser Version, bleiben Verpflichtungen zur Zahlung von fälligen Beträgen für die Qualifizierenden Lizenzen und Software Assurance in vollem Umfang wirksam.</w:t>
      </w:r>
    </w:p>
    <w:p w:rsidR="00376D4B" w:rsidRPr="00BB5519" w:rsidRDefault="00376D4B" w:rsidP="00376D4B">
      <w:pPr>
        <w:ind w:left="720"/>
        <w:rPr>
          <w:lang w:val="de-DE"/>
        </w:rPr>
      </w:pPr>
    </w:p>
    <w:p w:rsidR="00FD1141" w:rsidRPr="00BB5519" w:rsidRDefault="00BF7C75" w:rsidP="00FD1141">
      <w:pPr>
        <w:ind w:left="720"/>
        <w:rPr>
          <w:lang w:val="de-DE"/>
        </w:rPr>
      </w:pPr>
      <w:r w:rsidRPr="00BB5519">
        <w:rPr>
          <w:rFonts w:cs="Tahoma"/>
          <w:color w:val="000000"/>
          <w:szCs w:val="18"/>
          <w:lang w:val="de-DE"/>
        </w:rPr>
        <w:lastRenderedPageBreak/>
        <w:t>Windows Server 2012 Datacenter – 1-Prozessorlizenz-SKU; Windows Server 2012 wird auf ein Prozessor-plus-CAL-Lizenzmodell umgestellt, wobei jede Lizenz 2 Prozessoren abdeckt.</w:t>
      </w:r>
      <w:r w:rsidR="009E4976" w:rsidRPr="00BB5519">
        <w:rPr>
          <w:rFonts w:cs="Tahoma"/>
          <w:color w:val="000000"/>
          <w:szCs w:val="18"/>
          <w:lang w:val="de-DE"/>
        </w:rPr>
        <w:t xml:space="preserve"> </w:t>
      </w:r>
      <w:r w:rsidRPr="00BB5519">
        <w:rPr>
          <w:rFonts w:cs="Tahoma"/>
          <w:color w:val="000000"/>
          <w:szCs w:val="18"/>
          <w:lang w:val="de-DE"/>
        </w:rPr>
        <w:t>Das Angebot # P71-01031 wurde versehentlich in die Preisliste von September aufgenommen und sollte nicht für andere Programme als SPLA verwendet werden.</w:t>
      </w:r>
      <w:r w:rsidR="009E4976" w:rsidRPr="00BB5519">
        <w:rPr>
          <w:rFonts w:cs="Tahoma"/>
          <w:color w:val="000000"/>
          <w:szCs w:val="18"/>
          <w:lang w:val="de-DE"/>
        </w:rPr>
        <w:t xml:space="preserve"> </w:t>
      </w:r>
      <w:r w:rsidRPr="00BB5519">
        <w:rPr>
          <w:rFonts w:cs="Tahoma"/>
          <w:color w:val="000000"/>
          <w:szCs w:val="18"/>
          <w:lang w:val="de-DE"/>
        </w:rPr>
        <w:t>Dieses Angebot deckt lediglich einen Prozessor ab; für Kunden, die es erwerben, gelten die aktuellen Nutzungsrechte nicht.</w:t>
      </w:r>
      <w:r w:rsidR="009E4976" w:rsidRPr="00BB5519">
        <w:rPr>
          <w:rFonts w:cs="Tahoma"/>
          <w:color w:val="000000"/>
          <w:szCs w:val="18"/>
          <w:lang w:val="de-DE"/>
        </w:rPr>
        <w:t xml:space="preserve"> </w:t>
      </w:r>
      <w:r w:rsidRPr="00BB5519">
        <w:rPr>
          <w:rFonts w:cs="Tahoma"/>
          <w:color w:val="000000"/>
          <w:szCs w:val="18"/>
          <w:lang w:val="de-DE"/>
        </w:rPr>
        <w:t xml:space="preserve">Diese SKU sollte nur von SPLA-Kunden verwendet werden. Das richtige Angebot für alle Programme </w:t>
      </w:r>
      <w:r w:rsidRPr="00BB5519">
        <w:rPr>
          <w:rFonts w:cs="Tahoma"/>
          <w:szCs w:val="18"/>
          <w:lang w:val="de-DE"/>
        </w:rPr>
        <w:t>außer SPLA ist # P71-07280. Kunden, die bereits das Angebot # P71-01031 erworben haben, werden auf die obige Migrationsgewährung verwiesen.</w:t>
      </w:r>
    </w:p>
    <w:p w:rsidR="00202A44" w:rsidRPr="00BB5519" w:rsidRDefault="00202A44" w:rsidP="00376D4B">
      <w:pPr>
        <w:ind w:left="720"/>
        <w:rPr>
          <w:lang w:val="de-DE"/>
        </w:rPr>
      </w:pPr>
    </w:p>
    <w:p w:rsidR="00F745E1" w:rsidRPr="00BB5519" w:rsidRDefault="00202A44" w:rsidP="00BA1490">
      <w:pPr>
        <w:pStyle w:val="PURBody-Indented"/>
        <w:ind w:left="720"/>
        <w:rPr>
          <w:lang w:val="de-DE"/>
        </w:rPr>
      </w:pPr>
      <w:r w:rsidRPr="00BB5519">
        <w:rPr>
          <w:rFonts w:ascii="Tahoma" w:hAnsi="Tahoma" w:cs="Tahoma"/>
          <w:color w:val="000000"/>
          <w:sz w:val="18"/>
          <w:szCs w:val="18"/>
          <w:lang w:val="de-DE"/>
        </w:rPr>
        <w:t xml:space="preserve">Windows Server™ 2012 Datacenter: </w:t>
      </w:r>
      <w:r w:rsidRPr="00BB5519">
        <w:rPr>
          <w:rFonts w:ascii="Tahoma" w:hAnsi="Tahoma" w:cs="Tahoma"/>
          <w:sz w:val="18"/>
          <w:szCs w:val="18"/>
          <w:lang w:val="de-DE"/>
        </w:rPr>
        <w:t>Sie sind berechtigt, eine Instanz von Windows Server Datacenter, Enterprise, Standard oder Essentials (die gleiche oder eine frühere Version) anstelle von Windows Server 2012 Datacenter in den OSEs auf Ihrem lizenzierten Server auszuführen.</w:t>
      </w:r>
    </w:p>
    <w:p w:rsidR="00BF7C75" w:rsidRPr="0014112B" w:rsidRDefault="00BF7C75" w:rsidP="00F745E1">
      <w:pPr>
        <w:pStyle w:val="ListParagraph"/>
        <w:ind w:left="0"/>
        <w:contextualSpacing w:val="0"/>
        <w:rPr>
          <w:rFonts w:ascii="Tahoma" w:hAnsi="Tahoma" w:cs="Tahoma"/>
          <w:sz w:val="20"/>
          <w:szCs w:val="20"/>
          <w:lang w:val="de-DE"/>
        </w:rPr>
      </w:pPr>
    </w:p>
    <w:p w:rsidR="002A01C2" w:rsidRPr="0014112B" w:rsidRDefault="002A01C2" w:rsidP="00F745E1">
      <w:pPr>
        <w:pStyle w:val="ListParagraph"/>
        <w:ind w:left="0"/>
        <w:contextualSpacing w:val="0"/>
        <w:rPr>
          <w:rFonts w:ascii="Tahoma" w:hAnsi="Tahoma" w:cs="Tahoma"/>
          <w:sz w:val="20"/>
          <w:szCs w:val="20"/>
          <w:lang w:val="de-DE"/>
        </w:rPr>
      </w:pPr>
    </w:p>
    <w:p w:rsidR="00F745E1" w:rsidRPr="00BB5519" w:rsidRDefault="00F66FB0" w:rsidP="00F745E1">
      <w:pPr>
        <w:pStyle w:val="Heading3"/>
        <w:rPr>
          <w:lang w:val="de-DE"/>
        </w:rPr>
      </w:pPr>
      <w:bookmarkStart w:id="1611" w:name="_118_Windows_Server"/>
      <w:bookmarkStart w:id="1612" w:name="_108_Windows_Server"/>
      <w:bookmarkStart w:id="1613" w:name="_Toc336338374"/>
      <w:bookmarkStart w:id="1614" w:name="_Toc354055063"/>
      <w:bookmarkStart w:id="1615" w:name="Srv_102WindowsSvr08R2Std"/>
      <w:bookmarkStart w:id="1616" w:name="Srv_114WindowsSvr08R2Std"/>
      <w:bookmarkStart w:id="1617" w:name="Srv_118WindowsSvr08R2Std"/>
      <w:bookmarkStart w:id="1618" w:name="Srv_99WindowsSvr08R2ItaniumSys"/>
      <w:bookmarkStart w:id="1619" w:name="Srv_100WindowsSvr08R2ItaniumSys"/>
      <w:bookmarkEnd w:id="1611"/>
      <w:bookmarkEnd w:id="1612"/>
      <w:r w:rsidRPr="00BB5519">
        <w:rPr>
          <w:rStyle w:val="Heading3Char"/>
          <w:rFonts w:ascii="Tahoma" w:hAnsi="Tahoma"/>
          <w:b/>
          <w:caps/>
          <w:color w:val="F66400"/>
          <w:sz w:val="22"/>
          <w:vertAlign w:val="superscript"/>
          <w:lang w:val="de-DE"/>
        </w:rPr>
        <w:t xml:space="preserve">108 </w:t>
      </w:r>
      <w:r w:rsidRPr="00BB5519">
        <w:rPr>
          <w:rStyle w:val="Heading3Char"/>
          <w:rFonts w:ascii="Tahoma" w:hAnsi="Tahoma"/>
          <w:b/>
          <w:color w:val="F66400"/>
          <w:sz w:val="22"/>
          <w:lang w:val="de-DE"/>
        </w:rPr>
        <w:t>Windows Server 2008 R2 Standard</w:t>
      </w:r>
      <w:bookmarkEnd w:id="1613"/>
      <w:bookmarkEnd w:id="1614"/>
      <w:r w:rsidRPr="00BB5519">
        <w:rPr>
          <w:rStyle w:val="Heading3Char"/>
          <w:rFonts w:ascii="Tahoma" w:hAnsi="Tahoma"/>
          <w:b/>
          <w:color w:val="F66400"/>
          <w:sz w:val="22"/>
          <w:lang w:val="de-DE"/>
        </w:rPr>
        <w:t xml:space="preserve"> </w:t>
      </w:r>
    </w:p>
    <w:bookmarkEnd w:id="1615"/>
    <w:bookmarkEnd w:id="1616"/>
    <w:bookmarkEnd w:id="1617"/>
    <w:p w:rsidR="00376D4B" w:rsidRPr="00BB5519" w:rsidRDefault="00376D4B" w:rsidP="002A01C2">
      <w:pPr>
        <w:tabs>
          <w:tab w:val="left" w:pos="360"/>
        </w:tabs>
        <w:ind w:left="360"/>
        <w:rPr>
          <w:lang w:val="de-DE"/>
        </w:rPr>
      </w:pPr>
    </w:p>
    <w:p w:rsidR="002A01C2" w:rsidRPr="00BB5519" w:rsidRDefault="00F745E1" w:rsidP="002A01C2">
      <w:pPr>
        <w:spacing w:after="60"/>
        <w:ind w:left="720"/>
        <w:rPr>
          <w:lang w:val="de-DE"/>
        </w:rPr>
      </w:pPr>
      <w:r w:rsidRPr="00BB5519">
        <w:rPr>
          <w:b/>
          <w:color w:val="000000"/>
          <w:lang w:val="de-DE"/>
        </w:rPr>
        <w:t>Lizenzgewährungen im Zusammenhang mit der Änderung des Lizenzmodells für Windows Server Standard</w:t>
      </w:r>
    </w:p>
    <w:p w:rsidR="00F745E1" w:rsidRPr="00BB5519" w:rsidRDefault="00F745E1" w:rsidP="004D1715">
      <w:pPr>
        <w:numPr>
          <w:ilvl w:val="0"/>
          <w:numId w:val="66"/>
        </w:numPr>
        <w:tabs>
          <w:tab w:val="left" w:pos="1260"/>
          <w:tab w:val="left" w:pos="1440"/>
        </w:tabs>
        <w:ind w:left="1440"/>
        <w:rPr>
          <w:lang w:val="de-DE"/>
        </w:rPr>
      </w:pPr>
      <w:r w:rsidRPr="00BB5519">
        <w:rPr>
          <w:color w:val="000000"/>
          <w:lang w:val="de-DE"/>
        </w:rPr>
        <w:t>Windows Server 2008 R2 Standard ist die letzte Version von Windows Server, die unter dem Server-/CAL-Lizenzmodell lizenziert wird. Windows Server 2012 Standard wird unter einem neuen Lizenzmodell lizenziert, unter dem jede Lizenz bis zu zwei physische Prozessoren lizenzieren kann. Volumenlizenzkunden, die am 1. September 2012 oder am Datum der ersten Verfügbarkeit von Windows Server 2012 zum Download im Volume Licensing Service Center, wobei das frühere Datum maßgeblich ist, über aktive Software Assurance für Windows Server 2008 R2 Standard-Lizenzen verfügen, (</w:t>
      </w:r>
      <w:r w:rsidR="004D1715">
        <w:rPr>
          <w:color w:val="000000"/>
          <w:lang w:val="de-DE"/>
        </w:rPr>
        <w:t>„</w:t>
      </w:r>
      <w:r w:rsidRPr="00BB5519">
        <w:rPr>
          <w:color w:val="000000"/>
          <w:lang w:val="de-DE"/>
        </w:rPr>
        <w:t>Qualifizierende Lizenzen</w:t>
      </w:r>
      <w:r w:rsidR="004D1715">
        <w:rPr>
          <w:color w:val="000000"/>
          <w:lang w:val="de-DE"/>
        </w:rPr>
        <w:t>“</w:t>
      </w:r>
      <w:r w:rsidRPr="00BB5519">
        <w:rPr>
          <w:color w:val="000000"/>
          <w:lang w:val="de-DE"/>
        </w:rPr>
        <w:t>) sind berechtigt,</w:t>
      </w:r>
      <w:r w:rsidRPr="00BB5519">
        <w:rPr>
          <w:rFonts w:eastAsia="Calibri" w:cs="Tahoma"/>
          <w:szCs w:val="18"/>
          <w:lang w:val="de-DE"/>
        </w:rPr>
        <w:t xml:space="preserve"> auf die Software Windows Server 2012 Standard upzugraden und sie anstelle von Windows Server 2008 R2 Standard zu verwenden. Um dieses Upgrade zu erleichtern, wird angenommen, dass dem Kunden bei Verfügbarkeit von Windows Server 2012 für jede Qualifizierende Lizenz, die der Kunde besitzt, Folgendes gewährt</w:t>
      </w:r>
      <w:r w:rsidR="0014112B">
        <w:rPr>
          <w:rFonts w:eastAsia="Calibri" w:cs="Tahoma"/>
          <w:szCs w:val="18"/>
          <w:lang w:val="de-DE"/>
        </w:rPr>
        <w:t> </w:t>
      </w:r>
      <w:r w:rsidRPr="00BB5519">
        <w:rPr>
          <w:rFonts w:eastAsia="Calibri" w:cs="Tahoma"/>
          <w:szCs w:val="18"/>
          <w:lang w:val="de-DE"/>
        </w:rPr>
        <w:t>wird:</w:t>
      </w:r>
    </w:p>
    <w:p w:rsidR="00F745E1" w:rsidRPr="00BB5519" w:rsidRDefault="00F745E1" w:rsidP="002A01C2">
      <w:pPr>
        <w:numPr>
          <w:ilvl w:val="0"/>
          <w:numId w:val="66"/>
        </w:numPr>
        <w:tabs>
          <w:tab w:val="left" w:pos="1260"/>
          <w:tab w:val="left" w:pos="1440"/>
        </w:tabs>
        <w:ind w:left="1440"/>
        <w:rPr>
          <w:lang w:val="de-DE"/>
        </w:rPr>
      </w:pPr>
      <w:r w:rsidRPr="00BB5519">
        <w:rPr>
          <w:rFonts w:eastAsia="Calibri" w:cs="Tahoma"/>
          <w:szCs w:val="18"/>
          <w:lang w:val="de-DE"/>
        </w:rPr>
        <w:t>Eine Windows Server 2012 Standard-Lizenz ODER</w:t>
      </w:r>
    </w:p>
    <w:p w:rsidR="00F745E1" w:rsidRPr="00BB5519" w:rsidRDefault="00C9403E" w:rsidP="002A01C2">
      <w:pPr>
        <w:numPr>
          <w:ilvl w:val="0"/>
          <w:numId w:val="66"/>
        </w:numPr>
        <w:tabs>
          <w:tab w:val="left" w:pos="1260"/>
          <w:tab w:val="left" w:pos="1440"/>
        </w:tabs>
        <w:ind w:left="1440"/>
        <w:rPr>
          <w:lang w:val="de-DE"/>
        </w:rPr>
      </w:pPr>
      <w:r>
        <w:rPr>
          <w:rFonts w:eastAsia="Calibri" w:cs="Tahoma"/>
          <w:szCs w:val="18"/>
          <w:lang w:val="de-DE"/>
        </w:rPr>
        <w:t>Zwei Windows Server 2012</w:t>
      </w:r>
      <w:r w:rsidR="00F745E1" w:rsidRPr="00BB5519">
        <w:rPr>
          <w:rFonts w:eastAsia="Calibri" w:cs="Tahoma"/>
          <w:szCs w:val="18"/>
          <w:lang w:val="de-DE"/>
        </w:rPr>
        <w:t xml:space="preserve"> Standard-Lizenzen, wenn die tatsächliche Anzahl physischer Prozessoren auf dem Server, dem die Qualifizierende Lizenz zugewiesen ist, zwei übersteigt. (In diesen Fällen müssen Kunden die Konfiguration der physischen Hardware dokumentieren, die diese Software vor Ablauf von Software Assurance unter dem aktuellen Vertrag unterstützt, entweder mit dem Microsoft MAP-Tool oder einer gleichwertigen Software. Diese Gewährung ist nur für eine Qualifizierende Lizenz pro Server verfügbar.)</w:t>
      </w:r>
    </w:p>
    <w:p w:rsidR="00F745E1" w:rsidRPr="00BB5519" w:rsidRDefault="00F745E1" w:rsidP="002A01C2">
      <w:pPr>
        <w:numPr>
          <w:ilvl w:val="0"/>
          <w:numId w:val="66"/>
        </w:numPr>
        <w:tabs>
          <w:tab w:val="left" w:pos="1260"/>
          <w:tab w:val="left" w:pos="1440"/>
        </w:tabs>
        <w:ind w:left="1440"/>
        <w:rPr>
          <w:lang w:val="de-DE"/>
        </w:rPr>
      </w:pPr>
      <w:r w:rsidRPr="00BB5519">
        <w:rPr>
          <w:rFonts w:eastAsia="Calibri" w:cs="Tahoma"/>
          <w:szCs w:val="18"/>
          <w:lang w:val="de-DE"/>
        </w:rPr>
        <w:t>Lizenzen, die im Rahmen dieser Gewährung erworben werden, umfassen Software Assurance.</w:t>
      </w:r>
      <w:r w:rsidR="009E4976" w:rsidRPr="00BB5519">
        <w:rPr>
          <w:rFonts w:eastAsia="Calibri" w:cs="Tahoma"/>
          <w:szCs w:val="18"/>
          <w:lang w:val="de-DE"/>
        </w:rPr>
        <w:t xml:space="preserve"> </w:t>
      </w:r>
      <w:r w:rsidRPr="00BB5519">
        <w:rPr>
          <w:rFonts w:eastAsia="Calibri" w:cs="Tahoma"/>
          <w:szCs w:val="18"/>
          <w:lang w:val="de-DE"/>
        </w:rPr>
        <w:t>Diese Software Assurance gilt bis zum Ablauf der Software Assurance für die Qualifizierenden Lizenzen.</w:t>
      </w:r>
    </w:p>
    <w:p w:rsidR="00F745E1" w:rsidRPr="00BB5519" w:rsidRDefault="00F745E1" w:rsidP="002A01C2">
      <w:pPr>
        <w:numPr>
          <w:ilvl w:val="0"/>
          <w:numId w:val="66"/>
        </w:numPr>
        <w:tabs>
          <w:tab w:val="left" w:pos="1260"/>
          <w:tab w:val="left" w:pos="1440"/>
        </w:tabs>
        <w:ind w:left="1440"/>
        <w:rPr>
          <w:lang w:val="de-DE"/>
        </w:rPr>
      </w:pPr>
      <w:r w:rsidRPr="00BB5519">
        <w:rPr>
          <w:rFonts w:eastAsia="Calibri" w:cs="Tahoma"/>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ab, wenn die zugrunde liegenden Qualifizierenden Lizenzen abgelaufen wären.</w:t>
      </w:r>
    </w:p>
    <w:p w:rsidR="00F745E1" w:rsidRPr="00BB5519" w:rsidRDefault="00F745E1" w:rsidP="002A01C2">
      <w:pPr>
        <w:numPr>
          <w:ilvl w:val="0"/>
          <w:numId w:val="66"/>
        </w:numPr>
        <w:tabs>
          <w:tab w:val="left" w:pos="1260"/>
          <w:tab w:val="left" w:pos="1440"/>
        </w:tabs>
        <w:ind w:left="1440"/>
        <w:rPr>
          <w:lang w:val="de-DE"/>
        </w:rPr>
      </w:pPr>
      <w:r w:rsidRPr="00BB5519">
        <w:rPr>
          <w:rFonts w:eastAsia="Calibri" w:cs="Tahoma"/>
          <w:szCs w:val="18"/>
          <w:lang w:val="de-DE"/>
        </w:rPr>
        <w:t>Bei Upgrade auf Windows Server 2012 Standard unter dieser Gewährung sind die bestehenden Lizenzen für Windows Server 2008 R2 Standard des Kunden nicht mehr gültig.</w:t>
      </w:r>
    </w:p>
    <w:p w:rsidR="00F745E1" w:rsidRPr="00BB5519" w:rsidRDefault="00F745E1" w:rsidP="002A01C2">
      <w:pPr>
        <w:numPr>
          <w:ilvl w:val="0"/>
          <w:numId w:val="70"/>
        </w:numPr>
        <w:tabs>
          <w:tab w:val="left" w:pos="1440"/>
        </w:tabs>
        <w:ind w:left="1440"/>
        <w:rPr>
          <w:lang w:val="de-DE"/>
        </w:rPr>
      </w:pPr>
      <w:r w:rsidRPr="00BB5519">
        <w:rPr>
          <w:color w:val="000000"/>
          <w:lang w:val="de-DE"/>
        </w:rPr>
        <w:t>Windows Server 2008 R2 Standard-</w:t>
      </w:r>
      <w:r w:rsidRPr="00BB5519">
        <w:rPr>
          <w:rFonts w:cs="Tahoma"/>
          <w:bCs/>
          <w:color w:val="000000"/>
          <w:szCs w:val="18"/>
          <w:lang w:val="de-DE"/>
        </w:rPr>
        <w:t>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Lizenzgewährung.</w:t>
      </w:r>
    </w:p>
    <w:p w:rsidR="00F745E1" w:rsidRPr="00BB5519" w:rsidRDefault="00F745E1" w:rsidP="002A01C2">
      <w:pPr>
        <w:numPr>
          <w:ilvl w:val="0"/>
          <w:numId w:val="70"/>
        </w:numPr>
        <w:tabs>
          <w:tab w:val="left" w:pos="1440"/>
        </w:tabs>
        <w:ind w:left="1440"/>
        <w:rPr>
          <w:lang w:val="de-DE"/>
        </w:rPr>
      </w:pPr>
      <w:r w:rsidRPr="00BB5519">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F745E1" w:rsidRPr="00BB5519" w:rsidRDefault="00F745E1" w:rsidP="002A01C2">
      <w:pPr>
        <w:tabs>
          <w:tab w:val="left" w:pos="1440"/>
        </w:tabs>
        <w:ind w:left="1440"/>
        <w:rPr>
          <w:lang w:val="de-DE"/>
        </w:rPr>
      </w:pPr>
    </w:p>
    <w:bookmarkEnd w:id="1618"/>
    <w:bookmarkEnd w:id="1619"/>
    <w:p w:rsidR="002A01C2" w:rsidRPr="00BB5519" w:rsidRDefault="005403C8" w:rsidP="0014112B">
      <w:pPr>
        <w:pStyle w:val="PURBody-Indented"/>
        <w:keepNext/>
        <w:keepLines/>
        <w:spacing w:after="60"/>
        <w:ind w:left="720"/>
        <w:rPr>
          <w:lang w:val="de-DE"/>
        </w:rPr>
      </w:pPr>
      <w:r w:rsidRPr="00BB5519">
        <w:rPr>
          <w:rFonts w:ascii="Tahoma" w:hAnsi="Tahoma" w:cs="Tahoma"/>
          <w:b/>
          <w:color w:val="000000"/>
          <w:sz w:val="18"/>
          <w:szCs w:val="18"/>
          <w:lang w:val="de-DE"/>
        </w:rPr>
        <w:t>Windows Server 2012 Standard</w:t>
      </w:r>
    </w:p>
    <w:p w:rsidR="005403C8" w:rsidRPr="00BB5519" w:rsidRDefault="005403C8" w:rsidP="002A01C2">
      <w:pPr>
        <w:pStyle w:val="PURBody-Indented"/>
        <w:spacing w:after="0"/>
        <w:ind w:left="720"/>
        <w:rPr>
          <w:lang w:val="de-DE"/>
        </w:rPr>
      </w:pPr>
      <w:r w:rsidRPr="00BB5519">
        <w:rPr>
          <w:rFonts w:ascii="Tahoma" w:hAnsi="Tahoma" w:cs="Tahoma"/>
          <w:sz w:val="18"/>
          <w:lang w:val="de-DE"/>
        </w:rPr>
        <w:t>Sie sind berechtigt, eine Instanz von Windows Server Enterprise, Standard oder Essentials (die gleiche oder eine frühere Version) anstelle von Windows Server 2012 Standard in den OSEs auf Ihrem lizenzierten Server auszuführen.</w:t>
      </w:r>
    </w:p>
    <w:p w:rsidR="00F745E1" w:rsidRPr="0014112B" w:rsidRDefault="00F745E1" w:rsidP="002A01C2">
      <w:pPr>
        <w:pStyle w:val="ListParagraph"/>
        <w:ind w:left="0"/>
        <w:contextualSpacing w:val="0"/>
        <w:rPr>
          <w:rFonts w:ascii="Tahoma" w:hAnsi="Tahoma" w:cs="Tahoma"/>
          <w:sz w:val="18"/>
          <w:szCs w:val="18"/>
          <w:lang w:val="de-DE"/>
        </w:rPr>
      </w:pPr>
    </w:p>
    <w:p w:rsidR="00816F76" w:rsidRPr="00BB5519" w:rsidRDefault="00F66FB0" w:rsidP="00EF2279">
      <w:pPr>
        <w:pStyle w:val="Heading3"/>
        <w:rPr>
          <w:lang w:val="de-DE"/>
        </w:rPr>
      </w:pPr>
      <w:bookmarkStart w:id="1620" w:name="_119_Windows_Web"/>
      <w:bookmarkStart w:id="1621" w:name="_109_Windows_Web"/>
      <w:bookmarkStart w:id="1622" w:name="_Toc336338375"/>
      <w:bookmarkStart w:id="1623" w:name="_Toc354055064"/>
      <w:bookmarkStart w:id="1624" w:name="Srv_111WinSmallBizSVR2011Addon"/>
      <w:bookmarkStart w:id="1625" w:name="Srv_116WinSmallBizSVR2011Addon"/>
      <w:bookmarkStart w:id="1626" w:name="Srv_120WinSmallBizSVR2011Addon"/>
      <w:bookmarkEnd w:id="1604"/>
      <w:bookmarkEnd w:id="1620"/>
      <w:bookmarkEnd w:id="1621"/>
      <w:r w:rsidRPr="00BB5519">
        <w:rPr>
          <w:rFonts w:ascii="Tahoma" w:hAnsi="Tahoma" w:cs="Tahoma"/>
          <w:caps/>
          <w:color w:val="EE6000"/>
          <w:sz w:val="22"/>
          <w:szCs w:val="18"/>
          <w:vertAlign w:val="superscript"/>
          <w:lang w:val="de-DE"/>
        </w:rPr>
        <w:lastRenderedPageBreak/>
        <w:t>109</w:t>
      </w:r>
      <w:r w:rsidRPr="00BB5519">
        <w:rPr>
          <w:rFonts w:ascii="Tahoma" w:hAnsi="Tahoma" w:cs="Tahoma"/>
          <w:color w:val="EE6000"/>
          <w:sz w:val="22"/>
          <w:szCs w:val="18"/>
          <w:lang w:val="de-DE"/>
        </w:rPr>
        <w:t xml:space="preserve"> </w:t>
      </w:r>
      <w:r w:rsidRPr="00BB5519">
        <w:rPr>
          <w:rFonts w:ascii="Tahoma" w:hAnsi="Tahoma"/>
          <w:color w:val="F66400"/>
          <w:sz w:val="22"/>
          <w:lang w:val="de-DE"/>
        </w:rPr>
        <w:t>Windows Web Server</w:t>
      </w:r>
      <w:r w:rsidRPr="00BB5519">
        <w:rPr>
          <w:rFonts w:ascii="Tahoma" w:hAnsi="Tahoma"/>
          <w:color w:val="F66400"/>
          <w:sz w:val="22"/>
          <w:vertAlign w:val="superscript"/>
          <w:lang w:val="de-DE"/>
        </w:rPr>
        <w:t>®</w:t>
      </w:r>
      <w:r w:rsidRPr="00BB5519">
        <w:rPr>
          <w:rFonts w:ascii="Tahoma" w:hAnsi="Tahoma"/>
          <w:color w:val="F66400"/>
          <w:sz w:val="22"/>
          <w:lang w:val="de-DE"/>
        </w:rPr>
        <w:t xml:space="preserve"> 2008 R2</w:t>
      </w:r>
      <w:bookmarkEnd w:id="1622"/>
      <w:bookmarkEnd w:id="1623"/>
    </w:p>
    <w:p w:rsidR="00816F76" w:rsidRPr="00BB5519" w:rsidRDefault="00816F76" w:rsidP="00CE7FAD">
      <w:pPr>
        <w:rPr>
          <w:lang w:val="de-DE"/>
        </w:rPr>
      </w:pPr>
    </w:p>
    <w:p w:rsidR="00CE7FAD" w:rsidRPr="00BB5519" w:rsidRDefault="00816F76" w:rsidP="0014112B">
      <w:pPr>
        <w:tabs>
          <w:tab w:val="left" w:pos="720"/>
        </w:tabs>
        <w:spacing w:after="60"/>
        <w:ind w:left="720"/>
        <w:rPr>
          <w:lang w:val="de-DE"/>
        </w:rPr>
      </w:pPr>
      <w:r w:rsidRPr="00BB5519">
        <w:rPr>
          <w:b/>
          <w:color w:val="000000"/>
          <w:lang w:val="de-DE"/>
        </w:rPr>
        <w:t>Lizenzgewährungen im Zusammenhang mit dem Ende der Lebensdauer von Windows</w:t>
      </w:r>
      <w:r w:rsidR="0014112B">
        <w:rPr>
          <w:b/>
          <w:color w:val="000000"/>
          <w:lang w:val="de-DE"/>
        </w:rPr>
        <w:t> </w:t>
      </w:r>
      <w:r w:rsidRPr="00BB5519">
        <w:rPr>
          <w:b/>
          <w:color w:val="000000"/>
          <w:lang w:val="de-DE"/>
        </w:rPr>
        <w:t>Web</w:t>
      </w:r>
      <w:r w:rsidR="0014112B">
        <w:rPr>
          <w:b/>
          <w:color w:val="000000"/>
          <w:lang w:val="de-DE"/>
        </w:rPr>
        <w:t> </w:t>
      </w:r>
      <w:r w:rsidRPr="00BB5519">
        <w:rPr>
          <w:b/>
          <w:color w:val="000000"/>
          <w:lang w:val="de-DE"/>
        </w:rPr>
        <w:t>Server</w:t>
      </w:r>
    </w:p>
    <w:p w:rsidR="00816F76" w:rsidRPr="00BB5519" w:rsidRDefault="00816F76" w:rsidP="004D1715">
      <w:pPr>
        <w:tabs>
          <w:tab w:val="left" w:pos="720"/>
        </w:tabs>
        <w:ind w:left="720"/>
        <w:rPr>
          <w:lang w:val="de-DE"/>
        </w:rPr>
      </w:pPr>
      <w:r w:rsidRPr="00BB5519">
        <w:rPr>
          <w:color w:val="000000"/>
          <w:lang w:val="de-DE"/>
        </w:rPr>
        <w:t>Windows Server 2008 R2 ist die letzte Version von Windows Web Server. Volumenlizenzkunden, die am 1.</w:t>
      </w:r>
      <w:r w:rsidR="0057296E">
        <w:rPr>
          <w:color w:val="000000"/>
          <w:lang w:val="de-DE"/>
        </w:rPr>
        <w:t> </w:t>
      </w:r>
      <w:r w:rsidRPr="00BB5519">
        <w:rPr>
          <w:color w:val="000000"/>
          <w:lang w:val="de-DE"/>
        </w:rPr>
        <w:t>September 2012 oder am Datum der ersten Verfügbarkeit von Windows Server 2012 zum Download im Volume Licensing Service Center, wobei das frühere Datum maßgeblich ist, über aktive Software Assurance für Windows Web Server 2008 R2-Lizenzen verfügen, (</w:t>
      </w:r>
      <w:r w:rsidR="004D1715">
        <w:rPr>
          <w:color w:val="000000"/>
          <w:lang w:val="de-DE"/>
        </w:rPr>
        <w:t>„</w:t>
      </w:r>
      <w:r w:rsidRPr="00BB5519">
        <w:rPr>
          <w:color w:val="000000"/>
          <w:lang w:val="de-DE"/>
        </w:rPr>
        <w:t>Qualifizierende Lizenzen</w:t>
      </w:r>
      <w:r w:rsidR="004D1715">
        <w:rPr>
          <w:color w:val="000000"/>
          <w:lang w:val="de-DE"/>
        </w:rPr>
        <w:t>“</w:t>
      </w:r>
      <w:r w:rsidRPr="00BB5519">
        <w:rPr>
          <w:color w:val="000000"/>
          <w:lang w:val="de-DE"/>
        </w:rPr>
        <w:t xml:space="preserve">) sind berechtigt, </w:t>
      </w:r>
      <w:r w:rsidRPr="00BB5519">
        <w:rPr>
          <w:rFonts w:eastAsia="Calibri" w:cs="Tahoma"/>
          <w:szCs w:val="18"/>
          <w:lang w:val="de-DE"/>
        </w:rPr>
        <w:t xml:space="preserve">die Software Windows Server 2012 Standard zu verwenden. Um diese Verwendung zu erleichtern, wird angenommen, dass dem Kunden bei Verfügbarkeit von Windows Server 2012 für jeweils zwei Qualifizierende Lizenzen, die der Kunde besitzt, eine Windows Server 2012 Standard-Prozessorlizenz gewährt wird. </w:t>
      </w:r>
    </w:p>
    <w:p w:rsidR="00CE7FAD" w:rsidRPr="00BB5519" w:rsidRDefault="00CE7FAD" w:rsidP="00CE7FAD">
      <w:pPr>
        <w:tabs>
          <w:tab w:val="left" w:pos="720"/>
        </w:tabs>
        <w:ind w:left="720"/>
        <w:rPr>
          <w:lang w:val="de-DE"/>
        </w:rPr>
      </w:pPr>
    </w:p>
    <w:p w:rsidR="00816F76" w:rsidRPr="00BB5519" w:rsidRDefault="00816F76" w:rsidP="00CE7FAD">
      <w:pPr>
        <w:numPr>
          <w:ilvl w:val="0"/>
          <w:numId w:val="70"/>
        </w:numPr>
        <w:tabs>
          <w:tab w:val="clear" w:pos="360"/>
          <w:tab w:val="num" w:pos="1440"/>
        </w:tabs>
        <w:spacing w:after="60"/>
        <w:ind w:left="1440"/>
        <w:rPr>
          <w:lang w:val="de-DE"/>
        </w:rPr>
      </w:pPr>
      <w:r w:rsidRPr="00BB5519">
        <w:rPr>
          <w:color w:val="000000"/>
          <w:lang w:val="de-DE"/>
        </w:rPr>
        <w:t>Wenn ein Kunde über eine ungerade Anzahl von Lizenzen für Web Server verfügt, muss der Kunde auf die nächste gerade Zahl aufrunden, um festzustellen, wie viele Lizenzen ihm gewährt werden.</w:t>
      </w:r>
      <w:r w:rsidR="009E4976" w:rsidRPr="00BB5519">
        <w:rPr>
          <w:color w:val="000000"/>
          <w:lang w:val="de-DE"/>
        </w:rPr>
        <w:t xml:space="preserve"> </w:t>
      </w:r>
      <w:r w:rsidRPr="00BB5519">
        <w:rPr>
          <w:color w:val="000000"/>
          <w:lang w:val="de-DE"/>
        </w:rPr>
        <w:t>Beispiel: Einem Kunden, der über drei Web Server-Lizenzen verfügt, werden insgesamt zwei Windows Server 2012 Standard-Lizenzen gewährt.</w:t>
      </w:r>
    </w:p>
    <w:p w:rsidR="00816F76" w:rsidRPr="00BB5519" w:rsidRDefault="00816F76" w:rsidP="00CE7FAD">
      <w:pPr>
        <w:numPr>
          <w:ilvl w:val="0"/>
          <w:numId w:val="70"/>
        </w:numPr>
        <w:tabs>
          <w:tab w:val="clear" w:pos="360"/>
          <w:tab w:val="num" w:pos="1440"/>
        </w:tabs>
        <w:spacing w:after="60"/>
        <w:ind w:left="1440"/>
        <w:rPr>
          <w:lang w:val="de-DE"/>
        </w:rPr>
      </w:pPr>
      <w:r w:rsidRPr="00BB5519">
        <w:rPr>
          <w:rFonts w:eastAsia="Calibri" w:cs="Tahoma"/>
          <w:szCs w:val="18"/>
          <w:lang w:val="de-DE"/>
        </w:rPr>
        <w:t>Bei Upgrade auf Windows Server 2012 Standard unter dieser Gewährung bleiben die bestehenden Windows Web Server 2008 R2-Lizenzen des Kunden gültig.</w:t>
      </w:r>
    </w:p>
    <w:p w:rsidR="00816F76" w:rsidRPr="00BB5519" w:rsidRDefault="00816F76" w:rsidP="00CE7FAD">
      <w:pPr>
        <w:pStyle w:val="ListParagraph"/>
        <w:numPr>
          <w:ilvl w:val="0"/>
          <w:numId w:val="70"/>
        </w:numPr>
        <w:tabs>
          <w:tab w:val="clear" w:pos="360"/>
          <w:tab w:val="num" w:pos="1440"/>
        </w:tabs>
        <w:spacing w:after="60"/>
        <w:ind w:left="1440"/>
        <w:contextualSpacing w:val="0"/>
        <w:rPr>
          <w:lang w:val="de-DE"/>
        </w:rPr>
      </w:pPr>
      <w:r w:rsidRPr="00BB5519">
        <w:rPr>
          <w:rFonts w:ascii="Tahoma" w:eastAsia="Calibri" w:hAnsi="Tahoma" w:cs="Tahoma"/>
          <w:sz w:val="18"/>
          <w:szCs w:val="18"/>
          <w:lang w:val="de-DE"/>
        </w:rPr>
        <w:t>Lizenzen, die im Rahmen dieser Gewährung erworben werden, umfassen Software Assurance.</w:t>
      </w:r>
      <w:r w:rsidR="009E4976" w:rsidRPr="00BB5519">
        <w:rPr>
          <w:rFonts w:ascii="Tahoma" w:eastAsia="Calibri" w:hAnsi="Tahoma" w:cs="Tahoma"/>
          <w:sz w:val="18"/>
          <w:szCs w:val="18"/>
          <w:lang w:val="de-DE"/>
        </w:rPr>
        <w:t xml:space="preserve"> </w:t>
      </w:r>
      <w:r w:rsidRPr="00BB5519">
        <w:rPr>
          <w:rFonts w:ascii="Tahoma" w:eastAsia="Calibri" w:hAnsi="Tahoma" w:cs="Tahoma"/>
          <w:sz w:val="18"/>
          <w:szCs w:val="18"/>
          <w:lang w:val="de-DE"/>
        </w:rPr>
        <w:t>Diese Software Assurance gilt bis zum Ablauf der Software Assurance für die Qualifizierenden Lizenzen.</w:t>
      </w:r>
    </w:p>
    <w:p w:rsidR="00816F76" w:rsidRPr="00BB5519" w:rsidRDefault="00816F76" w:rsidP="00CE7FAD">
      <w:pPr>
        <w:pStyle w:val="ListParagraph"/>
        <w:numPr>
          <w:ilvl w:val="0"/>
          <w:numId w:val="70"/>
        </w:numPr>
        <w:tabs>
          <w:tab w:val="clear" w:pos="360"/>
          <w:tab w:val="num" w:pos="1440"/>
        </w:tabs>
        <w:spacing w:after="60"/>
        <w:ind w:left="1440"/>
        <w:contextualSpacing w:val="0"/>
        <w:rPr>
          <w:lang w:val="de-DE"/>
        </w:rPr>
      </w:pPr>
      <w:r w:rsidRPr="00BB551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816F76" w:rsidRPr="00BB5519" w:rsidRDefault="00816F76" w:rsidP="00CE7FAD">
      <w:pPr>
        <w:numPr>
          <w:ilvl w:val="0"/>
          <w:numId w:val="70"/>
        </w:numPr>
        <w:tabs>
          <w:tab w:val="clear" w:pos="360"/>
          <w:tab w:val="num" w:pos="1440"/>
        </w:tabs>
        <w:spacing w:after="60"/>
        <w:ind w:left="1440"/>
        <w:rPr>
          <w:lang w:val="de-DE"/>
        </w:rPr>
      </w:pPr>
      <w:r w:rsidRPr="00BB5519">
        <w:rPr>
          <w:color w:val="000000"/>
          <w:lang w:val="de-DE"/>
        </w:rPr>
        <w:t>Windows Web Server 2008 R2-</w:t>
      </w:r>
      <w:r w:rsidRPr="00BB5519">
        <w:rPr>
          <w:rFonts w:cs="Tahoma"/>
          <w:bCs/>
          <w:color w:val="000000"/>
          <w:szCs w:val="18"/>
          <w:lang w:val="de-DE"/>
        </w:rPr>
        <w:t xml:space="preserve">Lizenzen, die danach unter derselben Beitrittslaufzeit im Rahmen eines Konzern-, Konzern-Abonnement-, Open Value Subscription-Prozesses oder des geplanten jährlichen True Up-Prozesses des EES-Kunden erworben werden, sind ebenfalls Qualifizierende Lizenzen im Sinne der zuvor beschriebenen Gewährung. </w:t>
      </w:r>
    </w:p>
    <w:p w:rsidR="00816F76" w:rsidRPr="00BB5519" w:rsidRDefault="00816F76" w:rsidP="00CE7FAD">
      <w:pPr>
        <w:numPr>
          <w:ilvl w:val="0"/>
          <w:numId w:val="70"/>
        </w:numPr>
        <w:tabs>
          <w:tab w:val="clear" w:pos="360"/>
          <w:tab w:val="num" w:pos="1440"/>
        </w:tabs>
        <w:spacing w:after="60"/>
        <w:ind w:left="1440"/>
        <w:rPr>
          <w:lang w:val="de-DE"/>
        </w:rPr>
      </w:pPr>
      <w:r w:rsidRPr="00BB5519">
        <w:rPr>
          <w:rFonts w:cs="Tahoma"/>
          <w:bCs/>
          <w:color w:val="000000"/>
          <w:szCs w:val="18"/>
          <w:lang w:val="de-DE"/>
        </w:rPr>
        <w:t>Ungeachtet der Gewährung von Windows Server 2012 Standard-Lizenzen und Upgrades dieser Version, bleiben Verpflichtungen zur Zahlung von fälligen Beträgen für die Qualifizierenden Lizenzen und Software Assurance in vollem Umfang wirksam.</w:t>
      </w:r>
    </w:p>
    <w:p w:rsidR="00CE7FAD" w:rsidRPr="00BB5519" w:rsidRDefault="00CE7FAD" w:rsidP="00CE7FAD">
      <w:pPr>
        <w:ind w:left="1440"/>
        <w:rPr>
          <w:lang w:val="de-DE"/>
        </w:rPr>
      </w:pPr>
    </w:p>
    <w:p w:rsidR="00CE7FAD" w:rsidRPr="00BB5519" w:rsidRDefault="00816F76" w:rsidP="00CE7FAD">
      <w:pPr>
        <w:spacing w:after="60"/>
        <w:ind w:left="720"/>
        <w:rPr>
          <w:lang w:val="de-DE"/>
        </w:rPr>
      </w:pPr>
      <w:r w:rsidRPr="00BB5519">
        <w:rPr>
          <w:rFonts w:eastAsia="Calibri" w:cs="Tahoma"/>
          <w:b/>
          <w:szCs w:val="18"/>
          <w:lang w:val="de-DE"/>
        </w:rPr>
        <w:t>Zusätzliche Informationen zur Verwendung von Windows Server 2012 als Webserver</w:t>
      </w:r>
    </w:p>
    <w:p w:rsidR="00816F76" w:rsidRPr="00BB5519" w:rsidRDefault="00816F76" w:rsidP="00CE7FAD">
      <w:pPr>
        <w:ind w:left="720"/>
        <w:rPr>
          <w:lang w:val="de-DE"/>
        </w:rPr>
      </w:pPr>
      <w:r w:rsidRPr="00BB5519">
        <w:rPr>
          <w:rFonts w:eastAsia="Calibri" w:cs="Tahoma"/>
          <w:szCs w:val="18"/>
          <w:lang w:val="de-DE"/>
        </w:rPr>
        <w:t xml:space="preserve">Wenn Windows Server 2012 Standard oder Datacenter als Webserver verwendet wird, benötigen Sie keine CALs für den Zugriff auf die Software. Eine </w:t>
      </w:r>
      <w:r w:rsidRPr="00BB5519">
        <w:rPr>
          <w:lang w:val="de-DE"/>
        </w:rPr>
        <w:t>„Web Workload“ ist eine Workload,</w:t>
      </w:r>
      <w:r w:rsidRPr="00BB5519">
        <w:rPr>
          <w:bCs/>
          <w:lang w:val="de-DE"/>
        </w:rPr>
        <w:t xml:space="preserve"> </w:t>
      </w:r>
      <w:r w:rsidRPr="00BB5519">
        <w:rPr>
          <w:lang w:val="de-DE"/>
        </w:rPr>
        <w:t>bei der die Software als Front-End-Webserver zur Entwicklung und Bereitstellung von per Internet zugänglichen Webpages, Websites, Webanwendungen und Webdiensten eingesetzt wird und POP3-Mail-Serving und Zugriff auf Inhalte, Informationen und Anwendungen, die von der Software bereitgestellt werden,</w:t>
      </w:r>
      <w:r w:rsidRPr="00BB5519">
        <w:rPr>
          <w:u w:val="single"/>
          <w:lang w:val="de-DE"/>
        </w:rPr>
        <w:t xml:space="preserve"> </w:t>
      </w:r>
      <w:r w:rsidRPr="00BB5519">
        <w:rPr>
          <w:lang w:val="de-DE"/>
        </w:rPr>
        <w:t>nicht auf Ihre Mitarbeiter beschränkt ist.</w:t>
      </w:r>
      <w:r w:rsidR="009E4976" w:rsidRPr="00BB5519">
        <w:rPr>
          <w:lang w:val="de-DE"/>
        </w:rPr>
        <w:t xml:space="preserve"> </w:t>
      </w:r>
      <w:r w:rsidRPr="00BB5519">
        <w:rPr>
          <w:rFonts w:eastAsia="Calibri" w:cs="Tahoma"/>
          <w:szCs w:val="18"/>
          <w:lang w:val="de-DE"/>
        </w:rPr>
        <w:t>Zusätzliche Informationen finden Sie in den Produktbenutzungsrechten.</w:t>
      </w:r>
      <w:r w:rsidR="009E4976" w:rsidRPr="00BB5519">
        <w:rPr>
          <w:rFonts w:eastAsia="Calibri" w:cs="Tahoma"/>
          <w:szCs w:val="18"/>
          <w:lang w:val="de-DE"/>
        </w:rPr>
        <w:t xml:space="preserve"> </w:t>
      </w:r>
    </w:p>
    <w:p w:rsidR="00816F76" w:rsidRPr="00BB5519" w:rsidRDefault="00816F76" w:rsidP="00CE7FAD">
      <w:pPr>
        <w:rPr>
          <w:lang w:val="de-DE"/>
        </w:rPr>
      </w:pPr>
    </w:p>
    <w:p w:rsidR="002512D3" w:rsidRPr="00BB5519" w:rsidRDefault="002512D3">
      <w:pPr>
        <w:rPr>
          <w:lang w:val="de-DE"/>
        </w:rPr>
      </w:pPr>
      <w:bookmarkStart w:id="1627" w:name="_Toc336338376"/>
    </w:p>
    <w:p w:rsidR="00532ABF" w:rsidRPr="00BB5519" w:rsidRDefault="00F66FB0" w:rsidP="0057296E">
      <w:pPr>
        <w:pStyle w:val="Heading2"/>
        <w:keepNext/>
        <w:keepLines/>
        <w:ind w:hanging="720"/>
        <w:rPr>
          <w:lang w:val="de-DE"/>
        </w:rPr>
      </w:pPr>
      <w:bookmarkStart w:id="1628" w:name="_110_Windows_Small_1"/>
      <w:bookmarkStart w:id="1629" w:name="_Toc354055065"/>
      <w:bookmarkEnd w:id="1628"/>
      <w:r w:rsidRPr="00BB5519">
        <w:rPr>
          <w:rFonts w:ascii="Tahoma" w:hAnsi="Tahoma" w:cs="Tahoma"/>
          <w:caps/>
          <w:color w:val="F8701C"/>
          <w:sz w:val="22"/>
          <w:szCs w:val="22"/>
          <w:vertAlign w:val="superscript"/>
          <w:lang w:val="de-DE"/>
        </w:rPr>
        <w:t>110</w:t>
      </w:r>
      <w:r w:rsidRPr="00BB5519">
        <w:rPr>
          <w:rFonts w:ascii="Tahoma" w:hAnsi="Tahoma" w:cs="Tahoma"/>
          <w:color w:val="F8701C"/>
          <w:sz w:val="22"/>
          <w:szCs w:val="22"/>
          <w:lang w:val="de-DE"/>
        </w:rPr>
        <w:t xml:space="preserve"> Windows Small Business Server (SBS) 2008 Premium</w:t>
      </w:r>
      <w:bookmarkEnd w:id="1627"/>
      <w:bookmarkEnd w:id="1629"/>
    </w:p>
    <w:bookmarkEnd w:id="1624"/>
    <w:bookmarkEnd w:id="1625"/>
    <w:bookmarkEnd w:id="1626"/>
    <w:p w:rsidR="00515A83" w:rsidRPr="00BB5519" w:rsidRDefault="00515A83" w:rsidP="0057296E">
      <w:pPr>
        <w:keepNext/>
        <w:keepLines/>
        <w:ind w:left="900"/>
        <w:rPr>
          <w:lang w:val="de-DE"/>
        </w:rPr>
      </w:pPr>
    </w:p>
    <w:p w:rsidR="00532ABF" w:rsidRPr="00BB5519" w:rsidRDefault="00532ABF" w:rsidP="0057296E">
      <w:pPr>
        <w:keepNext/>
        <w:keepLines/>
        <w:ind w:left="720"/>
        <w:rPr>
          <w:lang w:val="de-DE"/>
        </w:rPr>
      </w:pPr>
      <w:r w:rsidRPr="00BB5519">
        <w:rPr>
          <w:lang w:val="de-DE"/>
        </w:rPr>
        <w:t>Kunden, die ab dem 1. Januar 2011 über aktive Software Assurance für ihre SBS 2008 Premium-Lizenzen verfügen, sind berechtigt, auf die Software SBS 2011 Standard und SBS 2011 Premium Add-On (oder alle späteren Versionen der Software, die während der aktuellen Laufzeit von Software Assurance zur Verfügung gestellt werden) upzugraden und diese anstelle ihrer SBS 2008 Premium-Software zu nutzen.</w:t>
      </w:r>
      <w:r w:rsidR="009E4976" w:rsidRPr="00BB5519">
        <w:rPr>
          <w:lang w:val="de-DE"/>
        </w:rPr>
        <w:t xml:space="preserve"> </w:t>
      </w:r>
      <w:r w:rsidRPr="00BB5519">
        <w:rPr>
          <w:lang w:val="de-DE"/>
        </w:rPr>
        <w:t>Für jede qualifizierende SBS 2008 Premium-Lizenz, die ein Kunde ab dem 1. Januar 2011 besitzt, erhält der Kunde eine Lizenz für jede SBS 2011 Standard und SBS 2011 Premium Add-On mit aktiver Software Assurance.</w:t>
      </w:r>
      <w:r w:rsidR="009E4976" w:rsidRPr="00BB5519">
        <w:rPr>
          <w:lang w:val="de-DE"/>
        </w:rPr>
        <w:t xml:space="preserve"> </w:t>
      </w:r>
    </w:p>
    <w:p w:rsidR="00532ABF" w:rsidRPr="00BB5519" w:rsidRDefault="00532ABF" w:rsidP="00376D4B">
      <w:pPr>
        <w:ind w:left="720"/>
        <w:rPr>
          <w:lang w:val="de-DE"/>
        </w:rPr>
      </w:pPr>
    </w:p>
    <w:p w:rsidR="00532ABF" w:rsidRPr="00BB5519" w:rsidRDefault="00532ABF" w:rsidP="00067B82">
      <w:pPr>
        <w:keepNext/>
        <w:keepLines/>
        <w:ind w:left="720"/>
        <w:rPr>
          <w:lang w:val="de-DE"/>
        </w:rPr>
      </w:pPr>
      <w:r w:rsidRPr="00BB5519">
        <w:rPr>
          <w:lang w:val="de-DE"/>
        </w:rPr>
        <w:lastRenderedPageBreak/>
        <w:t>Kunden, die ab dem 1. Januar 2011 über aktive Software Assurance für SBS 2008 CAL Suite für Premium-Nutzer und -Geräte verfügen, sind berechtigt, auf die Software SBS 2011 Standard und SBS 2011 Premium Add-On (oder alle späteren Versionen der Software, die während der aktuellen Laufzeit von Software Assurance zur Verfügung gestellt werden) zuzugreifen.</w:t>
      </w:r>
      <w:r w:rsidR="009E4976" w:rsidRPr="00BB5519">
        <w:rPr>
          <w:lang w:val="de-DE"/>
        </w:rPr>
        <w:t xml:space="preserve"> </w:t>
      </w:r>
      <w:r w:rsidRPr="00BB5519">
        <w:rPr>
          <w:lang w:val="de-DE"/>
        </w:rPr>
        <w:t xml:space="preserve">Für jede qualifizierende SBS 2008 CAL Suite für Premium-Nutzer und -Geräte, die ein Kunde ab dem 1. Januar 2011 besitzt, erhält der Kunde SBS 2011 CAL Suite und eine SBS 2011 Premium Add-On CAL Suite mit Software Assurance. </w:t>
      </w:r>
    </w:p>
    <w:p w:rsidR="00532ABF" w:rsidRPr="008C62E4" w:rsidRDefault="00532ABF" w:rsidP="00376D4B">
      <w:pPr>
        <w:ind w:left="720"/>
        <w:rPr>
          <w:sz w:val="16"/>
          <w:szCs w:val="16"/>
          <w:lang w:val="de-DE"/>
        </w:rPr>
      </w:pPr>
    </w:p>
    <w:p w:rsidR="00532ABF" w:rsidRPr="00BB5519" w:rsidRDefault="00532ABF" w:rsidP="0057296E">
      <w:pPr>
        <w:ind w:left="720"/>
        <w:rPr>
          <w:lang w:val="de-DE"/>
        </w:rPr>
      </w:pPr>
      <w:r w:rsidRPr="00BB5519">
        <w:rPr>
          <w:lang w:val="de-DE"/>
        </w:rPr>
        <w:t>Das Recht zur Verwendung der Software unter diesem Angebot gilt bis zum Ablauf des Rechts zur Verwendung der Software unter den qualifizierenden Lizenzen.</w:t>
      </w:r>
      <w:r w:rsidR="009E4976" w:rsidRPr="00BB5519">
        <w:rPr>
          <w:lang w:val="de-DE"/>
        </w:rPr>
        <w:t xml:space="preserve"> </w:t>
      </w:r>
      <w:r w:rsidRPr="00BB5519">
        <w:rPr>
          <w:lang w:val="de-DE"/>
        </w:rPr>
        <w:t>Die Verwendung von Software unter diesem</w:t>
      </w:r>
      <w:r w:rsidR="0057296E">
        <w:rPr>
          <w:lang w:val="de-DE"/>
        </w:rPr>
        <w:t> </w:t>
      </w:r>
      <w:r w:rsidRPr="00BB5519">
        <w:rPr>
          <w:lang w:val="de-DE"/>
        </w:rPr>
        <w:t>Angebot durch einen Kunden unterliegt den Bestimmungen des Volumenlizenzvertrages des Kunden,</w:t>
      </w:r>
      <w:r w:rsidR="0057296E">
        <w:rPr>
          <w:lang w:val="de-DE"/>
        </w:rPr>
        <w:t> </w:t>
      </w:r>
      <w:r w:rsidRPr="00BB5519">
        <w:rPr>
          <w:lang w:val="de-DE"/>
        </w:rPr>
        <w:t>den Produktbenutzungsrechten für SBS 2011 Standard und SBS 2011 Premium Add-On sowie diesen Bestimmungen.</w:t>
      </w:r>
      <w:r w:rsidR="009E4976" w:rsidRPr="00BB5519">
        <w:rPr>
          <w:lang w:val="de-DE"/>
        </w:rPr>
        <w:t xml:space="preserve"> </w:t>
      </w:r>
      <w:r w:rsidRPr="00BB5519">
        <w:rPr>
          <w:lang w:val="de-DE"/>
        </w:rPr>
        <w:t>Dieser Hinweis auf die Produktbedingungen belegt gemeinsam mit dem Nachweis der qualifizierenden Lizenzen die unter diesem Angebot gewährten Rechte.</w:t>
      </w:r>
      <w:r w:rsidR="009E4976" w:rsidRPr="00BB5519">
        <w:rPr>
          <w:lang w:val="de-DE"/>
        </w:rPr>
        <w:t xml:space="preserve"> </w:t>
      </w:r>
      <w:r w:rsidRPr="00BB5519">
        <w:rPr>
          <w:lang w:val="de-DE"/>
        </w:rPr>
        <w:t>Bei Ablauf von Software Assurance für die qualifizierende Lizenz ist der Kunde berechtigt, Software Assurance für die SBS Premium</w:t>
      </w:r>
      <w:r w:rsidR="0057296E">
        <w:rPr>
          <w:lang w:val="de-DE"/>
        </w:rPr>
        <w:t> </w:t>
      </w:r>
      <w:r w:rsidRPr="00BB5519">
        <w:rPr>
          <w:lang w:val="de-DE"/>
        </w:rPr>
        <w:t>Add-On-Lizenzen und CAL Suites zu verlängern.</w:t>
      </w:r>
    </w:p>
    <w:p w:rsidR="00296B89" w:rsidRPr="008C62E4" w:rsidRDefault="00296B89" w:rsidP="00EF2279">
      <w:pPr>
        <w:ind w:left="900"/>
        <w:rPr>
          <w:sz w:val="16"/>
          <w:szCs w:val="16"/>
          <w:lang w:val="de-DE"/>
        </w:rPr>
      </w:pPr>
    </w:p>
    <w:p w:rsidR="00586FCE" w:rsidRPr="008C62E4" w:rsidRDefault="00586FCE" w:rsidP="00EF2279">
      <w:pPr>
        <w:ind w:left="900"/>
        <w:rPr>
          <w:sz w:val="16"/>
          <w:szCs w:val="16"/>
          <w:lang w:val="de-DE"/>
        </w:rPr>
      </w:pPr>
    </w:p>
    <w:p w:rsidR="00296B89" w:rsidRPr="00BB5519" w:rsidRDefault="00F66FB0" w:rsidP="00EF2279">
      <w:pPr>
        <w:pStyle w:val="Heading3"/>
      </w:pPr>
      <w:bookmarkStart w:id="1630" w:name="_119_Windows_Small"/>
      <w:bookmarkStart w:id="1631" w:name="_111_Windows_Small"/>
      <w:bookmarkStart w:id="1632" w:name="_Toc336338377"/>
      <w:bookmarkStart w:id="1633" w:name="_Toc354055066"/>
      <w:bookmarkStart w:id="1634" w:name="Srv_117WinSmallBizSVR2011Addon"/>
      <w:bookmarkStart w:id="1635" w:name="Srv_121WinSmallBizSVR2011Addon"/>
      <w:bookmarkEnd w:id="1630"/>
      <w:bookmarkEnd w:id="1631"/>
      <w:r w:rsidRPr="00BB5519">
        <w:rPr>
          <w:rFonts w:ascii="Tahoma" w:hAnsi="Tahoma" w:cs="Tahoma"/>
          <w:caps/>
          <w:color w:val="FF6D09"/>
          <w:sz w:val="22"/>
          <w:vertAlign w:val="superscript"/>
        </w:rPr>
        <w:t>111</w:t>
      </w:r>
      <w:r w:rsidRPr="00BB5519">
        <w:rPr>
          <w:rFonts w:ascii="Tahoma" w:hAnsi="Tahoma" w:cs="Tahoma"/>
          <w:color w:val="FF6D09"/>
          <w:sz w:val="22"/>
        </w:rPr>
        <w:t xml:space="preserve"> Windows Small Business Server (SBS) 2011 Standard</w:t>
      </w:r>
      <w:bookmarkEnd w:id="1632"/>
      <w:bookmarkEnd w:id="1633"/>
    </w:p>
    <w:bookmarkEnd w:id="1634"/>
    <w:bookmarkEnd w:id="1635"/>
    <w:p w:rsidR="00296B89" w:rsidRPr="008C62E4" w:rsidRDefault="00296B89" w:rsidP="00CE7FAD">
      <w:pPr>
        <w:ind w:left="900"/>
        <w:rPr>
          <w:sz w:val="16"/>
          <w:szCs w:val="16"/>
        </w:rPr>
      </w:pPr>
    </w:p>
    <w:p w:rsidR="00CE7FAD" w:rsidRPr="00BB5519" w:rsidRDefault="00836655" w:rsidP="00CE7FAD">
      <w:pPr>
        <w:spacing w:after="60"/>
        <w:ind w:left="720"/>
        <w:rPr>
          <w:lang w:val="de-DE"/>
        </w:rPr>
      </w:pPr>
      <w:r w:rsidRPr="00BB5519">
        <w:rPr>
          <w:b/>
          <w:color w:val="000000"/>
          <w:lang w:val="de-DE"/>
        </w:rPr>
        <w:t>Lizenzgewährungen im Zusammenhang mit dem Ende der Lebensdauer von SBS 2011 Standard</w:t>
      </w:r>
    </w:p>
    <w:p w:rsidR="00F1020A" w:rsidRPr="00BB5519" w:rsidRDefault="00836655" w:rsidP="00CE7FAD">
      <w:pPr>
        <w:ind w:left="720"/>
        <w:rPr>
          <w:lang w:val="de-DE"/>
        </w:rPr>
      </w:pPr>
      <w:r w:rsidRPr="00BB5519">
        <w:rPr>
          <w:color w:val="000000"/>
          <w:lang w:val="de-DE"/>
        </w:rPr>
        <w:t xml:space="preserve">SBS 2011 Standard ist die letzte Version von SBS Standard. Volumenlizenzkunden, die über aktive Software Assurance für SBS 2011 Standard-Lizenzen verfügen („Qualifizierende Lizenzen“), sind berechtigt, Windows Server Standard und Exchange Server Standard anstelle von SBS 2011 zu </w:t>
      </w:r>
      <w:r w:rsidRPr="00BB5519">
        <w:rPr>
          <w:rFonts w:eastAsia="Calibri" w:cs="Tahoma"/>
          <w:szCs w:val="18"/>
          <w:lang w:val="de-DE"/>
        </w:rPr>
        <w:t xml:space="preserve">verwenden. Um diese Nutzung zu erleichtern, wird angenommen, dass dem Kunden für jede Qualifizierende Lizenz, die der Kunde besitzt, jeweils zwei Lizenzen für Windows Server Standard und eine Lizenz für Exchange Server 2010 Standard entsprechend der nachstehenden Tabelle gewährt wird. </w:t>
      </w:r>
    </w:p>
    <w:p w:rsidR="00CE7FAD" w:rsidRPr="008C62E4" w:rsidRDefault="00CE7FAD" w:rsidP="00CE7FAD">
      <w:pPr>
        <w:ind w:left="720"/>
        <w:rPr>
          <w:sz w:val="16"/>
          <w:szCs w:val="16"/>
          <w:lang w:val="de-DE"/>
        </w:rPr>
      </w:pPr>
    </w:p>
    <w:p w:rsidR="00CE7FAD" w:rsidRPr="008C62E4" w:rsidRDefault="00CE7FAD" w:rsidP="00CE7FAD">
      <w:pPr>
        <w:ind w:left="720"/>
        <w:rPr>
          <w:sz w:val="16"/>
          <w:szCs w:val="16"/>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9E5BF9" w:rsidRPr="00BB551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B5519" w:rsidRDefault="00836655" w:rsidP="000A5032">
            <w:pPr>
              <w:spacing w:after="200" w:line="276" w:lineRule="auto"/>
              <w:rPr>
                <w:rFonts w:eastAsia="Calibri" w:cs="Tahoma"/>
                <w:szCs w:val="18"/>
              </w:rPr>
            </w:pPr>
            <w:r w:rsidRPr="00BB5519">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B5519" w:rsidRDefault="00836655" w:rsidP="000A5032">
            <w:pPr>
              <w:spacing w:after="200" w:line="276" w:lineRule="auto"/>
              <w:rPr>
                <w:rFonts w:eastAsia="Calibri" w:cs="Tahoma"/>
                <w:szCs w:val="18"/>
              </w:rPr>
            </w:pPr>
            <w:r w:rsidRPr="00BB5519">
              <w:rPr>
                <w:b/>
                <w:color w:val="000000"/>
              </w:rPr>
              <w:t>Lizenzgewährung</w:t>
            </w:r>
          </w:p>
        </w:tc>
      </w:tr>
      <w:tr w:rsidR="009E5BF9" w:rsidRPr="00D244F0"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0D5F24">
            <w:pPr>
              <w:spacing w:line="276" w:lineRule="auto"/>
              <w:rPr>
                <w:rFonts w:eastAsia="Calibri" w:cs="Tahoma"/>
                <w:szCs w:val="18"/>
              </w:rPr>
            </w:pPr>
            <w:r w:rsidRPr="00BB5519">
              <w:rPr>
                <w:rFonts w:eastAsia="Calibri" w:cs="Tahoma"/>
                <w:szCs w:val="18"/>
                <w:lang w:val="de-DE"/>
              </w:rPr>
              <w:t xml:space="preserve">SBS 2011 Standard mit Software Assurance bis zum 31. </w:t>
            </w:r>
            <w:r w:rsidRPr="00BB5519">
              <w:rPr>
                <w:rFonts w:eastAsia="Calibri" w:cs="Tahoma"/>
                <w:szCs w:val="18"/>
              </w:rPr>
              <w:t>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9E5BF9" w:rsidP="000D5F24">
            <w:pPr>
              <w:spacing w:line="276" w:lineRule="auto"/>
              <w:rPr>
                <w:lang w:val="de-DE"/>
              </w:rPr>
            </w:pPr>
            <w:r w:rsidRPr="00BB5519">
              <w:rPr>
                <w:rFonts w:eastAsia="Calibri" w:cs="Tahoma"/>
                <w:szCs w:val="18"/>
                <w:lang w:val="de-DE"/>
              </w:rPr>
              <w:t>Zwei Lizenzen für Windows Server 2008 R2 mit Software Assurance</w:t>
            </w:r>
          </w:p>
          <w:p w:rsidR="00836655" w:rsidRPr="00BB5519" w:rsidRDefault="009E5BF9" w:rsidP="000D5F24">
            <w:pPr>
              <w:spacing w:line="276" w:lineRule="auto"/>
              <w:rPr>
                <w:rFonts w:eastAsia="Calibri" w:cs="Tahoma"/>
                <w:szCs w:val="18"/>
                <w:lang w:val="de-DE"/>
              </w:rPr>
            </w:pPr>
            <w:r w:rsidRPr="00BB5519">
              <w:rPr>
                <w:rFonts w:eastAsia="Calibri" w:cs="Tahoma"/>
                <w:szCs w:val="18"/>
                <w:lang w:val="de-DE"/>
              </w:rPr>
              <w:t>Eine Lizenz für Exchange Server 2010 Standard mit Software Assurance</w:t>
            </w:r>
          </w:p>
        </w:tc>
      </w:tr>
      <w:tr w:rsidR="009E5BF9" w:rsidRPr="00D244F0"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0D5F24">
            <w:pPr>
              <w:spacing w:line="276" w:lineRule="auto"/>
              <w:rPr>
                <w:rFonts w:eastAsia="Calibri" w:cs="Tahoma"/>
                <w:szCs w:val="18"/>
              </w:rPr>
            </w:pPr>
            <w:r w:rsidRPr="00BB5519">
              <w:rPr>
                <w:rFonts w:eastAsia="Calibri" w:cs="Tahoma"/>
                <w:szCs w:val="18"/>
                <w:lang w:val="de-DE"/>
              </w:rPr>
              <w:t xml:space="preserve">SBS 2011 Standard mit Software Assurance ab dem 1. </w:t>
            </w:r>
            <w:r w:rsidRPr="00BB5519">
              <w:rPr>
                <w:rFonts w:eastAsia="Calibri" w:cs="Tahoma"/>
                <w:szCs w:val="18"/>
              </w:rPr>
              <w:t>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9E5BF9" w:rsidP="000D5F24">
            <w:pPr>
              <w:spacing w:line="276" w:lineRule="auto"/>
              <w:rPr>
                <w:lang w:val="de-DE"/>
              </w:rPr>
            </w:pPr>
            <w:r w:rsidRPr="00BB5519">
              <w:rPr>
                <w:rFonts w:eastAsia="Calibri" w:cs="Tahoma"/>
                <w:szCs w:val="18"/>
                <w:lang w:val="de-DE"/>
              </w:rPr>
              <w:t>Zwei Lizenzen für Windows Server 2012 mit Software Assurance</w:t>
            </w:r>
          </w:p>
          <w:p w:rsidR="00836655" w:rsidRPr="00BB5519" w:rsidRDefault="009E5BF9" w:rsidP="000D5F24">
            <w:pPr>
              <w:spacing w:line="276" w:lineRule="auto"/>
              <w:rPr>
                <w:rFonts w:eastAsia="Calibri" w:cs="Tahoma"/>
                <w:szCs w:val="18"/>
                <w:lang w:val="de-DE"/>
              </w:rPr>
            </w:pPr>
            <w:r w:rsidRPr="00BB5519">
              <w:rPr>
                <w:rFonts w:eastAsia="Calibri" w:cs="Tahoma"/>
                <w:szCs w:val="18"/>
                <w:lang w:val="de-DE"/>
              </w:rPr>
              <w:t>Eine Lizenz für Exchange Server 2010 Standard mit Software Assurance</w:t>
            </w:r>
          </w:p>
        </w:tc>
      </w:tr>
    </w:tbl>
    <w:p w:rsidR="00CE7FAD" w:rsidRPr="008C62E4" w:rsidRDefault="00CE7FAD" w:rsidP="00CE7FAD">
      <w:pPr>
        <w:spacing w:after="100" w:afterAutospacing="1" w:line="276" w:lineRule="auto"/>
        <w:ind w:left="720"/>
        <w:contextualSpacing/>
        <w:rPr>
          <w:rFonts w:cs="Tahoma"/>
          <w:sz w:val="16"/>
          <w:szCs w:val="16"/>
          <w:lang w:val="de-DE"/>
        </w:rPr>
      </w:pPr>
    </w:p>
    <w:p w:rsidR="00836655" w:rsidRPr="00BB5519" w:rsidRDefault="00836655" w:rsidP="00CE7FAD">
      <w:pPr>
        <w:ind w:left="720"/>
        <w:rPr>
          <w:lang w:val="de-DE"/>
        </w:rPr>
      </w:pPr>
      <w:r w:rsidRPr="00BB5519">
        <w:rPr>
          <w:rFonts w:eastAsia="Calibri" w:cs="Tahoma"/>
          <w:szCs w:val="18"/>
          <w:lang w:val="de-DE"/>
        </w:rPr>
        <w:t>Die Software Assurance aus den obigen Gewährungen läuft ab, wenn die entsprechende Software Assurance für die Qualifizierenden Lizenzen abläuft. Als Ausnahme dürfen Kunden mit Software Assurance für Qualifizierende Lizenzen, die im August 2012 ablaufen, bis zum 31. Dezember 2012 für die im Rahmen dieses Angebots gewährten Lizenzen für Windows Server und Exchange Server Software Assurance verlängern.</w:t>
      </w:r>
    </w:p>
    <w:p w:rsidR="00CE7FAD" w:rsidRPr="008C62E4" w:rsidRDefault="00CE7FAD" w:rsidP="00CE7FAD">
      <w:pPr>
        <w:pStyle w:val="ListParagraph"/>
        <w:contextualSpacing w:val="0"/>
        <w:rPr>
          <w:rFonts w:ascii="Tahoma" w:hAnsi="Tahoma" w:cs="Tahoma"/>
          <w:sz w:val="16"/>
          <w:szCs w:val="16"/>
          <w:lang w:val="de-DE"/>
        </w:rPr>
      </w:pPr>
    </w:p>
    <w:p w:rsidR="00836655" w:rsidRPr="00BB5519" w:rsidRDefault="00836655" w:rsidP="0057296E">
      <w:pPr>
        <w:pStyle w:val="ListParagraph"/>
        <w:keepNext/>
        <w:keepLines/>
        <w:contextualSpacing w:val="0"/>
        <w:rPr>
          <w:lang w:val="de-DE"/>
        </w:rPr>
      </w:pPr>
      <w:r w:rsidRPr="00BB551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B81BE7" w:rsidRPr="008C62E4" w:rsidRDefault="00B81BE7" w:rsidP="00B81BE7">
      <w:pPr>
        <w:ind w:left="720"/>
        <w:rPr>
          <w:sz w:val="16"/>
          <w:szCs w:val="16"/>
          <w:lang w:val="de-DE"/>
        </w:rPr>
      </w:pPr>
    </w:p>
    <w:p w:rsidR="00836655" w:rsidRPr="008C62E4" w:rsidRDefault="00836655" w:rsidP="00CE7FAD">
      <w:pPr>
        <w:pStyle w:val="ListParagraph"/>
        <w:contextualSpacing w:val="0"/>
        <w:rPr>
          <w:rFonts w:ascii="Tahoma" w:hAnsi="Tahoma" w:cs="Tahoma"/>
          <w:sz w:val="16"/>
          <w:szCs w:val="16"/>
          <w:lang w:val="de-DE"/>
        </w:rPr>
      </w:pPr>
      <w:r w:rsidRPr="00BB5519">
        <w:rPr>
          <w:rFonts w:ascii="Tahoma" w:eastAsia="Calibri" w:hAnsi="Tahoma" w:cs="Tahoma"/>
          <w:sz w:val="18"/>
          <w:szCs w:val="18"/>
          <w:lang w:val="de-DE"/>
        </w:rPr>
        <w:t>Für jede Qualifizierende Lizenz, die unter einer Open Value Subscription erworben wurde, ist der Kunde berechtigt, ein Buy-Out für eine SBS 2011 Standard-Lizenz wie angeboten durchzuführen, oder</w:t>
      </w:r>
    </w:p>
    <w:p w:rsidR="00CE7FAD" w:rsidRPr="008C62E4" w:rsidRDefault="00CE7FAD" w:rsidP="00CE7FAD">
      <w:pPr>
        <w:pStyle w:val="ListParagraph"/>
        <w:contextualSpacing w:val="0"/>
        <w:rPr>
          <w:rFonts w:ascii="Tahoma" w:hAnsi="Tahoma" w:cs="Tahoma"/>
          <w:sz w:val="16"/>
          <w:szCs w:val="16"/>
          <w:lang w:val="de-DE"/>
        </w:rPr>
      </w:pPr>
    </w:p>
    <w:p w:rsidR="00836655" w:rsidRPr="008C62E4" w:rsidRDefault="009E5BF9" w:rsidP="00CE7FAD">
      <w:pPr>
        <w:pStyle w:val="ListParagraph"/>
        <w:numPr>
          <w:ilvl w:val="1"/>
          <w:numId w:val="123"/>
        </w:numPr>
        <w:tabs>
          <w:tab w:val="clear" w:pos="1440"/>
        </w:tabs>
        <w:contextualSpacing w:val="0"/>
        <w:rPr>
          <w:rFonts w:ascii="Tahoma" w:hAnsi="Tahoma" w:cs="Tahoma"/>
          <w:sz w:val="18"/>
          <w:szCs w:val="18"/>
          <w:lang w:val="de-DE"/>
        </w:rPr>
      </w:pPr>
      <w:r w:rsidRPr="008C62E4">
        <w:rPr>
          <w:rFonts w:ascii="Tahoma" w:eastAsia="Calibri" w:hAnsi="Tahoma" w:cs="Tahoma"/>
          <w:sz w:val="18"/>
          <w:szCs w:val="18"/>
          <w:lang w:val="de-DE"/>
        </w:rPr>
        <w:t>Zwei Lizenzen für Windows Server 2012 Standard und eine Lizenz für Exchange Server 2010 Standard für Verträge, die ab dem 1.</w:t>
      </w:r>
      <w:r w:rsidR="009E4976" w:rsidRPr="008C62E4">
        <w:rPr>
          <w:rFonts w:ascii="Tahoma" w:eastAsia="Calibri" w:hAnsi="Tahoma" w:cs="Tahoma"/>
          <w:sz w:val="18"/>
          <w:szCs w:val="18"/>
          <w:lang w:val="de-DE"/>
        </w:rPr>
        <w:t xml:space="preserve"> </w:t>
      </w:r>
      <w:r w:rsidRPr="008C62E4">
        <w:rPr>
          <w:rFonts w:ascii="Tahoma" w:eastAsia="Calibri" w:hAnsi="Tahoma" w:cs="Tahoma"/>
          <w:sz w:val="18"/>
          <w:szCs w:val="18"/>
          <w:lang w:val="de-DE"/>
        </w:rPr>
        <w:t>August 2012 ablaufen, oder</w:t>
      </w:r>
    </w:p>
    <w:p w:rsidR="00836655" w:rsidRPr="008C62E4" w:rsidRDefault="009E5BF9" w:rsidP="00CE7FAD">
      <w:pPr>
        <w:pStyle w:val="ListParagraph"/>
        <w:numPr>
          <w:ilvl w:val="1"/>
          <w:numId w:val="123"/>
        </w:numPr>
        <w:tabs>
          <w:tab w:val="clear" w:pos="1440"/>
        </w:tabs>
        <w:contextualSpacing w:val="0"/>
        <w:rPr>
          <w:rFonts w:ascii="Tahoma" w:hAnsi="Tahoma" w:cs="Tahoma"/>
          <w:sz w:val="18"/>
          <w:szCs w:val="18"/>
          <w:lang w:val="de-DE"/>
        </w:rPr>
      </w:pPr>
      <w:r w:rsidRPr="008C62E4">
        <w:rPr>
          <w:rFonts w:ascii="Tahoma" w:eastAsia="Calibri" w:hAnsi="Tahoma" w:cs="Tahoma"/>
          <w:sz w:val="18"/>
          <w:szCs w:val="18"/>
          <w:lang w:val="de-DE"/>
        </w:rPr>
        <w:t>Zwei Lizenzen für Windows Server 2008 R2 Standard und eine Lizenz für Exchange Server 2010 Standard für Verträge, die im Juli 2012 ablaufen.</w:t>
      </w:r>
    </w:p>
    <w:p w:rsidR="00836655" w:rsidRPr="00BB5519" w:rsidRDefault="00836655" w:rsidP="00CE7FAD">
      <w:pPr>
        <w:ind w:left="720"/>
        <w:rPr>
          <w:lang w:val="de-DE"/>
        </w:rPr>
      </w:pPr>
      <w:r w:rsidRPr="00BB5519">
        <w:rPr>
          <w:rFonts w:eastAsia="Calibri" w:cs="Tahoma"/>
          <w:szCs w:val="18"/>
          <w:lang w:val="de-DE"/>
        </w:rPr>
        <w:lastRenderedPageBreak/>
        <w:t>Bei Upgrade auf Windows Server Standard und Exchange Server 2010 Standard unter dieser Gewährung sind die bestehenden Qualifizierenden Lizenzen für SBS Standard des Kunden nicht mehr gültig.</w:t>
      </w:r>
    </w:p>
    <w:p w:rsidR="00CE7FAD" w:rsidRPr="00BB5519" w:rsidRDefault="00CE7FAD" w:rsidP="00CE7FAD">
      <w:pPr>
        <w:ind w:left="720"/>
        <w:rPr>
          <w:lang w:val="de-DE"/>
        </w:rPr>
      </w:pPr>
    </w:p>
    <w:p w:rsidR="00836655" w:rsidRPr="00BB5519" w:rsidRDefault="00836655" w:rsidP="00CE7FAD">
      <w:pPr>
        <w:ind w:left="720"/>
        <w:rPr>
          <w:lang w:val="de-DE"/>
        </w:rPr>
      </w:pPr>
      <w:r w:rsidRPr="00BB5519">
        <w:rPr>
          <w:color w:val="000000"/>
          <w:lang w:val="de-DE"/>
        </w:rPr>
        <w:t>SBS 2011 Standard</w:t>
      </w:r>
      <w:r w:rsidRPr="00BB5519">
        <w:rPr>
          <w:rFonts w:cs="Tahoma"/>
          <w:bCs/>
          <w:color w:val="000000"/>
          <w:szCs w:val="18"/>
          <w:lang w:val="de-DE"/>
        </w:rPr>
        <w:t>-Lizenzen, die danach unter derselben Beitrittslaufzeit im Rahmen eines Open Value Subscription-Prozesses oder des geplanten jährlichen True Up-Prozesses des EES-Kunden erworben werden, sind ebenfalls Qualifizierende Lizenzen im Sinne der zuvor beschriebenen Gewährung.</w:t>
      </w:r>
    </w:p>
    <w:p w:rsidR="00D16723" w:rsidRPr="00BB5519" w:rsidRDefault="00D16723" w:rsidP="00CE7FAD">
      <w:pPr>
        <w:ind w:left="720"/>
        <w:rPr>
          <w:lang w:val="de-DE"/>
        </w:rPr>
      </w:pPr>
    </w:p>
    <w:p w:rsidR="00D16723" w:rsidRPr="00BB5519" w:rsidRDefault="00D16723">
      <w:pPr>
        <w:rPr>
          <w:lang w:val="de-DE"/>
        </w:rPr>
      </w:pPr>
      <w:bookmarkStart w:id="1636" w:name="_100_SBS_2008"/>
      <w:bookmarkStart w:id="1637" w:name="_101_SBS_2008"/>
      <w:bookmarkStart w:id="1638" w:name="_105_SBS_2008"/>
      <w:bookmarkStart w:id="1639" w:name="_125_Windows_Web"/>
      <w:bookmarkEnd w:id="1636"/>
      <w:bookmarkEnd w:id="1637"/>
      <w:bookmarkEnd w:id="1638"/>
      <w:bookmarkEnd w:id="1639"/>
    </w:p>
    <w:p w:rsidR="00E06578" w:rsidRPr="00BB5519" w:rsidRDefault="00F66FB0" w:rsidP="00EF2279">
      <w:pPr>
        <w:pStyle w:val="Heading2"/>
        <w:ind w:left="0"/>
      </w:pPr>
      <w:bookmarkStart w:id="1640" w:name="_122_Windows_Small"/>
      <w:bookmarkStart w:id="1641" w:name="_120_Windows_Small"/>
      <w:bookmarkStart w:id="1642" w:name="_110_Windows_Small"/>
      <w:bookmarkStart w:id="1643" w:name="_112_CAL-Suite_für"/>
      <w:bookmarkStart w:id="1644" w:name="_Toc336338378"/>
      <w:bookmarkStart w:id="1645" w:name="_Toc354055067"/>
      <w:bookmarkEnd w:id="1640"/>
      <w:bookmarkEnd w:id="1641"/>
      <w:bookmarkEnd w:id="1642"/>
      <w:bookmarkEnd w:id="1643"/>
      <w:r w:rsidRPr="00BB5519">
        <w:rPr>
          <w:rFonts w:ascii="Tahoma" w:hAnsi="Tahoma" w:cs="Tahoma"/>
          <w:caps/>
          <w:color w:val="EE6000"/>
          <w:sz w:val="22"/>
          <w:szCs w:val="18"/>
          <w:vertAlign w:val="superscript"/>
        </w:rPr>
        <w:t xml:space="preserve">112 </w:t>
      </w:r>
      <w:r w:rsidRPr="00BB5519">
        <w:rPr>
          <w:rFonts w:ascii="Tahoma" w:hAnsi="Tahoma" w:cs="Tahoma"/>
          <w:color w:val="F8701C"/>
          <w:sz w:val="22"/>
          <w:szCs w:val="22"/>
        </w:rPr>
        <w:t>CAL-Suite für Windows Small Business Server (SBS) 2011</w:t>
      </w:r>
      <w:bookmarkEnd w:id="1644"/>
      <w:bookmarkEnd w:id="1645"/>
    </w:p>
    <w:p w:rsidR="00E06578" w:rsidRPr="00BB5519" w:rsidRDefault="00E06578" w:rsidP="000F0F4D">
      <w:pPr>
        <w:ind w:left="900"/>
      </w:pPr>
    </w:p>
    <w:p w:rsidR="000F0F4D" w:rsidRPr="00BB5519" w:rsidRDefault="00836655" w:rsidP="000F0F4D">
      <w:pPr>
        <w:spacing w:after="60"/>
        <w:ind w:left="720"/>
        <w:rPr>
          <w:lang w:val="de-DE"/>
        </w:rPr>
      </w:pPr>
      <w:r w:rsidRPr="00BB5519">
        <w:rPr>
          <w:b/>
          <w:color w:val="000000"/>
          <w:lang w:val="de-DE"/>
        </w:rPr>
        <w:t xml:space="preserve">Lizenzgewährungen im Zusammenhang mit dem Ende der Lebensdauer von </w:t>
      </w:r>
      <w:r w:rsidR="0057296E">
        <w:rPr>
          <w:b/>
          <w:color w:val="000000"/>
          <w:lang w:val="de-DE"/>
        </w:rPr>
        <w:br/>
      </w:r>
      <w:r w:rsidRPr="00BB5519">
        <w:rPr>
          <w:b/>
          <w:color w:val="000000"/>
          <w:lang w:val="de-DE"/>
        </w:rPr>
        <w:t>SBS 2011 CAL Suite</w:t>
      </w:r>
    </w:p>
    <w:p w:rsidR="00836655" w:rsidRPr="00BB5519" w:rsidRDefault="00836655" w:rsidP="000F0F4D">
      <w:pPr>
        <w:ind w:left="720"/>
        <w:rPr>
          <w:lang w:val="de-DE"/>
        </w:rPr>
      </w:pPr>
      <w:r w:rsidRPr="00BB5519">
        <w:rPr>
          <w:lang w:val="de-DE"/>
        </w:rPr>
        <w:t>Kunden mit Software Assurance für SBS 2011 CAL Suite („Qualifizierende CALs“) sind berechtigt, auf die Software Window Server Standard und Exchange Server 2010 Standard zuzugreifen.</w:t>
      </w:r>
      <w:r w:rsidR="009E4976" w:rsidRPr="00BB5519">
        <w:rPr>
          <w:lang w:val="de-DE"/>
        </w:rPr>
        <w:t xml:space="preserve"> </w:t>
      </w:r>
      <w:r w:rsidRPr="00BB5519">
        <w:rPr>
          <w:rFonts w:eastAsia="Calibri" w:cs="Tahoma"/>
          <w:szCs w:val="18"/>
          <w:lang w:val="de-DE"/>
        </w:rPr>
        <w:t xml:space="preserve">Um diesen Zugriff zu erleichtern, wird angenommen, dass dem Kunden für jede Qualifizierende CAL, die der Kunde besitzt, jeweils eine CAL für Windows Server Standard und für Exchange Server 2010 Standard entsprechend der nachstehenden Tabelle gewährt wird. </w:t>
      </w:r>
    </w:p>
    <w:p w:rsidR="000F0F4D" w:rsidRPr="00BB5519" w:rsidRDefault="000F0F4D" w:rsidP="00155B9B">
      <w:pPr>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07"/>
        <w:gridCol w:w="4615"/>
      </w:tblGrid>
      <w:tr w:rsidR="00836655" w:rsidRPr="00BB5519" w:rsidTr="0057296E">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B5519" w:rsidRDefault="00836655" w:rsidP="000A5032">
            <w:pPr>
              <w:spacing w:after="200" w:line="276" w:lineRule="auto"/>
              <w:rPr>
                <w:rFonts w:eastAsia="Calibri" w:cs="Tahoma"/>
                <w:szCs w:val="18"/>
              </w:rPr>
            </w:pPr>
            <w:r w:rsidRPr="00BB5519">
              <w:rPr>
                <w:b/>
                <w:color w:val="000000"/>
              </w:rPr>
              <w:t>Qualifizierende Lizenzen</w:t>
            </w:r>
          </w:p>
        </w:tc>
        <w:tc>
          <w:tcPr>
            <w:tcW w:w="468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B5519" w:rsidRDefault="00836655" w:rsidP="000A5032">
            <w:pPr>
              <w:spacing w:after="200" w:line="276" w:lineRule="auto"/>
              <w:rPr>
                <w:rFonts w:eastAsia="Calibri" w:cs="Tahoma"/>
                <w:szCs w:val="18"/>
              </w:rPr>
            </w:pPr>
            <w:r w:rsidRPr="00BB5519">
              <w:rPr>
                <w:b/>
                <w:color w:val="000000"/>
              </w:rPr>
              <w:t>Lizenzgewährung</w:t>
            </w:r>
          </w:p>
        </w:tc>
      </w:tr>
      <w:tr w:rsidR="00836655" w:rsidRPr="00D244F0" w:rsidTr="0057296E">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CA14C9">
            <w:pPr>
              <w:spacing w:line="276" w:lineRule="auto"/>
              <w:rPr>
                <w:rFonts w:eastAsia="Calibri" w:cs="Tahoma"/>
                <w:szCs w:val="18"/>
              </w:rPr>
            </w:pPr>
            <w:r w:rsidRPr="00BB5519">
              <w:rPr>
                <w:rFonts w:eastAsia="Calibri" w:cs="Tahoma"/>
                <w:szCs w:val="18"/>
                <w:lang w:val="de-DE"/>
              </w:rPr>
              <w:t xml:space="preserve">SBS 2011 CAL Suite mit Software Assurance bis zum 31. </w:t>
            </w:r>
            <w:r w:rsidRPr="00BB5519">
              <w:rPr>
                <w:rFonts w:eastAsia="Calibri" w:cs="Tahoma"/>
                <w:szCs w:val="18"/>
              </w:rPr>
              <w:t>Juli 2012</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CA14C9">
            <w:pPr>
              <w:spacing w:line="276" w:lineRule="auto"/>
              <w:rPr>
                <w:lang w:val="de-DE"/>
              </w:rPr>
            </w:pPr>
            <w:r w:rsidRPr="00BB5519">
              <w:rPr>
                <w:rFonts w:eastAsia="Calibri" w:cs="Tahoma"/>
                <w:szCs w:val="18"/>
                <w:lang w:val="de-DE"/>
              </w:rPr>
              <w:t>CAL für Windows Server 2008 R2</w:t>
            </w:r>
          </w:p>
          <w:p w:rsidR="00836655" w:rsidRPr="00BB5519" w:rsidRDefault="00836655" w:rsidP="00CA14C9">
            <w:pPr>
              <w:spacing w:line="276" w:lineRule="auto"/>
              <w:rPr>
                <w:rFonts w:eastAsia="Calibri" w:cs="Tahoma"/>
                <w:szCs w:val="18"/>
                <w:lang w:val="de-DE"/>
              </w:rPr>
            </w:pPr>
            <w:r w:rsidRPr="00BB5519">
              <w:rPr>
                <w:rFonts w:eastAsia="Calibri" w:cs="Tahoma"/>
                <w:szCs w:val="18"/>
                <w:lang w:val="de-DE"/>
              </w:rPr>
              <w:t>CAL für Exchange Server 2010</w:t>
            </w:r>
          </w:p>
        </w:tc>
      </w:tr>
      <w:tr w:rsidR="00836655" w:rsidRPr="00D244F0" w:rsidTr="0057296E">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CA14C9">
            <w:pPr>
              <w:spacing w:line="276" w:lineRule="auto"/>
              <w:rPr>
                <w:rFonts w:eastAsia="Calibri" w:cs="Tahoma"/>
                <w:szCs w:val="18"/>
              </w:rPr>
            </w:pPr>
            <w:r w:rsidRPr="00BB5519">
              <w:rPr>
                <w:rFonts w:eastAsia="Calibri" w:cs="Tahoma"/>
                <w:szCs w:val="18"/>
                <w:lang w:val="de-DE"/>
              </w:rPr>
              <w:t xml:space="preserve">SBS 2011 CAL Suite mit Software Assurance ab dem 1. </w:t>
            </w:r>
            <w:r w:rsidRPr="00BB5519">
              <w:rPr>
                <w:rFonts w:eastAsia="Calibri" w:cs="Tahoma"/>
                <w:szCs w:val="18"/>
              </w:rPr>
              <w:t>August 2012</w:t>
            </w:r>
          </w:p>
        </w:tc>
        <w:tc>
          <w:tcPr>
            <w:tcW w:w="468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CA14C9">
            <w:pPr>
              <w:spacing w:line="276" w:lineRule="auto"/>
              <w:rPr>
                <w:lang w:val="de-DE"/>
              </w:rPr>
            </w:pPr>
            <w:r w:rsidRPr="00BB5519">
              <w:rPr>
                <w:rFonts w:eastAsia="Calibri" w:cs="Tahoma"/>
                <w:szCs w:val="18"/>
                <w:lang w:val="de-DE"/>
              </w:rPr>
              <w:t>CAL für Windows Server 2012 mit Software Assurance</w:t>
            </w:r>
          </w:p>
          <w:p w:rsidR="00836655" w:rsidRPr="00BB5519" w:rsidRDefault="00836655" w:rsidP="00CA14C9">
            <w:pPr>
              <w:spacing w:line="276" w:lineRule="auto"/>
              <w:rPr>
                <w:rFonts w:eastAsia="Calibri" w:cs="Tahoma"/>
                <w:szCs w:val="18"/>
                <w:lang w:val="de-DE"/>
              </w:rPr>
            </w:pPr>
            <w:r w:rsidRPr="00BB5519">
              <w:rPr>
                <w:rFonts w:eastAsia="Calibri" w:cs="Tahoma"/>
                <w:szCs w:val="18"/>
                <w:lang w:val="de-DE"/>
              </w:rPr>
              <w:t>CAL für Exchange Server 2010 mit Software Assurance</w:t>
            </w:r>
          </w:p>
        </w:tc>
      </w:tr>
    </w:tbl>
    <w:p w:rsidR="00B81BE7" w:rsidRPr="00BB5519" w:rsidRDefault="00B81BE7" w:rsidP="00B81BE7">
      <w:pPr>
        <w:ind w:left="720"/>
        <w:rPr>
          <w:lang w:val="de-DE"/>
        </w:rPr>
      </w:pPr>
    </w:p>
    <w:p w:rsidR="00836655" w:rsidRPr="00BB5519" w:rsidRDefault="00836655" w:rsidP="000F0F4D">
      <w:pPr>
        <w:pStyle w:val="ListParagraph"/>
        <w:contextualSpacing w:val="0"/>
        <w:rPr>
          <w:lang w:val="de-DE"/>
        </w:rPr>
      </w:pPr>
      <w:r w:rsidRPr="00BB5519">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 Qualifizierende CALs, die im August 2012 ablaufen, bis zum 31. Dezember 2012 für die im Rahmen dieses Angebots gewährten CALs Software Assurance verlängern. Kunden mit Software Assurance für Qualifizierende CALs, die im Juli 2012 ablaufen, sind bis zum 31. Dezember 2012 berechtigt, für die im Rahmen dieses Angebots gewährten CALs Software Assurance zu erwerben.</w:t>
      </w:r>
    </w:p>
    <w:p w:rsidR="00B81BE7" w:rsidRPr="00BB5519" w:rsidRDefault="00B81BE7" w:rsidP="00B81BE7">
      <w:pPr>
        <w:ind w:left="720"/>
        <w:rPr>
          <w:lang w:val="de-DE"/>
        </w:rPr>
      </w:pPr>
    </w:p>
    <w:p w:rsidR="00836655" w:rsidRPr="00BB5519" w:rsidRDefault="00836655" w:rsidP="000F0F4D">
      <w:pPr>
        <w:pStyle w:val="ListParagraph"/>
        <w:contextualSpacing w:val="0"/>
        <w:rPr>
          <w:lang w:val="de-DE"/>
        </w:rPr>
      </w:pPr>
      <w:r w:rsidRPr="00BB5519">
        <w:rPr>
          <w:rFonts w:ascii="Tahoma" w:eastAsia="Calibri" w:hAnsi="Tahoma" w:cs="Tahoma"/>
          <w:sz w:val="18"/>
          <w:szCs w:val="18"/>
          <w:lang w:val="de-DE"/>
        </w:rPr>
        <w:t>Wenn Kunden zeitlich unbeschränkte Rechte unter Qualifizierenden CALs erworben haben, sind die unter dieser Gewährung erworbenen CALs ebenfalls zeitlich unbeschränkt; ansonsten laufen unter dieser Gewährung erworbene CALs mit Ablauf der zugrunde liegenden Qualifizierenden CALs ab.</w:t>
      </w:r>
    </w:p>
    <w:p w:rsidR="00B81BE7" w:rsidRPr="00BB5519" w:rsidRDefault="00B81BE7" w:rsidP="00B81BE7">
      <w:pPr>
        <w:ind w:left="720"/>
        <w:rPr>
          <w:lang w:val="de-DE"/>
        </w:rPr>
      </w:pPr>
    </w:p>
    <w:p w:rsidR="00836655" w:rsidRPr="00BB5519" w:rsidRDefault="00836655" w:rsidP="000F0F4D">
      <w:pPr>
        <w:pStyle w:val="ListParagraph"/>
        <w:contextualSpacing w:val="0"/>
        <w:rPr>
          <w:lang w:val="de-DE"/>
        </w:rPr>
      </w:pPr>
      <w:r w:rsidRPr="00BB5519">
        <w:rPr>
          <w:rFonts w:ascii="Tahoma" w:eastAsia="Calibri" w:hAnsi="Tahoma" w:cs="Tahoma"/>
          <w:sz w:val="18"/>
          <w:szCs w:val="18"/>
          <w:lang w:val="de-DE"/>
        </w:rPr>
        <w:t>Für jede Qualifizierende CAL, die unter einer Open Value Subscription erworben wurde, ist der Kunde berechtigt, ein Buy-Out für eine SBS 2011 CAL Suite wie angeboten durchzuführen, oder</w:t>
      </w:r>
    </w:p>
    <w:p w:rsidR="000F0F4D" w:rsidRPr="00B81BE7" w:rsidRDefault="000F0F4D" w:rsidP="000F0F4D">
      <w:pPr>
        <w:pStyle w:val="ListParagraph"/>
        <w:contextualSpacing w:val="0"/>
        <w:rPr>
          <w:rFonts w:ascii="Tahoma" w:hAnsi="Tahoma" w:cs="Tahoma"/>
          <w:sz w:val="18"/>
          <w:szCs w:val="18"/>
          <w:lang w:val="de-DE"/>
        </w:rPr>
      </w:pPr>
    </w:p>
    <w:p w:rsidR="00836655" w:rsidRPr="00B81BE7" w:rsidRDefault="00836655" w:rsidP="000F0F4D">
      <w:pPr>
        <w:pStyle w:val="ListParagraph"/>
        <w:numPr>
          <w:ilvl w:val="1"/>
          <w:numId w:val="123"/>
        </w:numPr>
        <w:tabs>
          <w:tab w:val="clear" w:pos="1440"/>
        </w:tabs>
        <w:spacing w:after="60"/>
        <w:ind w:left="1800"/>
        <w:contextualSpacing w:val="0"/>
        <w:rPr>
          <w:lang w:val="de-DE"/>
        </w:rPr>
      </w:pPr>
      <w:r w:rsidRPr="00BB5519">
        <w:rPr>
          <w:rFonts w:ascii="Tahoma" w:eastAsia="Calibri" w:hAnsi="Tahoma" w:cs="Tahoma"/>
          <w:sz w:val="18"/>
          <w:szCs w:val="18"/>
          <w:lang w:val="de-DE"/>
        </w:rPr>
        <w:t xml:space="preserve">Je eine CAL für Windows Server 2012 und Exchange Server 2010 Standard für Verträge, die ab dem 1. </w:t>
      </w:r>
      <w:r w:rsidRPr="00B81BE7">
        <w:rPr>
          <w:rFonts w:ascii="Tahoma" w:eastAsia="Calibri" w:hAnsi="Tahoma" w:cs="Tahoma"/>
          <w:sz w:val="18"/>
          <w:szCs w:val="18"/>
          <w:lang w:val="de-DE"/>
        </w:rPr>
        <w:t>August 2012 ablaufen, und</w:t>
      </w:r>
    </w:p>
    <w:p w:rsidR="00836655" w:rsidRPr="00BB5519" w:rsidRDefault="00836655" w:rsidP="000F0F4D">
      <w:pPr>
        <w:pStyle w:val="ListParagraph"/>
        <w:numPr>
          <w:ilvl w:val="1"/>
          <w:numId w:val="123"/>
        </w:numPr>
        <w:tabs>
          <w:tab w:val="clear" w:pos="1440"/>
        </w:tabs>
        <w:spacing w:after="60"/>
        <w:ind w:left="1800"/>
        <w:contextualSpacing w:val="0"/>
        <w:rPr>
          <w:lang w:val="de-DE"/>
        </w:rPr>
      </w:pPr>
      <w:r w:rsidRPr="00BB5519">
        <w:rPr>
          <w:rFonts w:ascii="Tahoma" w:eastAsia="Calibri" w:hAnsi="Tahoma" w:cs="Tahoma"/>
          <w:sz w:val="18"/>
          <w:szCs w:val="18"/>
          <w:lang w:val="de-DE"/>
        </w:rPr>
        <w:t>Je eine CAL für Windows Server 2008 und Exchange Server 2010 Standard für Verträge, die im Juli 2012 ablaufen.</w:t>
      </w:r>
    </w:p>
    <w:p w:rsidR="00836655" w:rsidRPr="00BB5519" w:rsidRDefault="00836655" w:rsidP="0057296E">
      <w:pPr>
        <w:ind w:left="720"/>
        <w:rPr>
          <w:lang w:val="de-DE"/>
        </w:rPr>
      </w:pPr>
      <w:r w:rsidRPr="00BB5519">
        <w:rPr>
          <w:rFonts w:eastAsia="Calibri" w:cs="Tahoma"/>
          <w:szCs w:val="18"/>
          <w:lang w:val="de-DE"/>
        </w:rPr>
        <w:t>Bei der Nutzung der CAL für Windows Server und für Exchange Server 2010 Standard unter dieser Gewährung sind die bestehenden Qualifizierenden CALs für SBS 2011 CAL Suite der Kunden nicht mehr</w:t>
      </w:r>
      <w:r w:rsidR="0057296E">
        <w:rPr>
          <w:rFonts w:eastAsia="Calibri" w:cs="Tahoma"/>
          <w:szCs w:val="18"/>
          <w:lang w:val="de-DE"/>
        </w:rPr>
        <w:t> </w:t>
      </w:r>
      <w:r w:rsidRPr="00BB5519">
        <w:rPr>
          <w:rFonts w:eastAsia="Calibri" w:cs="Tahoma"/>
          <w:szCs w:val="18"/>
          <w:lang w:val="de-DE"/>
        </w:rPr>
        <w:t>gültig.</w:t>
      </w:r>
    </w:p>
    <w:p w:rsidR="000F0F4D" w:rsidRPr="00BB5519" w:rsidRDefault="000F0F4D" w:rsidP="000F0F4D">
      <w:pPr>
        <w:ind w:left="720"/>
        <w:rPr>
          <w:lang w:val="de-DE"/>
        </w:rPr>
      </w:pPr>
    </w:p>
    <w:p w:rsidR="00836655" w:rsidRPr="00BB5519" w:rsidRDefault="00836655" w:rsidP="0057296E">
      <w:pPr>
        <w:ind w:left="720"/>
        <w:rPr>
          <w:lang w:val="de-DE"/>
        </w:rPr>
      </w:pPr>
      <w:r w:rsidRPr="00BB5519">
        <w:rPr>
          <w:color w:val="000000"/>
          <w:lang w:val="de-DE"/>
        </w:rPr>
        <w:t>SBS 2011 CAL Suites,</w:t>
      </w:r>
      <w:r w:rsidRPr="00BB5519">
        <w:rPr>
          <w:rFonts w:cs="Tahoma"/>
          <w:bCs/>
          <w:color w:val="000000"/>
          <w:szCs w:val="18"/>
          <w:lang w:val="de-DE"/>
        </w:rPr>
        <w:t xml:space="preserve"> die danach unter derselben Beitrittslaufzeit im Rahmen eines Open Value Subscription-Prozesses oder des geplanten jährlichen True Up-Prozesses des EES-Kunden erworben werden,</w:t>
      </w:r>
      <w:r w:rsidR="0057296E">
        <w:rPr>
          <w:rFonts w:cs="Tahoma"/>
          <w:bCs/>
          <w:color w:val="000000"/>
          <w:szCs w:val="18"/>
          <w:lang w:val="de-DE"/>
        </w:rPr>
        <w:t> </w:t>
      </w:r>
      <w:r w:rsidRPr="00BB5519">
        <w:rPr>
          <w:rFonts w:cs="Tahoma"/>
          <w:bCs/>
          <w:color w:val="000000"/>
          <w:szCs w:val="18"/>
          <w:lang w:val="de-DE"/>
        </w:rPr>
        <w:t>sind ebenfalls Qualifizierende CALs im Sinne der zuvor beschriebenen Gewährung.</w:t>
      </w:r>
      <w:r w:rsidRPr="00BB5519">
        <w:rPr>
          <w:rFonts w:eastAsia="Calibri" w:cs="Tahoma"/>
          <w:szCs w:val="18"/>
          <w:lang w:val="de-DE"/>
        </w:rPr>
        <w:t xml:space="preserve"> </w:t>
      </w:r>
    </w:p>
    <w:p w:rsidR="009B1D83" w:rsidRPr="00BB5519" w:rsidRDefault="009B1D83" w:rsidP="000F0F4D">
      <w:pPr>
        <w:ind w:left="900"/>
        <w:rPr>
          <w:lang w:val="de-DE"/>
        </w:rPr>
      </w:pPr>
    </w:p>
    <w:p w:rsidR="00586FCE" w:rsidRPr="00BB5519" w:rsidRDefault="00586FCE" w:rsidP="000F0F4D">
      <w:pPr>
        <w:ind w:left="900"/>
        <w:rPr>
          <w:lang w:val="de-DE"/>
        </w:rPr>
      </w:pPr>
    </w:p>
    <w:p w:rsidR="009B1D83" w:rsidRPr="00BB5519" w:rsidRDefault="00F66FB0" w:rsidP="00067B82">
      <w:pPr>
        <w:pStyle w:val="Heading2"/>
        <w:keepNext/>
        <w:keepLines/>
        <w:ind w:hanging="720"/>
      </w:pPr>
      <w:bookmarkStart w:id="1646" w:name="_113_Windows_Small"/>
      <w:bookmarkStart w:id="1647" w:name="Srv_122WinSmallBizSVR2011Addon"/>
      <w:bookmarkStart w:id="1648" w:name="_Toc336338379"/>
      <w:bookmarkStart w:id="1649" w:name="_Toc354055068"/>
      <w:bookmarkStart w:id="1650" w:name="Srv_112WinSmallBizSVR2011Addon"/>
      <w:bookmarkStart w:id="1651" w:name="Srv_118WinSmallBizSVR2011Addon"/>
      <w:bookmarkEnd w:id="1646"/>
      <w:r w:rsidRPr="00BB5519">
        <w:rPr>
          <w:rFonts w:ascii="Tahoma" w:hAnsi="Tahoma" w:cs="Tahoma"/>
          <w:caps/>
          <w:color w:val="EE6000"/>
          <w:sz w:val="22"/>
          <w:szCs w:val="18"/>
          <w:vertAlign w:val="superscript"/>
        </w:rPr>
        <w:lastRenderedPageBreak/>
        <w:t xml:space="preserve">113 </w:t>
      </w:r>
      <w:r w:rsidRPr="00BB5519">
        <w:rPr>
          <w:rFonts w:ascii="Tahoma" w:hAnsi="Tahoma" w:cs="Tahoma"/>
          <w:color w:val="EE6000"/>
          <w:sz w:val="22"/>
          <w:szCs w:val="18"/>
        </w:rPr>
        <w:t>Windows Small Business Server (SBS) 2011 Premium Add-On</w:t>
      </w:r>
      <w:bookmarkEnd w:id="1647"/>
      <w:bookmarkEnd w:id="1648"/>
      <w:bookmarkEnd w:id="1649"/>
    </w:p>
    <w:bookmarkEnd w:id="1650"/>
    <w:bookmarkEnd w:id="1651"/>
    <w:p w:rsidR="009B1D83" w:rsidRPr="00BB5519" w:rsidRDefault="009B1D83" w:rsidP="00067B82">
      <w:pPr>
        <w:keepNext/>
        <w:keepLines/>
        <w:ind w:left="900"/>
      </w:pPr>
    </w:p>
    <w:p w:rsidR="000F0F4D" w:rsidRPr="00BB5519" w:rsidRDefault="00836655" w:rsidP="00067B82">
      <w:pPr>
        <w:keepNext/>
        <w:keepLines/>
        <w:spacing w:after="60"/>
        <w:ind w:left="720"/>
        <w:rPr>
          <w:lang w:val="de-DE"/>
        </w:rPr>
      </w:pPr>
      <w:r w:rsidRPr="00BB5519">
        <w:rPr>
          <w:b/>
          <w:color w:val="000000"/>
          <w:lang w:val="de-DE"/>
        </w:rPr>
        <w:t>Lizenzgewährungen im Zusammenhang mit dem Ende der Lebensdauer von SBS 2011 Premium</w:t>
      </w:r>
      <w:r w:rsidR="0057296E">
        <w:rPr>
          <w:b/>
          <w:color w:val="000000"/>
          <w:lang w:val="de-DE"/>
        </w:rPr>
        <w:t> </w:t>
      </w:r>
      <w:r w:rsidRPr="00BB5519">
        <w:rPr>
          <w:b/>
          <w:color w:val="000000"/>
          <w:lang w:val="de-DE"/>
        </w:rPr>
        <w:t>Add-On</w:t>
      </w:r>
    </w:p>
    <w:p w:rsidR="00836655" w:rsidRPr="00BB5519" w:rsidRDefault="00836655" w:rsidP="00067B82">
      <w:pPr>
        <w:keepNext/>
        <w:keepLines/>
        <w:ind w:left="720"/>
        <w:rPr>
          <w:lang w:val="de-DE"/>
        </w:rPr>
      </w:pPr>
      <w:r w:rsidRPr="00BB5519">
        <w:rPr>
          <w:color w:val="000000"/>
          <w:lang w:val="de-DE"/>
        </w:rPr>
        <w:t xml:space="preserve">SBS 2011 Premium Add-on ist die letzte Version von SBS Premium Add-on. Volumenlizenzkunden, die über Software Assurance für SBS 2011 Premium Add-On-Lizenzen verfügen („Qualifizierende Lizenzen“), sind berechtigt, ein Upgrade auf die </w:t>
      </w:r>
      <w:r w:rsidRPr="00BB5519">
        <w:rPr>
          <w:rFonts w:eastAsia="Calibri" w:cs="Tahoma"/>
          <w:szCs w:val="18"/>
          <w:lang w:val="de-DE"/>
        </w:rPr>
        <w:t xml:space="preserve">Software Windows Server Standard und SQL Server 2012 Standard durchzuführen und diese anstelle von SBS 2011 Premium zu nutzen. Um diese Nutzung zu erleichtern, wird angenommen, dass dem Kunden für jede Qualifizierende Lizenz, die der Kunde besitzt, jeweils eine Lizenz für Windows Server und für SQL Server 2012 (lizenziert unter dem Server/CAL-Modell) entsprechend der nachstehenden Tabelle gewährt wird. </w:t>
      </w:r>
    </w:p>
    <w:p w:rsidR="0004051B" w:rsidRPr="00BB5519" w:rsidRDefault="0004051B" w:rsidP="000F0F4D">
      <w:pPr>
        <w:ind w:left="720"/>
        <w:rPr>
          <w:lang w:val="de-D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BB5519"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B5519" w:rsidRDefault="00836655" w:rsidP="00D16723">
            <w:pPr>
              <w:keepNext/>
              <w:spacing w:after="200" w:line="276" w:lineRule="auto"/>
              <w:rPr>
                <w:rFonts w:eastAsia="Calibri" w:cs="Tahoma"/>
                <w:szCs w:val="18"/>
              </w:rPr>
            </w:pPr>
            <w:r w:rsidRPr="00BB5519">
              <w:rPr>
                <w:b/>
                <w:color w:val="000000"/>
              </w:rPr>
              <w:t>Qualifizierende Lizenzen</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B5519" w:rsidRDefault="00836655" w:rsidP="00D16723">
            <w:pPr>
              <w:keepNext/>
              <w:spacing w:after="200" w:line="276" w:lineRule="auto"/>
              <w:rPr>
                <w:rFonts w:eastAsia="Calibri" w:cs="Tahoma"/>
                <w:szCs w:val="18"/>
              </w:rPr>
            </w:pPr>
            <w:r w:rsidRPr="00BB5519">
              <w:rPr>
                <w:b/>
                <w:color w:val="000000"/>
              </w:rPr>
              <w:t>Lizenzgewährung</w:t>
            </w:r>
          </w:p>
        </w:tc>
      </w:tr>
      <w:tr w:rsidR="00836655" w:rsidRPr="00BB5519"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D16723">
            <w:pPr>
              <w:keepNext/>
              <w:spacing w:line="276" w:lineRule="auto"/>
              <w:rPr>
                <w:rFonts w:eastAsia="Calibri" w:cs="Tahoma"/>
                <w:szCs w:val="18"/>
              </w:rPr>
            </w:pPr>
            <w:r w:rsidRPr="00BB5519">
              <w:rPr>
                <w:rFonts w:eastAsia="Calibri" w:cs="Tahoma"/>
                <w:szCs w:val="18"/>
                <w:lang w:val="de-DE"/>
              </w:rPr>
              <w:t xml:space="preserve">SBS 2011 Premium Add-on mit Software Assurance bis zum 31. </w:t>
            </w:r>
            <w:r w:rsidRPr="00BB5519">
              <w:rPr>
                <w:rFonts w:eastAsia="Calibri" w:cs="Tahoma"/>
                <w:szCs w:val="18"/>
              </w:rPr>
              <w:t>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D16723">
            <w:pPr>
              <w:keepNext/>
              <w:spacing w:line="276" w:lineRule="auto"/>
            </w:pPr>
            <w:r w:rsidRPr="00BB5519">
              <w:rPr>
                <w:rFonts w:eastAsia="Calibri" w:cs="Tahoma"/>
                <w:szCs w:val="18"/>
              </w:rPr>
              <w:t xml:space="preserve">Windows Server 2008 R2 </w:t>
            </w:r>
          </w:p>
          <w:p w:rsidR="00836655" w:rsidRPr="00BB5519" w:rsidRDefault="00836655" w:rsidP="00D16723">
            <w:pPr>
              <w:keepNext/>
              <w:spacing w:line="276" w:lineRule="auto"/>
              <w:rPr>
                <w:rFonts w:eastAsia="Calibri" w:cs="Tahoma"/>
                <w:szCs w:val="18"/>
              </w:rPr>
            </w:pPr>
            <w:r w:rsidRPr="00BB5519">
              <w:rPr>
                <w:rFonts w:eastAsia="Calibri" w:cs="Tahoma"/>
                <w:szCs w:val="18"/>
              </w:rPr>
              <w:t xml:space="preserve">SQL Server 2012 </w:t>
            </w:r>
          </w:p>
        </w:tc>
      </w:tr>
      <w:tr w:rsidR="00836655" w:rsidRPr="00BB5519"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D16723">
            <w:pPr>
              <w:keepNext/>
              <w:spacing w:line="276" w:lineRule="auto"/>
              <w:rPr>
                <w:rFonts w:eastAsia="Calibri" w:cs="Tahoma"/>
                <w:szCs w:val="18"/>
              </w:rPr>
            </w:pPr>
            <w:r w:rsidRPr="00BB5519">
              <w:rPr>
                <w:rFonts w:eastAsia="Calibri" w:cs="Tahoma"/>
                <w:szCs w:val="18"/>
                <w:lang w:val="de-DE"/>
              </w:rPr>
              <w:t xml:space="preserve">SBS 2011 Premium Add-on mit Software Assurance ab dem 1. </w:t>
            </w:r>
            <w:r w:rsidRPr="00BB5519">
              <w:rPr>
                <w:rFonts w:eastAsia="Calibri" w:cs="Tahoma"/>
                <w:szCs w:val="18"/>
              </w:rPr>
              <w:t>August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D16723">
            <w:pPr>
              <w:keepNext/>
              <w:spacing w:line="276" w:lineRule="auto"/>
            </w:pPr>
            <w:r w:rsidRPr="00BB5519">
              <w:rPr>
                <w:rFonts w:eastAsia="Calibri" w:cs="Tahoma"/>
                <w:szCs w:val="18"/>
              </w:rPr>
              <w:t>Windows Server 2012 mit Software Assurance</w:t>
            </w:r>
          </w:p>
          <w:p w:rsidR="00836655" w:rsidRPr="00BB5519" w:rsidRDefault="00836655" w:rsidP="00D16723">
            <w:pPr>
              <w:keepNext/>
              <w:spacing w:line="276" w:lineRule="auto"/>
              <w:rPr>
                <w:rFonts w:eastAsia="Calibri" w:cs="Tahoma"/>
                <w:szCs w:val="18"/>
              </w:rPr>
            </w:pPr>
            <w:r w:rsidRPr="00BB5519">
              <w:rPr>
                <w:rFonts w:eastAsia="Calibri" w:cs="Tahoma"/>
                <w:szCs w:val="18"/>
              </w:rPr>
              <w:t>SQL Server 2012 mit Software Assurance</w:t>
            </w:r>
          </w:p>
        </w:tc>
      </w:tr>
    </w:tbl>
    <w:p w:rsidR="000F0F4D" w:rsidRPr="00BB5519" w:rsidRDefault="000F0F4D" w:rsidP="000F0F4D">
      <w:pPr>
        <w:pStyle w:val="ListParagraph"/>
        <w:spacing w:after="100" w:afterAutospacing="1"/>
      </w:pPr>
    </w:p>
    <w:p w:rsidR="00836655" w:rsidRPr="00BB5519" w:rsidRDefault="00836655" w:rsidP="000F0F4D">
      <w:pPr>
        <w:pStyle w:val="ListParagraph"/>
        <w:contextualSpacing w:val="0"/>
        <w:rPr>
          <w:lang w:val="de-DE"/>
        </w:rPr>
      </w:pPr>
      <w:r w:rsidRPr="00BB5519">
        <w:rPr>
          <w:rFonts w:ascii="Tahoma" w:eastAsia="Calibri" w:hAnsi="Tahoma" w:cs="Tahoma"/>
          <w:sz w:val="18"/>
          <w:szCs w:val="18"/>
          <w:lang w:val="de-DE"/>
        </w:rPr>
        <w:t xml:space="preserve">Die Software Assurance aus den obigen Gewährungen läuft ab, wenn die entsprechende Software Assurance für die Qualifizierenden Lizenzen abläuft. Als Ausnahme dürfen Kunden mit Software Assurance für Qualifizierende Lizenzen, die im </w:t>
      </w:r>
      <w:r w:rsidRPr="00BB5519">
        <w:rPr>
          <w:rStyle w:val="CommentReference"/>
          <w:rFonts w:ascii="Tahoma" w:hAnsi="Tahoma"/>
          <w:sz w:val="18"/>
          <w:szCs w:val="18"/>
          <w:lang w:val="de-DE"/>
        </w:rPr>
        <w:t>August 2</w:t>
      </w:r>
      <w:r w:rsidRPr="00BB5519">
        <w:rPr>
          <w:rFonts w:ascii="Tahoma" w:eastAsia="Calibri" w:hAnsi="Tahoma" w:cs="Tahoma"/>
          <w:sz w:val="18"/>
          <w:szCs w:val="18"/>
          <w:lang w:val="de-DE"/>
        </w:rPr>
        <w:t>012 ablaufen, bis zum 31. Dezember 2012 für die im Rahmen dieses Angebots gewährten Lizenzen Software Assurance verlängern.</w:t>
      </w:r>
    </w:p>
    <w:p w:rsidR="000F0F4D" w:rsidRPr="00BB5519" w:rsidRDefault="000F0F4D" w:rsidP="000F0F4D">
      <w:pPr>
        <w:pStyle w:val="ListParagraph"/>
        <w:contextualSpacing w:val="0"/>
        <w:rPr>
          <w:lang w:val="de-DE"/>
        </w:rPr>
      </w:pPr>
    </w:p>
    <w:p w:rsidR="00836655" w:rsidRPr="00BB5519" w:rsidRDefault="00836655" w:rsidP="0057296E">
      <w:pPr>
        <w:spacing w:line="276" w:lineRule="auto"/>
        <w:ind w:left="720"/>
        <w:rPr>
          <w:lang w:val="de-DE"/>
        </w:rPr>
      </w:pPr>
      <w:r w:rsidRPr="00BB5519">
        <w:rPr>
          <w:color w:val="000000"/>
          <w:lang w:val="de-DE"/>
        </w:rPr>
        <w:t xml:space="preserve">Kunden mit Software Assurance für Qualifizierende Lizenzen, die im Juli 2012 ablaufen, sind </w:t>
      </w:r>
      <w:r w:rsidRPr="00BB5519">
        <w:rPr>
          <w:rFonts w:eastAsia="Calibri" w:cs="Tahoma"/>
          <w:szCs w:val="18"/>
          <w:lang w:val="de-DE"/>
        </w:rPr>
        <w:t>bis zum 31.</w:t>
      </w:r>
      <w:r w:rsidR="0057296E">
        <w:rPr>
          <w:rFonts w:eastAsia="Calibri" w:cs="Tahoma"/>
          <w:szCs w:val="18"/>
          <w:lang w:val="de-DE"/>
        </w:rPr>
        <w:t> </w:t>
      </w:r>
      <w:r w:rsidRPr="00BB5519">
        <w:rPr>
          <w:rFonts w:eastAsia="Calibri" w:cs="Tahoma"/>
          <w:szCs w:val="18"/>
          <w:lang w:val="de-DE"/>
        </w:rPr>
        <w:t>Dezember 2012 berechtigt, für die im Rahmen dieses Angebots gewährten Lizenzen Software Assurance</w:t>
      </w:r>
      <w:r w:rsidR="0057296E">
        <w:rPr>
          <w:rFonts w:eastAsia="Calibri" w:cs="Tahoma"/>
          <w:szCs w:val="18"/>
          <w:lang w:val="de-DE"/>
        </w:rPr>
        <w:t> </w:t>
      </w:r>
      <w:r w:rsidRPr="00BB5519">
        <w:rPr>
          <w:rFonts w:eastAsia="Calibri" w:cs="Tahoma"/>
          <w:szCs w:val="18"/>
          <w:lang w:val="de-DE"/>
        </w:rPr>
        <w:t>zu erwerben.</w:t>
      </w:r>
    </w:p>
    <w:p w:rsidR="000F0F4D" w:rsidRPr="00BB5519" w:rsidRDefault="000F0F4D" w:rsidP="000F0F4D">
      <w:pPr>
        <w:spacing w:line="276" w:lineRule="auto"/>
        <w:ind w:left="720"/>
        <w:rPr>
          <w:lang w:val="de-DE"/>
        </w:rPr>
      </w:pPr>
    </w:p>
    <w:p w:rsidR="00836655" w:rsidRPr="00BB5519" w:rsidRDefault="00836655" w:rsidP="000F0F4D">
      <w:pPr>
        <w:pStyle w:val="ListParagraph"/>
        <w:contextualSpacing w:val="0"/>
        <w:rPr>
          <w:lang w:val="de-DE"/>
        </w:rPr>
      </w:pPr>
      <w:r w:rsidRPr="00BB5519">
        <w:rPr>
          <w:rFonts w:ascii="Tahoma" w:eastAsia="Calibri" w:hAnsi="Tahoma" w:cs="Tahoma"/>
          <w:sz w:val="18"/>
          <w:szCs w:val="18"/>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0F0F4D" w:rsidRPr="00BB5519" w:rsidRDefault="000F0F4D" w:rsidP="000F0F4D">
      <w:pPr>
        <w:pStyle w:val="ListParagraph"/>
        <w:contextualSpacing w:val="0"/>
        <w:rPr>
          <w:lang w:val="de-DE"/>
        </w:rPr>
      </w:pPr>
    </w:p>
    <w:p w:rsidR="00836655" w:rsidRPr="00BB5519" w:rsidRDefault="00836655" w:rsidP="000F0F4D">
      <w:pPr>
        <w:pStyle w:val="ListParagraph"/>
        <w:contextualSpacing w:val="0"/>
        <w:rPr>
          <w:lang w:val="de-DE"/>
        </w:rPr>
      </w:pPr>
      <w:r w:rsidRPr="00BB5519">
        <w:rPr>
          <w:rFonts w:ascii="Tahoma" w:eastAsia="Calibri" w:hAnsi="Tahoma" w:cs="Tahoma"/>
          <w:sz w:val="18"/>
          <w:szCs w:val="18"/>
          <w:lang w:val="de-DE"/>
        </w:rPr>
        <w:t>Für jede Qualifizierende Lizenz, die unter einer Open Value Subscription erworben wurde, ist der Kunde berechtigt, ein Buy-Out für eine SBS 2011 Premium Add-on-Lizenz wie angeboten durchzuführen, oder</w:t>
      </w:r>
    </w:p>
    <w:p w:rsidR="000F0F4D" w:rsidRPr="00BB5519" w:rsidRDefault="000F0F4D" w:rsidP="000F0F4D">
      <w:pPr>
        <w:pStyle w:val="ListParagraph"/>
        <w:contextualSpacing w:val="0"/>
        <w:rPr>
          <w:lang w:val="de-DE"/>
        </w:rPr>
      </w:pPr>
    </w:p>
    <w:p w:rsidR="00836655" w:rsidRPr="00BB5519" w:rsidRDefault="00836655" w:rsidP="000F0F4D">
      <w:pPr>
        <w:pStyle w:val="ListParagraph"/>
        <w:numPr>
          <w:ilvl w:val="1"/>
          <w:numId w:val="123"/>
        </w:numPr>
        <w:tabs>
          <w:tab w:val="clear" w:pos="1440"/>
        </w:tabs>
        <w:spacing w:after="60"/>
        <w:contextualSpacing w:val="0"/>
      </w:pPr>
      <w:r w:rsidRPr="00BB5519">
        <w:rPr>
          <w:rFonts w:ascii="Tahoma" w:eastAsia="Calibri" w:hAnsi="Tahoma" w:cs="Tahoma"/>
          <w:sz w:val="18"/>
          <w:szCs w:val="18"/>
          <w:lang w:val="de-DE"/>
        </w:rPr>
        <w:t xml:space="preserve">Je eine Lizenz für Windows Server 2012 Standard und SQL Server 2012 Standard (lizenziert unter dem Server-/CAL-Lizenzmodell) für Verträge, die ab dem 1. </w:t>
      </w:r>
      <w:r w:rsidRPr="00BB5519">
        <w:rPr>
          <w:rFonts w:ascii="Tahoma" w:eastAsia="Calibri" w:hAnsi="Tahoma" w:cs="Tahoma"/>
          <w:sz w:val="18"/>
          <w:szCs w:val="18"/>
        </w:rPr>
        <w:t>August 2012 ablaufen, oder</w:t>
      </w:r>
    </w:p>
    <w:p w:rsidR="00836655" w:rsidRPr="00BB5519" w:rsidRDefault="00836655" w:rsidP="000F0F4D">
      <w:pPr>
        <w:pStyle w:val="ListParagraph"/>
        <w:numPr>
          <w:ilvl w:val="1"/>
          <w:numId w:val="123"/>
        </w:numPr>
        <w:tabs>
          <w:tab w:val="clear" w:pos="1440"/>
        </w:tabs>
        <w:spacing w:after="60"/>
        <w:contextualSpacing w:val="0"/>
        <w:rPr>
          <w:lang w:val="de-DE"/>
        </w:rPr>
      </w:pPr>
      <w:r w:rsidRPr="00BB5519">
        <w:rPr>
          <w:rFonts w:ascii="Tahoma" w:eastAsia="Calibri" w:hAnsi="Tahoma" w:cs="Tahoma"/>
          <w:sz w:val="18"/>
          <w:szCs w:val="18"/>
          <w:lang w:val="de-DE"/>
        </w:rPr>
        <w:t>Je eine Lizenz für Windows Server 2008 R2 Standard und SQL Server 2012 Standard (lizenziert unter dem Server-/CAL-Lizenzmodell) für Verträge, die im Juli 2012 ablaufen.</w:t>
      </w:r>
    </w:p>
    <w:p w:rsidR="000F0F4D" w:rsidRPr="00BB5519" w:rsidRDefault="000F0F4D" w:rsidP="000F0F4D">
      <w:pPr>
        <w:spacing w:line="276" w:lineRule="auto"/>
        <w:ind w:left="720"/>
        <w:rPr>
          <w:lang w:val="de-DE"/>
        </w:rPr>
      </w:pPr>
    </w:p>
    <w:p w:rsidR="00836655" w:rsidRPr="00BB5519" w:rsidRDefault="00836655" w:rsidP="000F0F4D">
      <w:pPr>
        <w:spacing w:line="276" w:lineRule="auto"/>
        <w:ind w:left="720"/>
        <w:rPr>
          <w:lang w:val="de-DE"/>
        </w:rPr>
      </w:pPr>
      <w:r w:rsidRPr="00BB5519">
        <w:rPr>
          <w:rFonts w:eastAsia="Calibri" w:cs="Tahoma"/>
          <w:szCs w:val="18"/>
          <w:lang w:val="de-DE"/>
        </w:rPr>
        <w:t>Bei Upgrade auf Windows Server Standard und SQL Server 2012 Standard unter dieser Gewährung sind die bestehenden Qualifizierenden Lizenzen für SBS Premium Add-On des Kunden nicht mehr gültig.</w:t>
      </w:r>
    </w:p>
    <w:p w:rsidR="000F0F4D" w:rsidRPr="00BB5519" w:rsidRDefault="000F0F4D" w:rsidP="000F0F4D">
      <w:pPr>
        <w:spacing w:line="276" w:lineRule="auto"/>
        <w:ind w:left="720"/>
        <w:rPr>
          <w:lang w:val="de-DE"/>
        </w:rPr>
      </w:pPr>
    </w:p>
    <w:p w:rsidR="00836655" w:rsidRPr="00BB5519" w:rsidRDefault="00836655" w:rsidP="000F0F4D">
      <w:pPr>
        <w:spacing w:line="276" w:lineRule="auto"/>
        <w:ind w:left="720"/>
        <w:rPr>
          <w:lang w:val="de-DE"/>
        </w:rPr>
      </w:pPr>
      <w:r w:rsidRPr="00BB5519">
        <w:rPr>
          <w:rFonts w:eastAsia="Calibri" w:cs="Tahoma"/>
          <w:szCs w:val="18"/>
          <w:lang w:val="de-DE"/>
        </w:rPr>
        <w:t>SBS 2011 Premium Add-On-Lizenzen, die danach unter derselben Beitrittslaufzeit im Rahmen eines Open Value Subscription-Prozesses oder des geplanten jährlichen True Up-Prozesses des EES-Kunden erworben werden, sind ebenfalls Qualifizierende Lizenzen im Sinne der zuvor beschriebenen Gewährung.</w:t>
      </w:r>
    </w:p>
    <w:p w:rsidR="009B1D83" w:rsidRPr="00BB5519" w:rsidRDefault="009B1D83" w:rsidP="00EF2279">
      <w:pPr>
        <w:rPr>
          <w:lang w:val="de-DE"/>
        </w:rPr>
      </w:pPr>
    </w:p>
    <w:p w:rsidR="009B1D83" w:rsidRPr="00BB5519" w:rsidRDefault="009B1D83" w:rsidP="00EF2279">
      <w:pPr>
        <w:rPr>
          <w:lang w:val="de-DE"/>
        </w:rPr>
      </w:pPr>
    </w:p>
    <w:p w:rsidR="00E06578" w:rsidRPr="00BB5519" w:rsidRDefault="00F66FB0" w:rsidP="00067B82">
      <w:pPr>
        <w:pStyle w:val="Heading2"/>
        <w:keepNext/>
        <w:keepLines/>
        <w:ind w:left="0"/>
      </w:pPr>
      <w:bookmarkStart w:id="1652" w:name="_124_Windows_Small"/>
      <w:bookmarkStart w:id="1653" w:name="_112_Windows_Small"/>
      <w:bookmarkStart w:id="1654" w:name="_Toc336338380"/>
      <w:bookmarkStart w:id="1655" w:name="_Toc354055069"/>
      <w:bookmarkEnd w:id="1652"/>
      <w:bookmarkEnd w:id="1653"/>
      <w:r w:rsidRPr="00BB5519">
        <w:rPr>
          <w:rFonts w:ascii="Tahoma" w:hAnsi="Tahoma" w:cs="Tahoma"/>
          <w:caps/>
          <w:color w:val="EE6000"/>
          <w:sz w:val="22"/>
          <w:szCs w:val="18"/>
          <w:vertAlign w:val="superscript"/>
        </w:rPr>
        <w:lastRenderedPageBreak/>
        <w:t>114</w:t>
      </w:r>
      <w:r w:rsidRPr="00BB5519">
        <w:rPr>
          <w:rFonts w:ascii="Tahoma" w:hAnsi="Tahoma" w:cs="Tahoma"/>
          <w:color w:val="EE6000"/>
          <w:sz w:val="22"/>
          <w:szCs w:val="18"/>
        </w:rPr>
        <w:t xml:space="preserve"> </w:t>
      </w:r>
      <w:r w:rsidRPr="00BB5519">
        <w:rPr>
          <w:rFonts w:ascii="Tahoma" w:hAnsi="Tahoma" w:cs="Tahoma"/>
          <w:color w:val="F8701C"/>
          <w:sz w:val="22"/>
          <w:szCs w:val="22"/>
        </w:rPr>
        <w:t>Windows Small Business Server (SBS) 2011 Premium Add-on CAL Suite</w:t>
      </w:r>
      <w:bookmarkEnd w:id="1654"/>
      <w:bookmarkEnd w:id="1655"/>
    </w:p>
    <w:p w:rsidR="00E06578" w:rsidRPr="00BB5519" w:rsidRDefault="00E06578" w:rsidP="00067B82">
      <w:pPr>
        <w:keepNext/>
        <w:keepLines/>
        <w:ind w:left="720"/>
      </w:pPr>
    </w:p>
    <w:p w:rsidR="00910113" w:rsidRPr="00BB5519" w:rsidRDefault="00836655" w:rsidP="00067B82">
      <w:pPr>
        <w:keepNext/>
        <w:keepLines/>
        <w:spacing w:after="60"/>
        <w:ind w:left="720"/>
        <w:rPr>
          <w:lang w:val="de-DE"/>
        </w:rPr>
      </w:pPr>
      <w:r w:rsidRPr="00BB5519">
        <w:rPr>
          <w:b/>
          <w:color w:val="000000"/>
          <w:lang w:val="de-DE"/>
        </w:rPr>
        <w:t>Lizenzgewährungen im Zusammenhang mit dem Ende der Lebensdauer von SBS 2011 Premium</w:t>
      </w:r>
      <w:r w:rsidR="0057296E">
        <w:rPr>
          <w:b/>
          <w:color w:val="000000"/>
          <w:lang w:val="de-DE"/>
        </w:rPr>
        <w:t> </w:t>
      </w:r>
      <w:r w:rsidRPr="00BB5519">
        <w:rPr>
          <w:b/>
          <w:color w:val="000000"/>
          <w:lang w:val="de-DE"/>
        </w:rPr>
        <w:t>Add-On CAL Suite</w:t>
      </w:r>
    </w:p>
    <w:p w:rsidR="002512D3" w:rsidRPr="00BB5519" w:rsidRDefault="00836655" w:rsidP="00067B82">
      <w:pPr>
        <w:keepNext/>
        <w:keepLines/>
        <w:ind w:left="720"/>
        <w:rPr>
          <w:lang w:val="de-DE"/>
        </w:rPr>
      </w:pPr>
      <w:r w:rsidRPr="00BB5519">
        <w:rPr>
          <w:lang w:val="de-DE"/>
        </w:rPr>
        <w:t>Kunden mit Software Assurance für SBS 2011 Premium Add-on CAL Suite („Qualifizierende CALs“) sind berechtigt, auf die Software Window Server Standard und SQL Server 2012 Standard zuzugreifen.</w:t>
      </w:r>
      <w:r w:rsidR="009E4976" w:rsidRPr="00BB5519">
        <w:rPr>
          <w:lang w:val="de-DE"/>
        </w:rPr>
        <w:t xml:space="preserve"> </w:t>
      </w:r>
      <w:r w:rsidRPr="00BB5519">
        <w:rPr>
          <w:lang w:val="de-DE"/>
        </w:rPr>
        <w:t xml:space="preserve">Für jede qualifizierende SBS 2011 Premium Add-On CAL Suite, die ein Kunde ab dem 1. August 2012 besitzt, erhält der Kunde eine Windows Server 2012 CAL und eine SQL Server 2012 CAL mit Software Assurance. </w:t>
      </w:r>
      <w:r w:rsidRPr="00BB5519">
        <w:rPr>
          <w:rFonts w:eastAsia="Calibri" w:cs="Tahoma"/>
          <w:szCs w:val="18"/>
          <w:lang w:val="de-DE"/>
        </w:rPr>
        <w:t xml:space="preserve">Um diese Nutzung zu erleichtern, wird angenommen, dass dem Kunden für jede Qualifizierende Lizenz, die der Kunde besitzt, jeweils eine CAL für Windows Server und für SQL 2012 Server (lizenziert unter dem Server/CAL-Modell) entsprechend der nachstehenden Tabelle gewährt wird. </w:t>
      </w:r>
    </w:p>
    <w:p w:rsidR="00836655" w:rsidRPr="00BB5519" w:rsidRDefault="00836655" w:rsidP="00910113">
      <w:pPr>
        <w:ind w:left="720"/>
        <w:rPr>
          <w:lang w:val="de-DE"/>
        </w:rPr>
      </w:pPr>
    </w:p>
    <w:p w:rsidR="00910113" w:rsidRPr="00BB5519" w:rsidRDefault="00910113" w:rsidP="00910113">
      <w:pPr>
        <w:ind w:left="720"/>
        <w:rPr>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836655" w:rsidRPr="00BB551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B5519" w:rsidRDefault="00836655" w:rsidP="000A5032">
            <w:pPr>
              <w:spacing w:after="200" w:line="276" w:lineRule="auto"/>
              <w:rPr>
                <w:rFonts w:eastAsia="Calibri" w:cs="Tahoma"/>
                <w:szCs w:val="18"/>
              </w:rPr>
            </w:pPr>
            <w:r w:rsidRPr="00BB5519">
              <w:rPr>
                <w:b/>
                <w:color w:val="000000"/>
              </w:rPr>
              <w:t>Qualifizierende Lizenzen</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BB5519" w:rsidRDefault="00836655" w:rsidP="000A5032">
            <w:pPr>
              <w:spacing w:after="200" w:line="276" w:lineRule="auto"/>
              <w:rPr>
                <w:rFonts w:eastAsia="Calibri" w:cs="Tahoma"/>
                <w:szCs w:val="18"/>
              </w:rPr>
            </w:pPr>
            <w:r w:rsidRPr="00BB5519">
              <w:rPr>
                <w:b/>
                <w:color w:val="000000"/>
              </w:rPr>
              <w:t>Lizenzgewährung</w:t>
            </w:r>
          </w:p>
        </w:tc>
      </w:tr>
      <w:tr w:rsidR="00836655" w:rsidRPr="00D244F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CA14C9">
            <w:pPr>
              <w:spacing w:line="276" w:lineRule="auto"/>
              <w:rPr>
                <w:rFonts w:eastAsia="Calibri" w:cs="Tahoma"/>
                <w:szCs w:val="18"/>
                <w:lang w:val="de-DE"/>
              </w:rPr>
            </w:pPr>
            <w:r w:rsidRPr="00BB5519">
              <w:rPr>
                <w:rFonts w:eastAsia="Calibri" w:cs="Tahoma"/>
                <w:szCs w:val="18"/>
                <w:lang w:val="de-DE"/>
              </w:rPr>
              <w:t>SBS 2011 Premium Add-on CAL Suite mit Software Assurance bis zum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CA14C9">
            <w:pPr>
              <w:spacing w:line="276" w:lineRule="auto"/>
              <w:rPr>
                <w:lang w:val="de-DE"/>
              </w:rPr>
            </w:pPr>
            <w:r w:rsidRPr="00BB5519">
              <w:rPr>
                <w:rFonts w:eastAsia="Calibri" w:cs="Tahoma"/>
                <w:szCs w:val="18"/>
                <w:lang w:val="de-DE"/>
              </w:rPr>
              <w:t>CAL für Windows Server 2008 R2</w:t>
            </w:r>
          </w:p>
          <w:p w:rsidR="00836655" w:rsidRPr="00BB5519" w:rsidRDefault="00836655" w:rsidP="00CA14C9">
            <w:pPr>
              <w:spacing w:line="276" w:lineRule="auto"/>
              <w:rPr>
                <w:rFonts w:eastAsia="Calibri" w:cs="Tahoma"/>
                <w:szCs w:val="18"/>
                <w:lang w:val="de-DE"/>
              </w:rPr>
            </w:pPr>
            <w:r w:rsidRPr="00BB5519">
              <w:rPr>
                <w:rFonts w:eastAsia="Calibri" w:cs="Tahoma"/>
                <w:szCs w:val="18"/>
                <w:lang w:val="de-DE"/>
              </w:rPr>
              <w:t>CAL für SQL Server 2012</w:t>
            </w:r>
          </w:p>
        </w:tc>
      </w:tr>
      <w:tr w:rsidR="00836655" w:rsidRPr="00D244F0"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CA14C9">
            <w:pPr>
              <w:spacing w:line="276" w:lineRule="auto"/>
              <w:rPr>
                <w:rFonts w:eastAsia="Calibri" w:cs="Tahoma"/>
                <w:szCs w:val="18"/>
              </w:rPr>
            </w:pPr>
            <w:r w:rsidRPr="00BB5519">
              <w:rPr>
                <w:rFonts w:eastAsia="Calibri" w:cs="Tahoma"/>
                <w:szCs w:val="18"/>
              </w:rPr>
              <w:t>SBS 2011 Premium Add-on CAL Suite mit Software Assurance ab dem 1. August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BB5519" w:rsidRDefault="00836655" w:rsidP="00CA14C9">
            <w:pPr>
              <w:spacing w:line="276" w:lineRule="auto"/>
              <w:rPr>
                <w:lang w:val="de-DE"/>
              </w:rPr>
            </w:pPr>
            <w:r w:rsidRPr="00BB5519">
              <w:rPr>
                <w:rFonts w:eastAsia="Calibri" w:cs="Tahoma"/>
                <w:szCs w:val="18"/>
                <w:lang w:val="de-DE"/>
              </w:rPr>
              <w:t>CAL für Windows Server 2012 mit Software Assurance</w:t>
            </w:r>
          </w:p>
          <w:p w:rsidR="00836655" w:rsidRPr="00BB5519" w:rsidRDefault="00836655" w:rsidP="00CA14C9">
            <w:pPr>
              <w:spacing w:line="276" w:lineRule="auto"/>
              <w:rPr>
                <w:rFonts w:eastAsia="Calibri" w:cs="Tahoma"/>
                <w:szCs w:val="18"/>
                <w:lang w:val="de-DE"/>
              </w:rPr>
            </w:pPr>
            <w:r w:rsidRPr="00BB5519">
              <w:rPr>
                <w:rFonts w:eastAsia="Calibri" w:cs="Tahoma"/>
                <w:szCs w:val="18"/>
                <w:lang w:val="de-DE"/>
              </w:rPr>
              <w:t>CAL für SQL Server 2012 mit Software Assurance</w:t>
            </w:r>
          </w:p>
        </w:tc>
      </w:tr>
    </w:tbl>
    <w:p w:rsidR="00836655" w:rsidRPr="00BB5519" w:rsidRDefault="00836655" w:rsidP="00910113">
      <w:pPr>
        <w:rPr>
          <w:lang w:val="de-DE"/>
        </w:rPr>
      </w:pPr>
      <w:r w:rsidRPr="00BB5519">
        <w:rPr>
          <w:rFonts w:eastAsia="Calibri" w:cs="Tahoma"/>
          <w:szCs w:val="18"/>
          <w:lang w:val="de-DE"/>
        </w:rPr>
        <w:t xml:space="preserve"> </w:t>
      </w:r>
    </w:p>
    <w:p w:rsidR="00836655" w:rsidRPr="00BB5519" w:rsidRDefault="00836655" w:rsidP="0057296E">
      <w:pPr>
        <w:pStyle w:val="ListParagraph"/>
        <w:contextualSpacing w:val="0"/>
        <w:rPr>
          <w:lang w:val="de-DE"/>
        </w:rPr>
      </w:pPr>
      <w:r w:rsidRPr="00BB5519">
        <w:rPr>
          <w:rFonts w:ascii="Tahoma" w:eastAsia="Calibri" w:hAnsi="Tahoma" w:cs="Tahoma"/>
          <w:sz w:val="18"/>
          <w:szCs w:val="18"/>
          <w:lang w:val="de-DE"/>
        </w:rPr>
        <w:t>Die Software Assurance aus den obigen Gewährungen läuft ab, wenn die entsprechende Software Assurance für die Qualifizierenden CALs abläuft. Als Ausnahme dürfen Kunden mit Software Assurance für</w:t>
      </w:r>
      <w:r w:rsidR="0057296E">
        <w:rPr>
          <w:rFonts w:ascii="Tahoma" w:eastAsia="Calibri" w:hAnsi="Tahoma" w:cs="Tahoma"/>
          <w:sz w:val="18"/>
          <w:szCs w:val="18"/>
          <w:lang w:val="de-DE"/>
        </w:rPr>
        <w:t> </w:t>
      </w:r>
      <w:r w:rsidRPr="00BB5519">
        <w:rPr>
          <w:rFonts w:ascii="Tahoma" w:eastAsia="Calibri" w:hAnsi="Tahoma" w:cs="Tahoma"/>
          <w:sz w:val="18"/>
          <w:szCs w:val="18"/>
          <w:lang w:val="de-DE"/>
        </w:rPr>
        <w:t>Qualifizierende CALs, die im August 2012 ablaufen, bis zum 31. Dezember 2012 für die im Rahmen dieses Angebots gewährten CALs Software Assurance verlängern.</w:t>
      </w:r>
      <w:r w:rsidR="009E4976" w:rsidRPr="00BB5519">
        <w:rPr>
          <w:rFonts w:ascii="Tahoma" w:eastAsia="Calibri" w:hAnsi="Tahoma" w:cs="Tahoma"/>
          <w:sz w:val="18"/>
          <w:szCs w:val="18"/>
          <w:lang w:val="de-DE"/>
        </w:rPr>
        <w:t xml:space="preserve"> </w:t>
      </w:r>
      <w:r w:rsidRPr="00BB5519">
        <w:rPr>
          <w:rFonts w:ascii="Tahoma" w:eastAsia="Calibri" w:hAnsi="Tahoma" w:cs="Tahoma"/>
          <w:sz w:val="18"/>
          <w:szCs w:val="18"/>
          <w:lang w:val="de-DE"/>
        </w:rPr>
        <w:t>Kunden mit Software Assurance für Qualifizierende CALs, die im Juli 2012 ablaufen, sind bis zum 31. Dezember 2012 berechtigt, für die im Rahmen dieses Angebots gewährten CALs Software Assurance zu erwerben.</w:t>
      </w:r>
    </w:p>
    <w:p w:rsidR="00910113" w:rsidRPr="00BB5519" w:rsidRDefault="00910113" w:rsidP="00910113">
      <w:pPr>
        <w:pStyle w:val="ListParagraph"/>
        <w:contextualSpacing w:val="0"/>
        <w:rPr>
          <w:lang w:val="de-DE"/>
        </w:rPr>
      </w:pPr>
    </w:p>
    <w:p w:rsidR="00836655" w:rsidRPr="00BB5519" w:rsidRDefault="00836655" w:rsidP="0057296E">
      <w:pPr>
        <w:pStyle w:val="ListParagraph"/>
        <w:contextualSpacing w:val="0"/>
        <w:rPr>
          <w:lang w:val="de-DE"/>
        </w:rPr>
      </w:pPr>
      <w:r w:rsidRPr="00BB5519">
        <w:rPr>
          <w:rFonts w:ascii="Tahoma" w:eastAsia="Calibri" w:hAnsi="Tahoma" w:cs="Tahoma"/>
          <w:sz w:val="18"/>
          <w:szCs w:val="18"/>
          <w:lang w:val="de-DE"/>
        </w:rPr>
        <w:t>Wenn Kunden zeitlich unbeschränkte Rechte unter Qualifizierenden CALs erworben haben, sind die unter</w:t>
      </w:r>
      <w:r w:rsidR="0057296E">
        <w:rPr>
          <w:rFonts w:ascii="Tahoma" w:eastAsia="Calibri" w:hAnsi="Tahoma" w:cs="Tahoma"/>
          <w:sz w:val="18"/>
          <w:szCs w:val="18"/>
          <w:lang w:val="de-DE"/>
        </w:rPr>
        <w:t> </w:t>
      </w:r>
      <w:r w:rsidRPr="00BB5519">
        <w:rPr>
          <w:rFonts w:ascii="Tahoma" w:eastAsia="Calibri" w:hAnsi="Tahoma" w:cs="Tahoma"/>
          <w:sz w:val="18"/>
          <w:szCs w:val="18"/>
          <w:lang w:val="de-DE"/>
        </w:rPr>
        <w:t>dieser Gewährung erworbenen CALs ebenfalls zeitlich unbeschränkt; ansonsten laufen unter dieser</w:t>
      </w:r>
      <w:r w:rsidR="0057296E">
        <w:rPr>
          <w:rFonts w:ascii="Tahoma" w:eastAsia="Calibri" w:hAnsi="Tahoma" w:cs="Tahoma"/>
          <w:sz w:val="18"/>
          <w:szCs w:val="18"/>
          <w:lang w:val="de-DE"/>
        </w:rPr>
        <w:t> </w:t>
      </w:r>
      <w:r w:rsidRPr="00BB5519">
        <w:rPr>
          <w:rFonts w:ascii="Tahoma" w:eastAsia="Calibri" w:hAnsi="Tahoma" w:cs="Tahoma"/>
          <w:sz w:val="18"/>
          <w:szCs w:val="18"/>
          <w:lang w:val="de-DE"/>
        </w:rPr>
        <w:t>Gewährung erworbene CALs mit Ablauf der zugrunde liegenden Qualifizierenden CALs ab.</w:t>
      </w:r>
    </w:p>
    <w:p w:rsidR="00910113" w:rsidRPr="00BB5519" w:rsidRDefault="00910113" w:rsidP="00910113">
      <w:pPr>
        <w:pStyle w:val="ListParagraph"/>
        <w:contextualSpacing w:val="0"/>
        <w:rPr>
          <w:lang w:val="de-DE"/>
        </w:rPr>
      </w:pPr>
    </w:p>
    <w:p w:rsidR="00836655" w:rsidRPr="00BB5519" w:rsidRDefault="00836655" w:rsidP="00910113">
      <w:pPr>
        <w:pStyle w:val="ListParagraph"/>
        <w:contextualSpacing w:val="0"/>
        <w:rPr>
          <w:lang w:val="de-DE"/>
        </w:rPr>
      </w:pPr>
      <w:r w:rsidRPr="00BB5519">
        <w:rPr>
          <w:rFonts w:ascii="Tahoma" w:eastAsia="Calibri" w:hAnsi="Tahoma" w:cs="Tahoma"/>
          <w:sz w:val="18"/>
          <w:szCs w:val="18"/>
          <w:lang w:val="de-DE"/>
        </w:rPr>
        <w:t>Für jede Qualifizierende CAL, die unter einer Open Value Subscription erworben wurde, ist der Kunde berechtigt, ein Buy-Out für eine SBS 2011 Premium Add-on CAL Suite wie angeboten durchzuführen, oder</w:t>
      </w:r>
    </w:p>
    <w:p w:rsidR="00910113" w:rsidRPr="00BB5519" w:rsidRDefault="00910113" w:rsidP="00910113">
      <w:pPr>
        <w:pStyle w:val="ListParagraph"/>
        <w:contextualSpacing w:val="0"/>
        <w:rPr>
          <w:lang w:val="de-DE"/>
        </w:rPr>
      </w:pPr>
    </w:p>
    <w:p w:rsidR="00836655" w:rsidRPr="00BB5519" w:rsidRDefault="00836655" w:rsidP="0057296E">
      <w:pPr>
        <w:pStyle w:val="ListParagraph"/>
        <w:numPr>
          <w:ilvl w:val="1"/>
          <w:numId w:val="123"/>
        </w:numPr>
        <w:tabs>
          <w:tab w:val="clear" w:pos="1440"/>
        </w:tabs>
        <w:spacing w:after="60"/>
        <w:ind w:hanging="274"/>
        <w:contextualSpacing w:val="0"/>
      </w:pPr>
      <w:r w:rsidRPr="00BB5519">
        <w:rPr>
          <w:rFonts w:ascii="Tahoma" w:eastAsia="Calibri" w:hAnsi="Tahoma" w:cs="Tahoma"/>
          <w:sz w:val="18"/>
          <w:szCs w:val="18"/>
          <w:lang w:val="de-DE"/>
        </w:rPr>
        <w:t>Je eine CAL für Windows Server 2012 und SQL Server 2012 für Verträge, die ab dem 1.</w:t>
      </w:r>
      <w:r w:rsidR="0057296E">
        <w:rPr>
          <w:rFonts w:ascii="Tahoma" w:eastAsia="Calibri" w:hAnsi="Tahoma" w:cs="Tahoma"/>
          <w:sz w:val="18"/>
          <w:szCs w:val="18"/>
          <w:lang w:val="de-DE"/>
        </w:rPr>
        <w:t> </w:t>
      </w:r>
      <w:r w:rsidRPr="00BB5519">
        <w:rPr>
          <w:rFonts w:ascii="Tahoma" w:eastAsia="Calibri" w:hAnsi="Tahoma" w:cs="Tahoma"/>
          <w:sz w:val="18"/>
          <w:szCs w:val="18"/>
        </w:rPr>
        <w:t>August</w:t>
      </w:r>
      <w:r w:rsidR="0057296E">
        <w:rPr>
          <w:rFonts w:ascii="Tahoma" w:eastAsia="Calibri" w:hAnsi="Tahoma" w:cs="Tahoma"/>
          <w:sz w:val="18"/>
          <w:szCs w:val="18"/>
        </w:rPr>
        <w:t> </w:t>
      </w:r>
      <w:r w:rsidRPr="00BB5519">
        <w:rPr>
          <w:rFonts w:ascii="Tahoma" w:eastAsia="Calibri" w:hAnsi="Tahoma" w:cs="Tahoma"/>
          <w:sz w:val="18"/>
          <w:szCs w:val="18"/>
        </w:rPr>
        <w:t>2012 ablaufen,</w:t>
      </w:r>
    </w:p>
    <w:p w:rsidR="00836655" w:rsidRPr="00BB5519" w:rsidRDefault="00836655" w:rsidP="00910113">
      <w:pPr>
        <w:pStyle w:val="ListParagraph"/>
        <w:numPr>
          <w:ilvl w:val="1"/>
          <w:numId w:val="123"/>
        </w:numPr>
        <w:tabs>
          <w:tab w:val="clear" w:pos="1440"/>
        </w:tabs>
        <w:spacing w:after="60"/>
        <w:ind w:hanging="274"/>
        <w:contextualSpacing w:val="0"/>
        <w:rPr>
          <w:lang w:val="de-DE"/>
        </w:rPr>
      </w:pPr>
      <w:r w:rsidRPr="00BB5519">
        <w:rPr>
          <w:rFonts w:ascii="Tahoma" w:eastAsia="Calibri" w:hAnsi="Tahoma" w:cs="Tahoma"/>
          <w:sz w:val="18"/>
          <w:szCs w:val="18"/>
          <w:lang w:val="de-DE"/>
        </w:rPr>
        <w:t>Je eine CAL für Windows Server 2008 und SQL Server 2012 für Verträge, die im Juli 2012 ablaufen.</w:t>
      </w:r>
    </w:p>
    <w:p w:rsidR="00910113" w:rsidRPr="00BB5519" w:rsidRDefault="00910113" w:rsidP="00910113">
      <w:pPr>
        <w:pStyle w:val="ListParagraph"/>
        <w:ind w:left="1800"/>
        <w:contextualSpacing w:val="0"/>
        <w:rPr>
          <w:lang w:val="de-DE"/>
        </w:rPr>
      </w:pPr>
    </w:p>
    <w:p w:rsidR="00836655" w:rsidRPr="00BB5519" w:rsidRDefault="00836655" w:rsidP="00910113">
      <w:pPr>
        <w:ind w:left="720"/>
        <w:rPr>
          <w:lang w:val="de-DE"/>
        </w:rPr>
      </w:pPr>
      <w:r w:rsidRPr="00BB5519">
        <w:rPr>
          <w:rFonts w:eastAsia="Calibri" w:cs="Tahoma"/>
          <w:szCs w:val="18"/>
          <w:lang w:val="de-DE"/>
        </w:rPr>
        <w:t>Bei Nutzung der CALs für Windows Server 2012 SQL und für SQL Server 2012 unter dieser Gewährung sind die bestehenden Qualifizierenden CAL Suites für SBS Premium Add-On des Kunden nicht mehr gültig.</w:t>
      </w:r>
    </w:p>
    <w:p w:rsidR="00910113" w:rsidRPr="00BB5519" w:rsidRDefault="00910113" w:rsidP="00910113">
      <w:pPr>
        <w:ind w:left="720"/>
        <w:rPr>
          <w:lang w:val="de-DE"/>
        </w:rPr>
      </w:pPr>
    </w:p>
    <w:p w:rsidR="00836655" w:rsidRPr="00BB5519" w:rsidRDefault="00836655" w:rsidP="00910113">
      <w:pPr>
        <w:ind w:left="720"/>
        <w:rPr>
          <w:lang w:val="de-DE"/>
        </w:rPr>
      </w:pPr>
      <w:r w:rsidRPr="00BB5519">
        <w:rPr>
          <w:color w:val="000000"/>
          <w:lang w:val="de-DE"/>
        </w:rPr>
        <w:t>SBS 2011 Premium Add-On CAL Suites,</w:t>
      </w:r>
      <w:r w:rsidRPr="00BB5519">
        <w:rPr>
          <w:rFonts w:cs="Tahoma"/>
          <w:bCs/>
          <w:color w:val="000000"/>
          <w:szCs w:val="18"/>
          <w:lang w:val="de-DE"/>
        </w:rPr>
        <w:t xml:space="preserve"> die danach unter derselben Beitrittslaufzeit im Rahmen eines Open Value Subscription-Prozesses oder des geplanten jährlichen True Up-Prozesses des EES-Kunden erworben werden, sind ebenfalls Qualifizierende Lizenzen im Sinne der zuvor beschriebenen Gewährung.</w:t>
      </w:r>
      <w:r w:rsidRPr="00BB5519">
        <w:rPr>
          <w:rFonts w:eastAsia="Calibri" w:cs="Tahoma"/>
          <w:szCs w:val="18"/>
          <w:lang w:val="de-DE"/>
        </w:rPr>
        <w:t xml:space="preserve"> </w:t>
      </w:r>
    </w:p>
    <w:p w:rsidR="00836655" w:rsidRPr="00BB5519" w:rsidRDefault="00836655" w:rsidP="00910113">
      <w:pPr>
        <w:rPr>
          <w:lang w:val="de-DE"/>
        </w:rPr>
      </w:pPr>
    </w:p>
    <w:p w:rsidR="00836655" w:rsidRPr="00BB5519" w:rsidRDefault="00836655" w:rsidP="00910113">
      <w:pPr>
        <w:widowControl w:val="0"/>
        <w:jc w:val="both"/>
        <w:rPr>
          <w:lang w:val="de-DE"/>
        </w:rPr>
      </w:pPr>
      <w:bookmarkStart w:id="1656" w:name="_123_Windows_Azure"/>
      <w:bookmarkEnd w:id="1656"/>
    </w:p>
    <w:p w:rsidR="00836655" w:rsidRPr="00BB5519" w:rsidRDefault="00F66FB0" w:rsidP="00067B82">
      <w:pPr>
        <w:pStyle w:val="Heading2"/>
        <w:keepNext/>
        <w:keepLines/>
        <w:ind w:left="0"/>
        <w:rPr>
          <w:lang w:val="de-DE"/>
        </w:rPr>
      </w:pPr>
      <w:bookmarkStart w:id="1657" w:name="_124_Windows_Small_1"/>
      <w:bookmarkStart w:id="1658" w:name="_114_Windows_Small"/>
      <w:bookmarkStart w:id="1659" w:name="_Toc336338381"/>
      <w:bookmarkStart w:id="1660" w:name="_Toc354055070"/>
      <w:bookmarkEnd w:id="1657"/>
      <w:bookmarkEnd w:id="1658"/>
      <w:r w:rsidRPr="00BB5519">
        <w:rPr>
          <w:rFonts w:ascii="Tahoma" w:hAnsi="Tahoma" w:cs="Tahoma"/>
          <w:color w:val="F8701C"/>
          <w:sz w:val="22"/>
          <w:szCs w:val="22"/>
          <w:vertAlign w:val="superscript"/>
          <w:lang w:val="de-DE"/>
        </w:rPr>
        <w:lastRenderedPageBreak/>
        <w:t xml:space="preserve">115 </w:t>
      </w:r>
      <w:r w:rsidRPr="00BB5519">
        <w:rPr>
          <w:rFonts w:ascii="Tahoma" w:hAnsi="Tahoma" w:cs="Tahoma"/>
          <w:color w:val="F8701C"/>
          <w:sz w:val="22"/>
          <w:szCs w:val="22"/>
          <w:lang w:val="de-DE"/>
        </w:rPr>
        <w:t>Windows Small Business Server 2011 Essentials</w:t>
      </w:r>
      <w:bookmarkEnd w:id="1659"/>
      <w:bookmarkEnd w:id="1660"/>
    </w:p>
    <w:p w:rsidR="003C1BA8" w:rsidRPr="00BB5519" w:rsidRDefault="003C1BA8" w:rsidP="00067B82">
      <w:pPr>
        <w:keepNext/>
        <w:keepLines/>
        <w:rPr>
          <w:lang w:val="de-DE"/>
        </w:rPr>
      </w:pPr>
    </w:p>
    <w:p w:rsidR="00910113" w:rsidRPr="00BB5519" w:rsidRDefault="00836655" w:rsidP="00067B82">
      <w:pPr>
        <w:keepNext/>
        <w:keepLines/>
        <w:spacing w:after="60"/>
        <w:ind w:left="720"/>
        <w:rPr>
          <w:lang w:val="de-DE"/>
        </w:rPr>
      </w:pPr>
      <w:r w:rsidRPr="00BB5519">
        <w:rPr>
          <w:b/>
          <w:bCs/>
          <w:color w:val="000000"/>
          <w:lang w:val="de-DE"/>
        </w:rPr>
        <w:t>Lizenzgewährungen im Zusammenhang mit dem Ende der Lebensdauer von Windows Small Server (SBS) 2011 Essentials</w:t>
      </w:r>
      <w:r w:rsidRPr="00BB5519">
        <w:rPr>
          <w:color w:val="000000"/>
          <w:lang w:val="de-DE"/>
        </w:rPr>
        <w:t xml:space="preserve"> </w:t>
      </w:r>
    </w:p>
    <w:p w:rsidR="00836655" w:rsidRPr="00BB5519" w:rsidRDefault="00836655" w:rsidP="00067B82">
      <w:pPr>
        <w:keepNext/>
        <w:keepLines/>
        <w:ind w:left="720"/>
        <w:rPr>
          <w:lang w:val="de-DE"/>
        </w:rPr>
      </w:pPr>
      <w:r w:rsidRPr="00BB5519">
        <w:rPr>
          <w:lang w:val="de-DE"/>
        </w:rPr>
        <w:t xml:space="preserve">Windows SBS 2011 Essentials ist die letzte Version von Windows SBS Essentials. Volumenlizenzkunden, die am 1. November 2012 oder am Datum der ersten Verfügbarkeit von Windows Server 2012 Essentials zum Download im Volume Licensing Service Center, wobei das frühere Datum maßgeblich ist, über aktive Software Assurance für Windows SBS 2011 Essentials-Lizenzen verfügen („Qualifizierende Lizenzen“), sind berechtigt, auf die Software Windows Server 2012 Essentials </w:t>
      </w:r>
      <w:r w:rsidRPr="00BB5519">
        <w:rPr>
          <w:u w:val="single"/>
          <w:lang w:val="de-DE"/>
        </w:rPr>
        <w:t>upzugraden und</w:t>
      </w:r>
      <w:r w:rsidRPr="00BB5519">
        <w:rPr>
          <w:lang w:val="de-DE"/>
        </w:rPr>
        <w:t xml:space="preserve"> sie </w:t>
      </w:r>
      <w:r w:rsidRPr="00BB5519">
        <w:rPr>
          <w:u w:val="single"/>
          <w:lang w:val="de-DE"/>
        </w:rPr>
        <w:t>sie anstelle von SBS Essentials zu verwenden</w:t>
      </w:r>
      <w:r w:rsidRPr="00BB5519">
        <w:rPr>
          <w:lang w:val="de-DE"/>
        </w:rPr>
        <w:t>. Um diese Nutzung zu erleichtern, wird angenommen, dass dem Kunden bei Verfügbarkeit von Windows Server 2012 Essentials für jede Qualifizierende Lizenz, die der Kunde besitzt, eine Windows Server 2012 Essentials-Lizenz gewährt wird.</w:t>
      </w:r>
      <w:r w:rsidR="009E4976" w:rsidRPr="00BB5519">
        <w:rPr>
          <w:lang w:val="de-DE"/>
        </w:rPr>
        <w:t xml:space="preserve"> </w:t>
      </w:r>
      <w:r w:rsidRPr="00BB5519">
        <w:rPr>
          <w:lang w:val="de-DE"/>
        </w:rPr>
        <w:t>Die Nutzung von Windows Server 2012 Essentials unterliegt den Lizenzbestimmungen für dieses Produkt in den Produktbenutzungsrechten und den</w:t>
      </w:r>
      <w:r w:rsidR="0057296E">
        <w:rPr>
          <w:lang w:val="de-DE"/>
        </w:rPr>
        <w:t> </w:t>
      </w:r>
      <w:r w:rsidRPr="00BB5519">
        <w:rPr>
          <w:lang w:val="de-DE"/>
        </w:rPr>
        <w:t>Bestimmungen der Volumenlizenzverträge des Kunden.</w:t>
      </w:r>
    </w:p>
    <w:p w:rsidR="00836655" w:rsidRPr="00BB5519" w:rsidRDefault="00836655" w:rsidP="00910113">
      <w:pPr>
        <w:ind w:left="720"/>
        <w:rPr>
          <w:lang w:val="de-DE"/>
        </w:rPr>
      </w:pPr>
    </w:p>
    <w:p w:rsidR="00836655" w:rsidRPr="00BB5519" w:rsidRDefault="00836655" w:rsidP="00910113">
      <w:pPr>
        <w:ind w:left="720"/>
        <w:rPr>
          <w:lang w:val="de-DE"/>
        </w:rPr>
      </w:pPr>
      <w:r w:rsidRPr="00BB5519">
        <w:rPr>
          <w:lang w:val="de-DE"/>
        </w:rPr>
        <w:t>Wenn Kunden zeitlich unbeschränkte Rechte zur Verwendung von Software unter Qualifizierenden Lizenzen erworben haben, sind die unter dieser Gewährung erworbenen Lizenzen ebenfalls zeitlich unbeschränkt; ansonsten laufen unter dieser Gewährung erworbene Lizenzen mit Ablauf der zugrunde liegenden Qualifizierenden Lizenzen ab.</w:t>
      </w:r>
    </w:p>
    <w:p w:rsidR="00836655" w:rsidRPr="00BB5519" w:rsidRDefault="00836655" w:rsidP="00910113">
      <w:pPr>
        <w:ind w:left="720"/>
        <w:rPr>
          <w:lang w:val="de-DE"/>
        </w:rPr>
      </w:pPr>
    </w:p>
    <w:p w:rsidR="00836655" w:rsidRPr="00BB5519" w:rsidRDefault="00836655" w:rsidP="00910113">
      <w:pPr>
        <w:ind w:left="720"/>
        <w:rPr>
          <w:lang w:val="de-DE"/>
        </w:rPr>
      </w:pPr>
      <w:r w:rsidRPr="00BB5519">
        <w:rPr>
          <w:lang w:val="de-DE"/>
        </w:rPr>
        <w:t>Bei Upgrade auf Windows Server 2012 Essentials unter dieser Gewährung sind die bestehenden Qualifizierenden Lizenzen für SBS Essentials des Kunden nicht mehr gültig.</w:t>
      </w:r>
    </w:p>
    <w:p w:rsidR="00836655" w:rsidRPr="00BB5519" w:rsidRDefault="00836655" w:rsidP="00910113">
      <w:pPr>
        <w:ind w:left="720"/>
        <w:rPr>
          <w:lang w:val="de-DE"/>
        </w:rPr>
      </w:pPr>
    </w:p>
    <w:p w:rsidR="005B6712" w:rsidRPr="00BB5519" w:rsidRDefault="00836655" w:rsidP="0057296E">
      <w:pPr>
        <w:ind w:left="720"/>
        <w:rPr>
          <w:lang w:val="de-DE"/>
        </w:rPr>
      </w:pPr>
      <w:r w:rsidRPr="00BB5519">
        <w:rPr>
          <w:lang w:val="de-DE"/>
        </w:rPr>
        <w:t>SBS Essentials-Lizenzen, die danach unter derselben Beitrittslaufzeit im Rahmen eines Open Value Subscription-Prozesses oder des geplanten jährlichen True Up-Prozesses des EES-Kunden erworben werden,</w:t>
      </w:r>
      <w:r w:rsidR="0057296E">
        <w:rPr>
          <w:lang w:val="de-DE"/>
        </w:rPr>
        <w:t> </w:t>
      </w:r>
      <w:r w:rsidRPr="00BB5519">
        <w:rPr>
          <w:lang w:val="de-DE"/>
        </w:rPr>
        <w:t>sind ebenfalls Qualifizierende Lizenzen im Sinne der zuvor beschriebenen Gewährung.</w:t>
      </w:r>
    </w:p>
    <w:sectPr w:rsidR="005B6712" w:rsidRPr="00BB5519" w:rsidSect="00B40674">
      <w:footerReference w:type="default" r:id="rId56"/>
      <w:headerReference w:type="first" r:id="rId57"/>
      <w:footerReference w:type="first" r:id="rId58"/>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5403" w:rsidRDefault="005F5403">
      <w:r>
        <w:separator/>
      </w:r>
    </w:p>
  </w:endnote>
  <w:endnote w:type="continuationSeparator" w:id="0">
    <w:p w:rsidR="005F5403" w:rsidRDefault="005F5403">
      <w:r>
        <w:continuationSeparator/>
      </w:r>
    </w:p>
  </w:endnote>
  <w:endnote w:type="continuationNotice" w:id="1">
    <w:p w:rsidR="005F5403" w:rsidRDefault="005F54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Bold">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0A2" w:rsidRPr="009E4976" w:rsidRDefault="006B10A2" w:rsidP="002E6EC0">
    <w:pPr>
      <w:pStyle w:val="Footer"/>
      <w:pBdr>
        <w:top w:val="single" w:sz="6" w:space="1" w:color="808080"/>
      </w:pBdr>
      <w:tabs>
        <w:tab w:val="clear" w:pos="5155"/>
        <w:tab w:val="clear" w:pos="10325"/>
        <w:tab w:val="right" w:pos="10620"/>
      </w:tabs>
      <w:ind w:left="-540"/>
      <w:rPr>
        <w:rFonts w:ascii="Trebuchet MS" w:hAnsi="Trebuchet MS"/>
        <w:color w:val="808080"/>
        <w:sz w:val="14"/>
        <w:lang w:val="de-DE"/>
      </w:rPr>
    </w:pPr>
    <w:r w:rsidRPr="009E4976">
      <w:rPr>
        <w:rFonts w:ascii="Trebuchet MS" w:hAnsi="Trebuchet MS"/>
        <w:color w:val="808080"/>
        <w:sz w:val="14"/>
        <w:lang w:val="de-DE"/>
      </w:rPr>
      <w:t>© 2009 Microsoft Corporation. Alle Rechte vorbehalten.</w:t>
    </w:r>
    <w:r>
      <w:rPr>
        <w:rFonts w:ascii="Trebuchet MS" w:hAnsi="Trebuchet MS"/>
        <w:color w:val="808080"/>
        <w:sz w:val="14"/>
        <w:lang w:val="de-DE"/>
      </w:rPr>
      <w:tab/>
    </w:r>
    <w:r w:rsidRPr="009E4976">
      <w:rPr>
        <w:rFonts w:ascii="Trebuchet MS" w:hAnsi="Trebuchet MS"/>
        <w:color w:val="808080"/>
        <w:sz w:val="14"/>
        <w:lang w:val="de-DE"/>
      </w:rPr>
      <w:t xml:space="preserve">Seite </w:t>
    </w:r>
    <w:r>
      <w:fldChar w:fldCharType="begin"/>
    </w:r>
    <w:r w:rsidRPr="009E4976">
      <w:rPr>
        <w:lang w:val="de-DE"/>
      </w:rPr>
      <w:instrText xml:space="preserve"> PAGE </w:instrText>
    </w:r>
    <w:r>
      <w:fldChar w:fldCharType="separate"/>
    </w:r>
    <w:r w:rsidRPr="009E4976">
      <w:rPr>
        <w:noProof/>
        <w:lang w:val="de-DE"/>
      </w:rPr>
      <w:t>2</w:t>
    </w:r>
    <w:r>
      <w:fldChar w:fldCharType="end"/>
    </w:r>
    <w:r w:rsidRPr="009E4976">
      <w:rPr>
        <w:rFonts w:ascii="Trebuchet MS" w:hAnsi="Trebuchet MS"/>
        <w:color w:val="808080"/>
        <w:sz w:val="14"/>
        <w:lang w:val="de-DE"/>
      </w:rPr>
      <w:t xml:space="preserve"> von </w:t>
    </w:r>
    <w:r>
      <w:fldChar w:fldCharType="begin"/>
    </w:r>
    <w:r w:rsidRPr="009E4976">
      <w:rPr>
        <w:lang w:val="de-DE"/>
      </w:rPr>
      <w:instrText xml:space="preserve"> NUMPAGES </w:instrText>
    </w:r>
    <w:r>
      <w:fldChar w:fldCharType="separate"/>
    </w:r>
    <w:r w:rsidR="00E46724">
      <w:rPr>
        <w:noProof/>
        <w:lang w:val="de-DE"/>
      </w:rPr>
      <w:t>212</w:t>
    </w:r>
    <w:r>
      <w:rPr>
        <w:noProof/>
      </w:rPr>
      <w:fldChar w:fldCharType="end"/>
    </w:r>
    <w:r w:rsidRPr="009E4976">
      <w:rPr>
        <w:lang w:val="de-DE"/>
      </w:rPr>
      <w:t xml:space="preserve"> Veröffentlicht im April 2009</w:t>
    </w:r>
  </w:p>
  <w:p w:rsidR="006B10A2" w:rsidRPr="009E4976" w:rsidRDefault="006B10A2">
    <w:pPr>
      <w:pStyle w:val="Footer"/>
      <w:pBdr>
        <w:top w:val="single" w:sz="6" w:space="1" w:color="808080"/>
      </w:pBdr>
      <w:tabs>
        <w:tab w:val="clear" w:pos="5155"/>
        <w:tab w:val="clear" w:pos="10325"/>
        <w:tab w:val="right" w:pos="10620"/>
      </w:tabs>
      <w:ind w:left="-540"/>
      <w:rPr>
        <w:rFonts w:ascii="Verdana" w:hAnsi="Verdana"/>
        <w:color w:val="808080"/>
        <w:sz w:val="16"/>
        <w:lang w:val="de-DE"/>
      </w:rPr>
    </w:pPr>
    <w:r w:rsidRPr="009E4976">
      <w:rPr>
        <w:rFonts w:ascii="Trebuchet MS" w:hAnsi="Trebuchet MS"/>
        <w:color w:val="808080"/>
        <w:sz w:val="14"/>
        <w:lang w:val="de-DE"/>
      </w:rPr>
      <w:t xml:space="preserve"> Microsoft ist eine eingetragene Marke von Microsoft Corporation in den Vereinigten Staaten und/oder in anderen Ländern.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0A2" w:rsidRDefault="006B10A2" w:rsidP="00217601"/>
  <w:p w:rsidR="006B10A2" w:rsidRPr="009E4976" w:rsidRDefault="006B10A2" w:rsidP="006C5DCD">
    <w:pPr>
      <w:pStyle w:val="Footer"/>
      <w:pBdr>
        <w:top w:val="single" w:sz="6" w:space="1" w:color="808080"/>
      </w:pBdr>
      <w:tabs>
        <w:tab w:val="clear" w:pos="5155"/>
        <w:tab w:val="clear" w:pos="10325"/>
        <w:tab w:val="left" w:pos="6462"/>
        <w:tab w:val="right" w:pos="9540"/>
      </w:tabs>
      <w:rPr>
        <w:rFonts w:ascii="Trebuchet MS" w:hAnsi="Trebuchet MS"/>
        <w:color w:val="808080"/>
        <w:sz w:val="14"/>
        <w:lang w:val="de-DE" w:eastAsia="zh-CN"/>
      </w:rPr>
    </w:pPr>
    <w:r w:rsidRPr="009E4976">
      <w:rPr>
        <w:rFonts w:ascii="Trebuchet MS" w:hAnsi="Trebuchet MS"/>
        <w:color w:val="808080"/>
        <w:sz w:val="14"/>
        <w:lang w:val="de-DE"/>
      </w:rPr>
      <w:t>© 2013 Microsoft Corporation. Alle Rechte vorbehalten.</w:t>
    </w:r>
    <w:r>
      <w:rPr>
        <w:rFonts w:ascii="Trebuchet MS" w:hAnsi="Trebuchet MS"/>
        <w:color w:val="808080"/>
        <w:sz w:val="14"/>
        <w:lang w:val="de-DE"/>
      </w:rPr>
      <w:tab/>
    </w:r>
    <w:r w:rsidRPr="009E4976">
      <w:rPr>
        <w:rFonts w:ascii="Trebuchet MS" w:hAnsi="Trebuchet MS"/>
        <w:color w:val="808080"/>
        <w:sz w:val="14"/>
        <w:lang w:val="de-DE"/>
      </w:rPr>
      <w:t xml:space="preserve">Seite </w:t>
    </w:r>
    <w:r w:rsidRPr="008B29EC">
      <w:rPr>
        <w:szCs w:val="18"/>
      </w:rPr>
      <w:fldChar w:fldCharType="begin"/>
    </w:r>
    <w:r w:rsidRPr="008B29EC">
      <w:rPr>
        <w:szCs w:val="18"/>
        <w:lang w:val="de-DE"/>
      </w:rPr>
      <w:instrText xml:space="preserve"> PAGE </w:instrText>
    </w:r>
    <w:r w:rsidRPr="008B29EC">
      <w:rPr>
        <w:szCs w:val="18"/>
      </w:rPr>
      <w:fldChar w:fldCharType="separate"/>
    </w:r>
    <w:r w:rsidR="00824042">
      <w:rPr>
        <w:noProof/>
        <w:szCs w:val="18"/>
        <w:lang w:val="de-DE"/>
      </w:rPr>
      <w:t>1</w:t>
    </w:r>
    <w:r w:rsidRPr="008B29EC">
      <w:rPr>
        <w:szCs w:val="18"/>
      </w:rPr>
      <w:fldChar w:fldCharType="end"/>
    </w:r>
    <w:r w:rsidRPr="009E4976">
      <w:rPr>
        <w:rFonts w:ascii="Trebuchet MS" w:hAnsi="Trebuchet MS"/>
        <w:color w:val="808080"/>
        <w:sz w:val="14"/>
        <w:lang w:val="de-DE"/>
      </w:rPr>
      <w:t xml:space="preserve"> von </w:t>
    </w:r>
    <w:r w:rsidRPr="008B29EC">
      <w:rPr>
        <w:szCs w:val="18"/>
      </w:rPr>
      <w:fldChar w:fldCharType="begin"/>
    </w:r>
    <w:r w:rsidRPr="008B29EC">
      <w:rPr>
        <w:szCs w:val="18"/>
        <w:lang w:val="de-DE"/>
      </w:rPr>
      <w:instrText xml:space="preserve"> NUMPAGES </w:instrText>
    </w:r>
    <w:r w:rsidRPr="008B29EC">
      <w:rPr>
        <w:szCs w:val="18"/>
      </w:rPr>
      <w:fldChar w:fldCharType="separate"/>
    </w:r>
    <w:r w:rsidR="00824042">
      <w:rPr>
        <w:noProof/>
        <w:szCs w:val="18"/>
        <w:lang w:val="de-DE"/>
      </w:rPr>
      <w:t>212</w:t>
    </w:r>
    <w:r w:rsidRPr="008B29EC">
      <w:rPr>
        <w:noProof/>
        <w:szCs w:val="18"/>
      </w:rPr>
      <w:fldChar w:fldCharType="end"/>
    </w:r>
    <w:r w:rsidRPr="00FF3825">
      <w:rPr>
        <w:sz w:val="20"/>
        <w:lang w:val="de-DE"/>
      </w:rPr>
      <w:t xml:space="preserve"> </w:t>
    </w:r>
    <w:r w:rsidRPr="00FF3825">
      <w:rPr>
        <w:rFonts w:ascii="Trebuchet MS" w:hAnsi="Trebuchet MS"/>
        <w:color w:val="808080"/>
        <w:sz w:val="14"/>
        <w:lang w:val="de-DE" w:eastAsia="zh-CN"/>
      </w:rPr>
      <w:t>Veröffentlicht im Mai 2013</w:t>
    </w:r>
  </w:p>
  <w:p w:rsidR="006B10A2" w:rsidRPr="009E4976" w:rsidRDefault="006B10A2">
    <w:pPr>
      <w:pStyle w:val="Footer"/>
      <w:rPr>
        <w:rFonts w:ascii="Verdana" w:hAnsi="Verdana"/>
        <w:color w:val="808080"/>
        <w:sz w:val="16"/>
        <w:lang w:val="de-DE"/>
      </w:rPr>
    </w:pPr>
    <w:r w:rsidRPr="009E4976">
      <w:rPr>
        <w:rFonts w:ascii="Trebuchet MS" w:hAnsi="Trebuchet MS"/>
        <w:color w:val="808080"/>
        <w:sz w:val="14"/>
        <w:lang w:val="de-DE"/>
      </w:rPr>
      <w:t>Microsoft ist eine eingetragene Marke von Microsoft Corporation in den Vereinigten Staaten und/oder in anderen Ländern.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0A2" w:rsidRDefault="006B10A2" w:rsidP="00217601"/>
  <w:p w:rsidR="006B10A2" w:rsidRPr="009E4976" w:rsidRDefault="006B10A2" w:rsidP="00217601">
    <w:pPr>
      <w:pStyle w:val="Footer"/>
      <w:pBdr>
        <w:top w:val="single" w:sz="6" w:space="1" w:color="808080"/>
      </w:pBdr>
      <w:tabs>
        <w:tab w:val="clear" w:pos="5155"/>
        <w:tab w:val="clear" w:pos="10325"/>
        <w:tab w:val="left" w:pos="6462"/>
        <w:tab w:val="right" w:pos="9540"/>
      </w:tabs>
      <w:rPr>
        <w:rFonts w:ascii="Trebuchet MS" w:hAnsi="Trebuchet MS"/>
        <w:color w:val="808080"/>
        <w:sz w:val="14"/>
        <w:lang w:val="de-DE" w:eastAsia="zh-CN"/>
      </w:rPr>
    </w:pPr>
    <w:r w:rsidRPr="009E4976">
      <w:rPr>
        <w:rFonts w:ascii="Trebuchet MS" w:hAnsi="Trebuchet MS"/>
        <w:color w:val="808080"/>
        <w:sz w:val="14"/>
        <w:lang w:val="de-DE"/>
      </w:rPr>
      <w:t>© 2013 Microsoft Corporation. Alle Rechte vorbehalten.</w:t>
    </w:r>
    <w:r>
      <w:rPr>
        <w:rFonts w:ascii="Trebuchet MS" w:hAnsi="Trebuchet MS"/>
        <w:color w:val="808080"/>
        <w:sz w:val="14"/>
        <w:lang w:val="de-DE"/>
      </w:rPr>
      <w:tab/>
    </w:r>
    <w:r w:rsidRPr="009E4976">
      <w:rPr>
        <w:rFonts w:ascii="Trebuchet MS" w:hAnsi="Trebuchet MS"/>
        <w:color w:val="808080"/>
        <w:sz w:val="14"/>
        <w:lang w:val="de-DE"/>
      </w:rPr>
      <w:t xml:space="preserve">Seite </w:t>
    </w:r>
    <w:r w:rsidRPr="008B29EC">
      <w:rPr>
        <w:szCs w:val="18"/>
      </w:rPr>
      <w:fldChar w:fldCharType="begin"/>
    </w:r>
    <w:r w:rsidRPr="008B29EC">
      <w:rPr>
        <w:szCs w:val="18"/>
        <w:lang w:val="de-DE"/>
      </w:rPr>
      <w:instrText xml:space="preserve"> PAGE </w:instrText>
    </w:r>
    <w:r w:rsidRPr="008B29EC">
      <w:rPr>
        <w:szCs w:val="18"/>
      </w:rPr>
      <w:fldChar w:fldCharType="separate"/>
    </w:r>
    <w:r w:rsidR="00824042">
      <w:rPr>
        <w:noProof/>
        <w:szCs w:val="18"/>
        <w:lang w:val="de-DE"/>
      </w:rPr>
      <w:t>31</w:t>
    </w:r>
    <w:r w:rsidRPr="008B29EC">
      <w:rPr>
        <w:szCs w:val="18"/>
      </w:rPr>
      <w:fldChar w:fldCharType="end"/>
    </w:r>
    <w:r w:rsidRPr="009E4976">
      <w:rPr>
        <w:rFonts w:ascii="Trebuchet MS" w:hAnsi="Trebuchet MS"/>
        <w:color w:val="808080"/>
        <w:sz w:val="14"/>
        <w:lang w:val="de-DE"/>
      </w:rPr>
      <w:t xml:space="preserve"> von </w:t>
    </w:r>
    <w:r w:rsidRPr="008B29EC">
      <w:rPr>
        <w:szCs w:val="18"/>
      </w:rPr>
      <w:fldChar w:fldCharType="begin"/>
    </w:r>
    <w:r w:rsidRPr="008B29EC">
      <w:rPr>
        <w:szCs w:val="18"/>
        <w:lang w:val="de-DE"/>
      </w:rPr>
      <w:instrText xml:space="preserve"> NUMPAGES </w:instrText>
    </w:r>
    <w:r w:rsidRPr="008B29EC">
      <w:rPr>
        <w:szCs w:val="18"/>
      </w:rPr>
      <w:fldChar w:fldCharType="separate"/>
    </w:r>
    <w:r w:rsidR="00824042">
      <w:rPr>
        <w:noProof/>
        <w:szCs w:val="18"/>
        <w:lang w:val="de-DE"/>
      </w:rPr>
      <w:t>212</w:t>
    </w:r>
    <w:r w:rsidRPr="008B29EC">
      <w:rPr>
        <w:noProof/>
        <w:szCs w:val="18"/>
      </w:rPr>
      <w:fldChar w:fldCharType="end"/>
    </w:r>
    <w:r w:rsidRPr="00FF3825">
      <w:rPr>
        <w:sz w:val="20"/>
        <w:lang w:val="de-DE"/>
      </w:rPr>
      <w:t xml:space="preserve"> </w:t>
    </w:r>
    <w:r w:rsidRPr="00FF3825">
      <w:rPr>
        <w:rFonts w:ascii="Trebuchet MS" w:hAnsi="Trebuchet MS"/>
        <w:color w:val="808080"/>
        <w:sz w:val="14"/>
        <w:lang w:val="de-DE" w:eastAsia="zh-CN"/>
      </w:rPr>
      <w:t>Veröffentlicht im Mai 2013</w:t>
    </w:r>
  </w:p>
  <w:p w:rsidR="006B10A2" w:rsidRPr="009E4976" w:rsidRDefault="006B10A2" w:rsidP="00217601">
    <w:pPr>
      <w:pStyle w:val="Footer"/>
      <w:rPr>
        <w:rFonts w:ascii="Verdana" w:hAnsi="Verdana"/>
        <w:color w:val="808080"/>
        <w:sz w:val="16"/>
        <w:lang w:val="de-DE"/>
      </w:rPr>
    </w:pPr>
    <w:r w:rsidRPr="009E4976">
      <w:rPr>
        <w:rFonts w:ascii="Trebuchet MS" w:hAnsi="Trebuchet MS"/>
        <w:color w:val="808080"/>
        <w:sz w:val="14"/>
        <w:lang w:val="de-DE"/>
      </w:rPr>
      <w:t>Microsoft ist eine eingetragene Marke von Microsoft Corporation in den Vereinigten Staaten und/oder in anderen Ländern.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0A2" w:rsidRDefault="006B10A2"/>
  <w:p w:rsidR="006B10A2" w:rsidRPr="009E4976" w:rsidRDefault="006B10A2" w:rsidP="00B038A8">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9E4976">
      <w:rPr>
        <w:rFonts w:ascii="Trebuchet MS" w:hAnsi="Trebuchet MS"/>
        <w:color w:val="808080"/>
        <w:sz w:val="14"/>
        <w:lang w:val="de-DE"/>
      </w:rPr>
      <w:t xml:space="preserve">© 2009 Microsoft Corporation. Alle Rechte vorbehalten.Seite </w:t>
    </w:r>
    <w:r>
      <w:fldChar w:fldCharType="begin"/>
    </w:r>
    <w:r w:rsidRPr="009E4976">
      <w:rPr>
        <w:lang w:val="de-DE"/>
      </w:rPr>
      <w:instrText xml:space="preserve"> PAGE </w:instrText>
    </w:r>
    <w:r>
      <w:fldChar w:fldCharType="separate"/>
    </w:r>
    <w:r w:rsidRPr="009E4976">
      <w:rPr>
        <w:noProof/>
        <w:lang w:val="de-DE"/>
      </w:rPr>
      <w:t>1</w:t>
    </w:r>
    <w:r>
      <w:fldChar w:fldCharType="end"/>
    </w:r>
    <w:r w:rsidRPr="009E4976">
      <w:rPr>
        <w:rFonts w:ascii="Trebuchet MS" w:hAnsi="Trebuchet MS"/>
        <w:color w:val="808080"/>
        <w:sz w:val="14"/>
        <w:lang w:val="de-DE"/>
      </w:rPr>
      <w:t xml:space="preserve"> von </w:t>
    </w:r>
    <w:r>
      <w:fldChar w:fldCharType="begin"/>
    </w:r>
    <w:r w:rsidRPr="009E4976">
      <w:rPr>
        <w:lang w:val="de-DE"/>
      </w:rPr>
      <w:instrText xml:space="preserve"> NUMPAGES </w:instrText>
    </w:r>
    <w:r>
      <w:fldChar w:fldCharType="separate"/>
    </w:r>
    <w:r w:rsidR="00E46724">
      <w:rPr>
        <w:noProof/>
        <w:lang w:val="de-DE"/>
      </w:rPr>
      <w:t>212</w:t>
    </w:r>
    <w:r>
      <w:rPr>
        <w:noProof/>
      </w:rPr>
      <w:fldChar w:fldCharType="end"/>
    </w:r>
    <w:r w:rsidRPr="009E4976">
      <w:rPr>
        <w:lang w:val="de-DE"/>
      </w:rPr>
      <w:t xml:space="preserve"> Veröffentlicht im Mai 2009</w:t>
    </w:r>
  </w:p>
  <w:p w:rsidR="006B10A2" w:rsidRPr="009E4976" w:rsidRDefault="006B10A2">
    <w:pPr>
      <w:pStyle w:val="Footer"/>
      <w:rPr>
        <w:rFonts w:ascii="Verdana" w:hAnsi="Verdana"/>
        <w:color w:val="808080"/>
        <w:sz w:val="16"/>
        <w:lang w:val="de-DE"/>
      </w:rPr>
    </w:pPr>
    <w:r w:rsidRPr="009E4976">
      <w:rPr>
        <w:rFonts w:ascii="Trebuchet MS" w:hAnsi="Trebuchet MS"/>
        <w:color w:val="808080"/>
        <w:sz w:val="14"/>
        <w:lang w:val="de-DE"/>
      </w:rPr>
      <w:t>Microsoft ist eine eingetragene Marke von Microsoft Corporation in den Vereinigten Staaten und/oder in anderen Ländern.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5403" w:rsidRDefault="005F5403">
      <w:r>
        <w:separator/>
      </w:r>
    </w:p>
  </w:footnote>
  <w:footnote w:type="continuationSeparator" w:id="0">
    <w:p w:rsidR="005F5403" w:rsidRDefault="005F5403">
      <w:r>
        <w:continuationSeparator/>
      </w:r>
    </w:p>
  </w:footnote>
  <w:footnote w:type="continuationNotice" w:id="1">
    <w:p w:rsidR="005F5403" w:rsidRDefault="005F540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0A2" w:rsidRDefault="00360586">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14:anchorId="478FA22B" wp14:editId="6C4D2D8D">
              <wp:simplePos x="0" y="0"/>
              <wp:positionH relativeFrom="column">
                <wp:posOffset>-314325</wp:posOffset>
              </wp:positionH>
              <wp:positionV relativeFrom="paragraph">
                <wp:posOffset>-139700</wp:posOffset>
              </wp:positionV>
              <wp:extent cx="2228850" cy="574675"/>
              <wp:effectExtent l="0" t="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B10A2" w:rsidRDefault="006B10A2">
                          <w:r>
                            <w:rPr>
                              <w:rFonts w:ascii="Verdana" w:hAnsi="Verdana"/>
                              <w:noProof/>
                              <w:sz w:val="20"/>
                              <w:szCs w:val="20"/>
                            </w:rPr>
                            <w:drawing>
                              <wp:inline distT="0" distB="0" distL="0" distR="0" wp14:anchorId="25B04278" wp14:editId="75F2AAF1">
                                <wp:extent cx="1914525" cy="5143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4525" cy="5143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8FA22B"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F/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HiF/9tAIAALkF&#10;AAAOAAAAAAAAAAAAAAAAAC4CAABkcnMvZTJvRG9jLnhtbFBLAQItABQABgAIAAAAIQCFKH3C3wAA&#10;AAoBAAAPAAAAAAAAAAAAAAAAAA4FAABkcnMvZG93bnJldi54bWxQSwUGAAAAAAQABADzAAAAGgYA&#10;AAAA&#10;" o:allowincell="f" filled="f" stroked="f">
              <v:textbox>
                <w:txbxContent>
                  <w:p w:rsidR="006B10A2" w:rsidRDefault="006B10A2">
                    <w:r>
                      <w:rPr>
                        <w:rFonts w:ascii="Verdana" w:hAnsi="Verdana"/>
                        <w:noProof/>
                        <w:sz w:val="20"/>
                        <w:szCs w:val="20"/>
                      </w:rPr>
                      <w:drawing>
                        <wp:inline distT="0" distB="0" distL="0" distR="0" wp14:anchorId="25B04278" wp14:editId="75F2AAF1">
                          <wp:extent cx="1914525" cy="5143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4525" cy="514350"/>
                                  </a:xfrm>
                                  <a:prstGeom prst="rect">
                                    <a:avLst/>
                                  </a:prstGeom>
                                  <a:noFill/>
                                  <a:ln>
                                    <a:noFill/>
                                  </a:ln>
                                </pic:spPr>
                              </pic:pic>
                            </a:graphicData>
                          </a:graphic>
                        </wp:inline>
                      </w:drawing>
                    </w:r>
                  </w:p>
                </w:txbxContent>
              </v:textbox>
            </v:shape>
          </w:pict>
        </mc:Fallback>
      </mc:AlternateContent>
    </w:r>
  </w:p>
  <w:p w:rsidR="006B10A2" w:rsidRDefault="00360586">
    <w:r>
      <w:rPr>
        <w:noProof/>
      </w:rPr>
      <mc:AlternateContent>
        <mc:Choice Requires="wps">
          <w:drawing>
            <wp:anchor distT="4294967295" distB="4294967295" distL="114300" distR="114300" simplePos="0" relativeHeight="251658752" behindDoc="0" locked="0" layoutInCell="0" allowOverlap="1" wp14:anchorId="67D96392" wp14:editId="19CDC0DE">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766459"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0A2" w:rsidRDefault="006B10A2" w:rsidP="000909E5">
    <w:pPr>
      <w:ind w:rightChars="185" w:right="333"/>
    </w:pPr>
  </w:p>
  <w:p w:rsidR="006B10A2" w:rsidRDefault="006B10A2" w:rsidP="000909E5">
    <w:pPr>
      <w:ind w:rightChars="185" w:right="333"/>
    </w:pPr>
  </w:p>
  <w:p w:rsidR="006B10A2" w:rsidRDefault="006B10A2" w:rsidP="000909E5">
    <w:pPr>
      <w:ind w:rightChars="185" w:right="333"/>
    </w:pPr>
    <w:r>
      <w:rPr>
        <w:noProof/>
      </w:rPr>
      <w:drawing>
        <wp:anchor distT="0" distB="0" distL="114300" distR="114300" simplePos="0" relativeHeight="251660800" behindDoc="0" locked="0" layoutInCell="1" allowOverlap="1" wp14:anchorId="056CBC8D" wp14:editId="378A0DAB">
          <wp:simplePos x="0" y="0"/>
          <wp:positionH relativeFrom="margin">
            <wp:posOffset>95250</wp:posOffset>
          </wp:positionH>
          <wp:positionV relativeFrom="paragraph">
            <wp:posOffset>8586</wp:posOffset>
          </wp:positionV>
          <wp:extent cx="5734050" cy="561975"/>
          <wp:effectExtent l="0" t="0" r="0" b="0"/>
          <wp:wrapNone/>
          <wp:docPr id="18" name="Picture 18"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0A2" w:rsidRDefault="006B10A2" w:rsidP="000909E5">
    <w:pPr>
      <w:ind w:rightChars="185" w:right="33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A3100BE6"/>
    <w:lvl w:ilvl="0">
      <w:start w:val="1"/>
      <w:numFmt w:val="decimal"/>
      <w:lvlText w:val="%1."/>
      <w:lvlJc w:val="left"/>
      <w:pPr>
        <w:tabs>
          <w:tab w:val="num" w:pos="360"/>
        </w:tabs>
        <w:ind w:left="360" w:hanging="360"/>
      </w:p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5">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6">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7">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5">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6">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FF1D91"/>
    <w:multiLevelType w:val="hybridMultilevel"/>
    <w:tmpl w:val="37FE64AC"/>
    <w:lvl w:ilvl="0" w:tplc="75CC8AB6">
      <w:start w:val="1"/>
      <w:numFmt w:val="decimal"/>
      <w:lvlText w:val="%1."/>
      <w:lvlJc w:val="left"/>
      <w:pPr>
        <w:ind w:left="1440" w:hanging="360"/>
      </w:pPr>
      <w:rPr>
        <w:rFonts w:ascii="Tahoma" w:hAnsi="Tahoma" w:cs="Tahoma" w:hint="default"/>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3">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4">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6">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5">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6">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80">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9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91">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8">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1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1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9">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1">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2">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7">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9">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0">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32">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3">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4">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5">
    <w:nsid w:val="76155754"/>
    <w:multiLevelType w:val="hybridMultilevel"/>
    <w:tmpl w:val="2FE4CC98"/>
    <w:lvl w:ilvl="0" w:tplc="B99AE6E2">
      <w:start w:val="1"/>
      <w:numFmt w:val="lowerLetter"/>
      <w:lvlText w:val="%1."/>
      <w:lvlJc w:val="left"/>
      <w:pPr>
        <w:ind w:left="720" w:hanging="360"/>
      </w:pPr>
      <w:rPr>
        <w:rFonts w:hint="default"/>
        <w:b w:val="0"/>
      </w:rPr>
    </w:lvl>
    <w:lvl w:ilvl="1" w:tplc="A23E913C">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4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1"/>
  </w:num>
  <w:num w:numId="2">
    <w:abstractNumId w:val="38"/>
  </w:num>
  <w:num w:numId="3">
    <w:abstractNumId w:val="131"/>
  </w:num>
  <w:num w:numId="4">
    <w:abstractNumId w:val="2"/>
  </w:num>
  <w:num w:numId="5">
    <w:abstractNumId w:val="15"/>
  </w:num>
  <w:num w:numId="6">
    <w:abstractNumId w:val="141"/>
  </w:num>
  <w:num w:numId="7">
    <w:abstractNumId w:val="1"/>
  </w:num>
  <w:num w:numId="8">
    <w:abstractNumId w:val="134"/>
  </w:num>
  <w:num w:numId="9">
    <w:abstractNumId w:val="72"/>
  </w:num>
  <w:num w:numId="10">
    <w:abstractNumId w:val="149"/>
  </w:num>
  <w:num w:numId="11">
    <w:abstractNumId w:val="139"/>
  </w:num>
  <w:num w:numId="12">
    <w:abstractNumId w:val="11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2"/>
  </w:num>
  <w:num w:numId="14">
    <w:abstractNumId w:val="81"/>
  </w:num>
  <w:num w:numId="15">
    <w:abstractNumId w:val="25"/>
  </w:num>
  <w:num w:numId="16">
    <w:abstractNumId w:val="30"/>
  </w:num>
  <w:num w:numId="17">
    <w:abstractNumId w:val="132"/>
  </w:num>
  <w:num w:numId="18">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0"/>
  </w:num>
  <w:num w:numId="20">
    <w:abstractNumId w:val="52"/>
  </w:num>
  <w:num w:numId="21">
    <w:abstractNumId w:val="82"/>
  </w:num>
  <w:num w:numId="22">
    <w:abstractNumId w:val="87"/>
  </w:num>
  <w:num w:numId="23">
    <w:abstractNumId w:val="49"/>
  </w:num>
  <w:num w:numId="24">
    <w:abstractNumId w:val="113"/>
  </w:num>
  <w:num w:numId="25">
    <w:abstractNumId w:val="46"/>
  </w:num>
  <w:num w:numId="26">
    <w:abstractNumId w:val="55"/>
  </w:num>
  <w:num w:numId="27">
    <w:abstractNumId w:val="64"/>
  </w:num>
  <w:num w:numId="28">
    <w:abstractNumId w:val="62"/>
  </w:num>
  <w:num w:numId="29">
    <w:abstractNumId w:val="42"/>
  </w:num>
  <w:num w:numId="30">
    <w:abstractNumId w:val="9"/>
  </w:num>
  <w:num w:numId="31">
    <w:abstractNumId w:val="118"/>
  </w:num>
  <w:num w:numId="32">
    <w:abstractNumId w:val="89"/>
  </w:num>
  <w:num w:numId="33">
    <w:abstractNumId w:val="116"/>
  </w:num>
  <w:num w:numId="34">
    <w:abstractNumId w:val="94"/>
  </w:num>
  <w:num w:numId="35">
    <w:abstractNumId w:val="84"/>
  </w:num>
  <w:num w:numId="36">
    <w:abstractNumId w:val="47"/>
  </w:num>
  <w:num w:numId="37">
    <w:abstractNumId w:val="6"/>
  </w:num>
  <w:num w:numId="38">
    <w:abstractNumId w:val="145"/>
  </w:num>
  <w:num w:numId="39">
    <w:abstractNumId w:val="85"/>
  </w:num>
  <w:num w:numId="40">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3"/>
  </w:num>
  <w:num w:numId="42">
    <w:abstractNumId w:val="137"/>
  </w:num>
  <w:num w:numId="43">
    <w:abstractNumId w:val="128"/>
  </w:num>
  <w:num w:numId="44">
    <w:abstractNumId w:val="70"/>
  </w:num>
  <w:num w:numId="45">
    <w:abstractNumId w:val="58"/>
  </w:num>
  <w:num w:numId="46">
    <w:abstractNumId w:val="63"/>
  </w:num>
  <w:num w:numId="47">
    <w:abstractNumId w:val="8"/>
  </w:num>
  <w:num w:numId="48">
    <w:abstractNumId w:val="110"/>
  </w:num>
  <w:num w:numId="49">
    <w:abstractNumId w:val="19"/>
  </w:num>
  <w:num w:numId="50">
    <w:abstractNumId w:val="39"/>
  </w:num>
  <w:num w:numId="51">
    <w:abstractNumId w:val="51"/>
  </w:num>
  <w:num w:numId="52">
    <w:abstractNumId w:val="27"/>
  </w:num>
  <w:num w:numId="53">
    <w:abstractNumId w:val="34"/>
  </w:num>
  <w:num w:numId="54">
    <w:abstractNumId w:val="93"/>
  </w:num>
  <w:num w:numId="55">
    <w:abstractNumId w:val="32"/>
  </w:num>
  <w:num w:numId="56">
    <w:abstractNumId w:val="91"/>
  </w:num>
  <w:num w:numId="57">
    <w:abstractNumId w:val="136"/>
  </w:num>
  <w:num w:numId="58">
    <w:abstractNumId w:val="127"/>
  </w:num>
  <w:num w:numId="59">
    <w:abstractNumId w:val="98"/>
  </w:num>
  <w:num w:numId="60">
    <w:abstractNumId w:val="143"/>
  </w:num>
  <w:num w:numId="61">
    <w:abstractNumId w:val="117"/>
  </w:num>
  <w:num w:numId="62">
    <w:abstractNumId w:val="45"/>
  </w:num>
  <w:num w:numId="63">
    <w:abstractNumId w:val="96"/>
  </w:num>
  <w:num w:numId="64">
    <w:abstractNumId w:val="35"/>
  </w:num>
  <w:num w:numId="65">
    <w:abstractNumId w:val="21"/>
  </w:num>
  <w:num w:numId="66">
    <w:abstractNumId w:val="69"/>
  </w:num>
  <w:num w:numId="67">
    <w:abstractNumId w:val="33"/>
  </w:num>
  <w:num w:numId="68">
    <w:abstractNumId w:val="104"/>
  </w:num>
  <w:num w:numId="69">
    <w:abstractNumId w:val="3"/>
  </w:num>
  <w:num w:numId="70">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103"/>
  </w:num>
  <w:num w:numId="72">
    <w:abstractNumId w:val="40"/>
  </w:num>
  <w:num w:numId="73">
    <w:abstractNumId w:val="44"/>
  </w:num>
  <w:num w:numId="74">
    <w:abstractNumId w:val="53"/>
  </w:num>
  <w:num w:numId="75">
    <w:abstractNumId w:val="128"/>
  </w:num>
  <w:num w:numId="76">
    <w:abstractNumId w:val="118"/>
  </w:num>
  <w:num w:numId="77">
    <w:abstractNumId w:val="63"/>
  </w:num>
  <w:num w:numId="78">
    <w:abstractNumId w:val="121"/>
  </w:num>
  <w:num w:numId="79">
    <w:abstractNumId w:val="28"/>
  </w:num>
  <w:num w:numId="80">
    <w:abstractNumId w:val="10"/>
  </w:num>
  <w:num w:numId="81">
    <w:abstractNumId w:val="24"/>
  </w:num>
  <w:num w:numId="82">
    <w:abstractNumId w:val="146"/>
  </w:num>
  <w:num w:numId="83">
    <w:abstractNumId w:val="80"/>
  </w:num>
  <w:num w:numId="84">
    <w:abstractNumId w:val="126"/>
  </w:num>
  <w:num w:numId="85">
    <w:abstractNumId w:val="74"/>
  </w:num>
  <w:num w:numId="86">
    <w:abstractNumId w:val="59"/>
  </w:num>
  <w:num w:numId="87">
    <w:abstractNumId w:val="108"/>
  </w:num>
  <w:num w:numId="88">
    <w:abstractNumId w:val="107"/>
  </w:num>
  <w:num w:numId="89">
    <w:abstractNumId w:val="12"/>
  </w:num>
  <w:num w:numId="90">
    <w:abstractNumId w:val="102"/>
  </w:num>
  <w:num w:numId="91">
    <w:abstractNumId w:val="120"/>
  </w:num>
  <w:num w:numId="92">
    <w:abstractNumId w:val="125"/>
  </w:num>
  <w:num w:numId="93">
    <w:abstractNumId w:val="92"/>
  </w:num>
  <w:num w:numId="94">
    <w:abstractNumId w:val="111"/>
  </w:num>
  <w:num w:numId="95">
    <w:abstractNumId w:val="86"/>
  </w:num>
  <w:num w:numId="96">
    <w:abstractNumId w:val="144"/>
  </w:num>
  <w:num w:numId="97">
    <w:abstractNumId w:val="76"/>
  </w:num>
  <w:num w:numId="98">
    <w:abstractNumId w:val="88"/>
  </w:num>
  <w:num w:numId="99">
    <w:abstractNumId w:val="20"/>
  </w:num>
  <w:num w:numId="100">
    <w:abstractNumId w:val="65"/>
  </w:num>
  <w:num w:numId="101">
    <w:abstractNumId w:val="18"/>
  </w:num>
  <w:num w:numId="102">
    <w:abstractNumId w:val="43"/>
  </w:num>
  <w:num w:numId="103">
    <w:abstractNumId w:val="138"/>
  </w:num>
  <w:num w:numId="104">
    <w:abstractNumId w:val="75"/>
  </w:num>
  <w:num w:numId="105">
    <w:abstractNumId w:val="36"/>
  </w:num>
  <w:num w:numId="106">
    <w:abstractNumId w:val="95"/>
  </w:num>
  <w:num w:numId="107">
    <w:abstractNumId w:val="54"/>
  </w:num>
  <w:num w:numId="108">
    <w:abstractNumId w:val="22"/>
  </w:num>
  <w:num w:numId="109">
    <w:abstractNumId w:val="50"/>
  </w:num>
  <w:num w:numId="110">
    <w:abstractNumId w:val="61"/>
  </w:num>
  <w:num w:numId="111">
    <w:abstractNumId w:val="148"/>
  </w:num>
  <w:num w:numId="112">
    <w:abstractNumId w:val="147"/>
  </w:num>
  <w:num w:numId="113">
    <w:abstractNumId w:val="68"/>
  </w:num>
  <w:num w:numId="114">
    <w:abstractNumId w:val="79"/>
  </w:num>
  <w:num w:numId="115">
    <w:abstractNumId w:val="4"/>
  </w:num>
  <w:num w:numId="116">
    <w:abstractNumId w:val="105"/>
  </w:num>
  <w:num w:numId="117">
    <w:abstractNumId w:val="31"/>
  </w:num>
  <w:num w:numId="118">
    <w:abstractNumId w:val="119"/>
  </w:num>
  <w:num w:numId="119">
    <w:abstractNumId w:val="11"/>
  </w:num>
  <w:num w:numId="120">
    <w:abstractNumId w:val="13"/>
  </w:num>
  <w:num w:numId="121">
    <w:abstractNumId w:val="135"/>
  </w:num>
  <w:num w:numId="122">
    <w:abstractNumId w:val="14"/>
  </w:num>
  <w:num w:numId="123">
    <w:abstractNumId w:val="115"/>
  </w:num>
  <w:num w:numId="124">
    <w:abstractNumId w:val="6"/>
  </w:num>
  <w:num w:numId="125">
    <w:abstractNumId w:val="145"/>
  </w:num>
  <w:num w:numId="126">
    <w:abstractNumId w:val="100"/>
  </w:num>
  <w:num w:numId="127">
    <w:abstractNumId w:val="124"/>
  </w:num>
  <w:num w:numId="128">
    <w:abstractNumId w:val="106"/>
  </w:num>
  <w:num w:numId="129">
    <w:abstractNumId w:val="78"/>
  </w:num>
  <w:num w:numId="130">
    <w:abstractNumId w:val="73"/>
  </w:num>
  <w:num w:numId="131">
    <w:abstractNumId w:val="5"/>
  </w:num>
  <w:num w:numId="132">
    <w:abstractNumId w:val="60"/>
  </w:num>
  <w:num w:numId="133">
    <w:abstractNumId w:val="77"/>
  </w:num>
  <w:num w:numId="134">
    <w:abstractNumId w:val="99"/>
  </w:num>
  <w:num w:numId="135">
    <w:abstractNumId w:val="122"/>
  </w:num>
  <w:num w:numId="136">
    <w:abstractNumId w:val="23"/>
  </w:num>
  <w:num w:numId="137">
    <w:abstractNumId w:val="114"/>
  </w:num>
  <w:num w:numId="138">
    <w:abstractNumId w:val="129"/>
  </w:num>
  <w:num w:numId="139">
    <w:abstractNumId w:val="17"/>
  </w:num>
  <w:num w:numId="140">
    <w:abstractNumId w:val="123"/>
  </w:num>
  <w:num w:numId="141">
    <w:abstractNumId w:val="41"/>
  </w:num>
  <w:num w:numId="142">
    <w:abstractNumId w:val="140"/>
  </w:num>
  <w:num w:numId="143">
    <w:abstractNumId w:val="101"/>
  </w:num>
  <w:num w:numId="144">
    <w:abstractNumId w:val="7"/>
  </w:num>
  <w:num w:numId="145">
    <w:abstractNumId w:val="16"/>
  </w:num>
  <w:num w:numId="146">
    <w:abstractNumId w:val="109"/>
  </w:num>
  <w:num w:numId="147">
    <w:abstractNumId w:val="26"/>
  </w:num>
  <w:num w:numId="148">
    <w:abstractNumId w:val="90"/>
  </w:num>
  <w:num w:numId="149">
    <w:abstractNumId w:val="37"/>
  </w:num>
  <w:num w:numId="150">
    <w:abstractNumId w:val="66"/>
  </w:num>
  <w:num w:numId="15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5"/>
    <w:lvlOverride w:ilvl="0"/>
    <w:lvlOverride w:ilvl="1">
      <w:startOverride w:val="1"/>
    </w:lvlOverride>
    <w:lvlOverride w:ilvl="2"/>
    <w:lvlOverride w:ilvl="3"/>
    <w:lvlOverride w:ilvl="4"/>
    <w:lvlOverride w:ilvl="5"/>
    <w:lvlOverride w:ilvl="6"/>
    <w:lvlOverride w:ilvl="7"/>
    <w:lvlOverride w:ilvl="8"/>
  </w:num>
  <w:num w:numId="156">
    <w:abstractNumId w:val="83"/>
  </w:num>
  <w:num w:numId="157">
    <w:abstractNumId w:val="56"/>
  </w:num>
  <w:num w:numId="158">
    <w:abstractNumId w:val="97"/>
  </w:num>
  <w:num w:numId="159">
    <w:abstractNumId w:val="133"/>
  </w:num>
  <w:num w:numId="160">
    <w:abstractNumId w:val="29"/>
  </w:num>
  <w:num w:numId="161">
    <w:abstractNumId w:val="57"/>
  </w:num>
  <w:num w:numId="162">
    <w:abstractNumId w:val="97"/>
    <w:lvlOverride w:ilvl="0">
      <w:lvl w:ilvl="0" w:tplc="0409000F">
        <w:start w:val="1"/>
        <w:numFmt w:val="lowerLetter"/>
        <w:lvlText w:val="%1."/>
        <w:lvlJc w:val="left"/>
        <w:pPr>
          <w:ind w:left="1080" w:hanging="360"/>
        </w:pPr>
        <w:rPr>
          <w:rFonts w:hint="default"/>
          <w:b/>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3">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4">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5">
    <w:abstractNumId w:val="97"/>
    <w:lvlOverride w:ilvl="0">
      <w:lvl w:ilvl="0" w:tplc="0409000F">
        <w:start w:val="1"/>
        <w:numFmt w:val="lowerLetter"/>
        <w:lvlText w:val="%1."/>
        <w:lvlJc w:val="left"/>
        <w:pPr>
          <w:ind w:left="1440" w:hanging="360"/>
        </w:pPr>
        <w:rPr>
          <w:rFonts w:hint="default"/>
        </w:rPr>
      </w:lvl>
    </w:lvlOverride>
    <w:lvlOverride w:ilvl="1">
      <w:lvl w:ilvl="1" w:tplc="A9605C92">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66">
    <w:abstractNumId w:val="112"/>
  </w:num>
  <w:num w:numId="167">
    <w:abstractNumId w:val="0"/>
  </w:num>
  <w:numIdMacAtCleanup w:val="1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formatting="1" w:enforcement="1" w:cryptProviderType="rsaAES" w:cryptAlgorithmClass="hash" w:cryptAlgorithmType="typeAny" w:cryptAlgorithmSid="14" w:cryptSpinCount="100000" w:hash="vEORJIVeDL0aYUHiphrG4ecYpgSCn8vdF88sUuXRh3UYGaf8Pg5IAtIL9IyMwkXVFaOWZv3bycO7ONEpCGCZGQ==" w:salt="djVdUz0t7Vsy1clozcg9Q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564E"/>
    <w:rsid w:val="0000615E"/>
    <w:rsid w:val="00006372"/>
    <w:rsid w:val="00007875"/>
    <w:rsid w:val="000100BC"/>
    <w:rsid w:val="00010442"/>
    <w:rsid w:val="000114ED"/>
    <w:rsid w:val="00011E31"/>
    <w:rsid w:val="00012D48"/>
    <w:rsid w:val="00013F1B"/>
    <w:rsid w:val="00014083"/>
    <w:rsid w:val="000148B4"/>
    <w:rsid w:val="00014EAD"/>
    <w:rsid w:val="000158EE"/>
    <w:rsid w:val="00017D8D"/>
    <w:rsid w:val="0002020C"/>
    <w:rsid w:val="00020E89"/>
    <w:rsid w:val="00021544"/>
    <w:rsid w:val="00021BF7"/>
    <w:rsid w:val="000225E7"/>
    <w:rsid w:val="00022FBE"/>
    <w:rsid w:val="000232D9"/>
    <w:rsid w:val="00023FE7"/>
    <w:rsid w:val="00024C3C"/>
    <w:rsid w:val="00024DF4"/>
    <w:rsid w:val="00024FB1"/>
    <w:rsid w:val="00025362"/>
    <w:rsid w:val="00025419"/>
    <w:rsid w:val="00025B0B"/>
    <w:rsid w:val="00026546"/>
    <w:rsid w:val="0003011A"/>
    <w:rsid w:val="0003031D"/>
    <w:rsid w:val="000306B4"/>
    <w:rsid w:val="00031547"/>
    <w:rsid w:val="00031ABF"/>
    <w:rsid w:val="00032193"/>
    <w:rsid w:val="000334F1"/>
    <w:rsid w:val="0003388B"/>
    <w:rsid w:val="00033A63"/>
    <w:rsid w:val="00033B0F"/>
    <w:rsid w:val="00033D02"/>
    <w:rsid w:val="000345A0"/>
    <w:rsid w:val="00036150"/>
    <w:rsid w:val="000365B0"/>
    <w:rsid w:val="00036B96"/>
    <w:rsid w:val="00037C05"/>
    <w:rsid w:val="0004051B"/>
    <w:rsid w:val="00040ADC"/>
    <w:rsid w:val="00041F5A"/>
    <w:rsid w:val="00041FEE"/>
    <w:rsid w:val="0004255A"/>
    <w:rsid w:val="0004299F"/>
    <w:rsid w:val="000429EF"/>
    <w:rsid w:val="00043114"/>
    <w:rsid w:val="0004313E"/>
    <w:rsid w:val="0004388E"/>
    <w:rsid w:val="00043A75"/>
    <w:rsid w:val="0004410D"/>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53EE"/>
    <w:rsid w:val="0005574D"/>
    <w:rsid w:val="000558AE"/>
    <w:rsid w:val="00055EFD"/>
    <w:rsid w:val="00055FBB"/>
    <w:rsid w:val="00056205"/>
    <w:rsid w:val="00056DDF"/>
    <w:rsid w:val="00056E58"/>
    <w:rsid w:val="00060959"/>
    <w:rsid w:val="00061A45"/>
    <w:rsid w:val="00061A6E"/>
    <w:rsid w:val="000626C8"/>
    <w:rsid w:val="000658AA"/>
    <w:rsid w:val="00066528"/>
    <w:rsid w:val="00067AB1"/>
    <w:rsid w:val="00067B82"/>
    <w:rsid w:val="00070945"/>
    <w:rsid w:val="00070D8F"/>
    <w:rsid w:val="0007160C"/>
    <w:rsid w:val="00071922"/>
    <w:rsid w:val="0007218F"/>
    <w:rsid w:val="000731D9"/>
    <w:rsid w:val="00074BB0"/>
    <w:rsid w:val="00074E4E"/>
    <w:rsid w:val="000754C4"/>
    <w:rsid w:val="0007557E"/>
    <w:rsid w:val="000756F1"/>
    <w:rsid w:val="0007693E"/>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50D"/>
    <w:rsid w:val="00085C3C"/>
    <w:rsid w:val="00087380"/>
    <w:rsid w:val="000907C7"/>
    <w:rsid w:val="000908B0"/>
    <w:rsid w:val="000909E5"/>
    <w:rsid w:val="0009153E"/>
    <w:rsid w:val="00091558"/>
    <w:rsid w:val="000916C1"/>
    <w:rsid w:val="000916C5"/>
    <w:rsid w:val="00092855"/>
    <w:rsid w:val="00092E9E"/>
    <w:rsid w:val="00092F30"/>
    <w:rsid w:val="000937BB"/>
    <w:rsid w:val="00094035"/>
    <w:rsid w:val="000945E1"/>
    <w:rsid w:val="00094D46"/>
    <w:rsid w:val="00096447"/>
    <w:rsid w:val="00096925"/>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9DC"/>
    <w:rsid w:val="000A3C7D"/>
    <w:rsid w:val="000A3CF8"/>
    <w:rsid w:val="000A5032"/>
    <w:rsid w:val="000A5857"/>
    <w:rsid w:val="000A6EF5"/>
    <w:rsid w:val="000A6FAA"/>
    <w:rsid w:val="000A72E8"/>
    <w:rsid w:val="000A77E2"/>
    <w:rsid w:val="000B0696"/>
    <w:rsid w:val="000B0A08"/>
    <w:rsid w:val="000B0A66"/>
    <w:rsid w:val="000B0B0D"/>
    <w:rsid w:val="000B0C6D"/>
    <w:rsid w:val="000B2451"/>
    <w:rsid w:val="000B291D"/>
    <w:rsid w:val="000B2DFF"/>
    <w:rsid w:val="000B326B"/>
    <w:rsid w:val="000B3EED"/>
    <w:rsid w:val="000B4C49"/>
    <w:rsid w:val="000B4D37"/>
    <w:rsid w:val="000B4E0C"/>
    <w:rsid w:val="000B536E"/>
    <w:rsid w:val="000B5A31"/>
    <w:rsid w:val="000B627C"/>
    <w:rsid w:val="000B668F"/>
    <w:rsid w:val="000B6DE0"/>
    <w:rsid w:val="000B7662"/>
    <w:rsid w:val="000B780A"/>
    <w:rsid w:val="000C03F3"/>
    <w:rsid w:val="000C0FBE"/>
    <w:rsid w:val="000C185F"/>
    <w:rsid w:val="000C2842"/>
    <w:rsid w:val="000C2964"/>
    <w:rsid w:val="000C32C3"/>
    <w:rsid w:val="000C3CB1"/>
    <w:rsid w:val="000C4911"/>
    <w:rsid w:val="000C4CE4"/>
    <w:rsid w:val="000C622E"/>
    <w:rsid w:val="000C6865"/>
    <w:rsid w:val="000C6A47"/>
    <w:rsid w:val="000C72FC"/>
    <w:rsid w:val="000C79A2"/>
    <w:rsid w:val="000C7C7E"/>
    <w:rsid w:val="000D158E"/>
    <w:rsid w:val="000D17D6"/>
    <w:rsid w:val="000D2804"/>
    <w:rsid w:val="000D399F"/>
    <w:rsid w:val="000D4008"/>
    <w:rsid w:val="000D454E"/>
    <w:rsid w:val="000D4ECA"/>
    <w:rsid w:val="000D5E2F"/>
    <w:rsid w:val="000D5F24"/>
    <w:rsid w:val="000D6CA1"/>
    <w:rsid w:val="000D747C"/>
    <w:rsid w:val="000D76F0"/>
    <w:rsid w:val="000D77DE"/>
    <w:rsid w:val="000E04C0"/>
    <w:rsid w:val="000E1409"/>
    <w:rsid w:val="000E22A2"/>
    <w:rsid w:val="000E260B"/>
    <w:rsid w:val="000E29CF"/>
    <w:rsid w:val="000E3562"/>
    <w:rsid w:val="000E3AE4"/>
    <w:rsid w:val="000E485A"/>
    <w:rsid w:val="000E5145"/>
    <w:rsid w:val="000E6103"/>
    <w:rsid w:val="000E658A"/>
    <w:rsid w:val="000E6728"/>
    <w:rsid w:val="000E6B57"/>
    <w:rsid w:val="000E6E21"/>
    <w:rsid w:val="000E7A8A"/>
    <w:rsid w:val="000F0642"/>
    <w:rsid w:val="000F0F4D"/>
    <w:rsid w:val="000F11BD"/>
    <w:rsid w:val="000F1ECA"/>
    <w:rsid w:val="000F4E3B"/>
    <w:rsid w:val="000F59F6"/>
    <w:rsid w:val="000F6E5D"/>
    <w:rsid w:val="000F76E5"/>
    <w:rsid w:val="000F798B"/>
    <w:rsid w:val="00100D96"/>
    <w:rsid w:val="00101859"/>
    <w:rsid w:val="00101CDD"/>
    <w:rsid w:val="00101DD5"/>
    <w:rsid w:val="00102035"/>
    <w:rsid w:val="00102195"/>
    <w:rsid w:val="001026FD"/>
    <w:rsid w:val="001039B4"/>
    <w:rsid w:val="00103AD5"/>
    <w:rsid w:val="00103B11"/>
    <w:rsid w:val="00104195"/>
    <w:rsid w:val="00104475"/>
    <w:rsid w:val="00104DE2"/>
    <w:rsid w:val="001051D1"/>
    <w:rsid w:val="001063EC"/>
    <w:rsid w:val="00106A7D"/>
    <w:rsid w:val="001106F5"/>
    <w:rsid w:val="00110AFB"/>
    <w:rsid w:val="00110E1D"/>
    <w:rsid w:val="001123CB"/>
    <w:rsid w:val="001126E7"/>
    <w:rsid w:val="0011332E"/>
    <w:rsid w:val="001134F8"/>
    <w:rsid w:val="00113634"/>
    <w:rsid w:val="00113665"/>
    <w:rsid w:val="001136F4"/>
    <w:rsid w:val="00113EC1"/>
    <w:rsid w:val="001140EF"/>
    <w:rsid w:val="00115055"/>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291"/>
    <w:rsid w:val="001279BA"/>
    <w:rsid w:val="00127FA7"/>
    <w:rsid w:val="00130278"/>
    <w:rsid w:val="00131042"/>
    <w:rsid w:val="001310D5"/>
    <w:rsid w:val="001319AE"/>
    <w:rsid w:val="001323B9"/>
    <w:rsid w:val="001327D3"/>
    <w:rsid w:val="00132E08"/>
    <w:rsid w:val="00133069"/>
    <w:rsid w:val="0013361B"/>
    <w:rsid w:val="001336FF"/>
    <w:rsid w:val="00133A4B"/>
    <w:rsid w:val="00133C80"/>
    <w:rsid w:val="00134960"/>
    <w:rsid w:val="00134C35"/>
    <w:rsid w:val="00135D5F"/>
    <w:rsid w:val="001363A0"/>
    <w:rsid w:val="00136585"/>
    <w:rsid w:val="0013786B"/>
    <w:rsid w:val="00140080"/>
    <w:rsid w:val="00140178"/>
    <w:rsid w:val="001409EF"/>
    <w:rsid w:val="00140B67"/>
    <w:rsid w:val="0014112B"/>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B74"/>
    <w:rsid w:val="00170CFB"/>
    <w:rsid w:val="001712B4"/>
    <w:rsid w:val="00171817"/>
    <w:rsid w:val="00171927"/>
    <w:rsid w:val="001721E7"/>
    <w:rsid w:val="00172CBA"/>
    <w:rsid w:val="00172DDA"/>
    <w:rsid w:val="0017320F"/>
    <w:rsid w:val="00173A20"/>
    <w:rsid w:val="00174410"/>
    <w:rsid w:val="001744C9"/>
    <w:rsid w:val="001748E9"/>
    <w:rsid w:val="00174DCD"/>
    <w:rsid w:val="0017535D"/>
    <w:rsid w:val="00175615"/>
    <w:rsid w:val="001758DD"/>
    <w:rsid w:val="00175CDF"/>
    <w:rsid w:val="00175FBE"/>
    <w:rsid w:val="00176237"/>
    <w:rsid w:val="00176313"/>
    <w:rsid w:val="00176438"/>
    <w:rsid w:val="00177824"/>
    <w:rsid w:val="00177A69"/>
    <w:rsid w:val="00177D4C"/>
    <w:rsid w:val="00180075"/>
    <w:rsid w:val="00180424"/>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70F"/>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813"/>
    <w:rsid w:val="001C4AC1"/>
    <w:rsid w:val="001C5084"/>
    <w:rsid w:val="001C5F2F"/>
    <w:rsid w:val="001C600A"/>
    <w:rsid w:val="001C67C8"/>
    <w:rsid w:val="001C6D08"/>
    <w:rsid w:val="001C776C"/>
    <w:rsid w:val="001C7F24"/>
    <w:rsid w:val="001D0A5E"/>
    <w:rsid w:val="001D0D87"/>
    <w:rsid w:val="001D100C"/>
    <w:rsid w:val="001D13B8"/>
    <w:rsid w:val="001D1401"/>
    <w:rsid w:val="001D1F41"/>
    <w:rsid w:val="001D1FFD"/>
    <w:rsid w:val="001D214E"/>
    <w:rsid w:val="001D2CFE"/>
    <w:rsid w:val="001D3F04"/>
    <w:rsid w:val="001D4FDC"/>
    <w:rsid w:val="001D5585"/>
    <w:rsid w:val="001D5998"/>
    <w:rsid w:val="001D6143"/>
    <w:rsid w:val="001D63C2"/>
    <w:rsid w:val="001D6B0C"/>
    <w:rsid w:val="001D7A2C"/>
    <w:rsid w:val="001D7FAC"/>
    <w:rsid w:val="001E0933"/>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3AC"/>
    <w:rsid w:val="001E7990"/>
    <w:rsid w:val="001E79DE"/>
    <w:rsid w:val="001E7B2F"/>
    <w:rsid w:val="001E7C5F"/>
    <w:rsid w:val="001F09EE"/>
    <w:rsid w:val="001F3114"/>
    <w:rsid w:val="001F45C4"/>
    <w:rsid w:val="001F52D2"/>
    <w:rsid w:val="001F63D6"/>
    <w:rsid w:val="001F67F9"/>
    <w:rsid w:val="001F71F2"/>
    <w:rsid w:val="0020051A"/>
    <w:rsid w:val="002015BC"/>
    <w:rsid w:val="00202A44"/>
    <w:rsid w:val="002030E1"/>
    <w:rsid w:val="0020404F"/>
    <w:rsid w:val="00204AFE"/>
    <w:rsid w:val="00204D6D"/>
    <w:rsid w:val="00205C65"/>
    <w:rsid w:val="002065C2"/>
    <w:rsid w:val="0020722E"/>
    <w:rsid w:val="00207514"/>
    <w:rsid w:val="00207CB0"/>
    <w:rsid w:val="00210104"/>
    <w:rsid w:val="002101B4"/>
    <w:rsid w:val="002108B0"/>
    <w:rsid w:val="00210C37"/>
    <w:rsid w:val="00210C85"/>
    <w:rsid w:val="0021235A"/>
    <w:rsid w:val="00212C87"/>
    <w:rsid w:val="00212CC6"/>
    <w:rsid w:val="002147C1"/>
    <w:rsid w:val="00215176"/>
    <w:rsid w:val="002153AF"/>
    <w:rsid w:val="00215BB0"/>
    <w:rsid w:val="002160EB"/>
    <w:rsid w:val="0021637C"/>
    <w:rsid w:val="002169A8"/>
    <w:rsid w:val="00216BFE"/>
    <w:rsid w:val="002171BB"/>
    <w:rsid w:val="002171C3"/>
    <w:rsid w:val="0021735C"/>
    <w:rsid w:val="00217601"/>
    <w:rsid w:val="002202DB"/>
    <w:rsid w:val="002213E6"/>
    <w:rsid w:val="00221971"/>
    <w:rsid w:val="00221A57"/>
    <w:rsid w:val="00222404"/>
    <w:rsid w:val="00222641"/>
    <w:rsid w:val="002228CB"/>
    <w:rsid w:val="00222B90"/>
    <w:rsid w:val="0022394B"/>
    <w:rsid w:val="00223A77"/>
    <w:rsid w:val="0022500A"/>
    <w:rsid w:val="002253A3"/>
    <w:rsid w:val="0022590D"/>
    <w:rsid w:val="00226DE5"/>
    <w:rsid w:val="00226E5F"/>
    <w:rsid w:val="002278A3"/>
    <w:rsid w:val="00230134"/>
    <w:rsid w:val="00230E01"/>
    <w:rsid w:val="00231A1F"/>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32D"/>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7145"/>
    <w:rsid w:val="0028033C"/>
    <w:rsid w:val="00280A25"/>
    <w:rsid w:val="00281B6E"/>
    <w:rsid w:val="0028230A"/>
    <w:rsid w:val="00283A4E"/>
    <w:rsid w:val="002849A2"/>
    <w:rsid w:val="002852EF"/>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4D3"/>
    <w:rsid w:val="002A6E97"/>
    <w:rsid w:val="002A732F"/>
    <w:rsid w:val="002A760F"/>
    <w:rsid w:val="002A77B9"/>
    <w:rsid w:val="002B131B"/>
    <w:rsid w:val="002B1778"/>
    <w:rsid w:val="002B1F45"/>
    <w:rsid w:val="002B202E"/>
    <w:rsid w:val="002B2A1D"/>
    <w:rsid w:val="002B2F57"/>
    <w:rsid w:val="002B327C"/>
    <w:rsid w:val="002B3F83"/>
    <w:rsid w:val="002B4A9E"/>
    <w:rsid w:val="002B4E5D"/>
    <w:rsid w:val="002B547C"/>
    <w:rsid w:val="002B7094"/>
    <w:rsid w:val="002B75CB"/>
    <w:rsid w:val="002B7FB4"/>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6BC"/>
    <w:rsid w:val="002D2868"/>
    <w:rsid w:val="002D2B17"/>
    <w:rsid w:val="002D2F62"/>
    <w:rsid w:val="002D32B4"/>
    <w:rsid w:val="002D35ED"/>
    <w:rsid w:val="002D374A"/>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6EC0"/>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CD8"/>
    <w:rsid w:val="00324479"/>
    <w:rsid w:val="0032469E"/>
    <w:rsid w:val="003248A5"/>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7E6"/>
    <w:rsid w:val="003418C5"/>
    <w:rsid w:val="0034219A"/>
    <w:rsid w:val="00342DA2"/>
    <w:rsid w:val="0034327C"/>
    <w:rsid w:val="00343704"/>
    <w:rsid w:val="00343942"/>
    <w:rsid w:val="00343FB1"/>
    <w:rsid w:val="003440F5"/>
    <w:rsid w:val="003444EE"/>
    <w:rsid w:val="003459B2"/>
    <w:rsid w:val="0034661A"/>
    <w:rsid w:val="00346E96"/>
    <w:rsid w:val="003479E5"/>
    <w:rsid w:val="00350DD3"/>
    <w:rsid w:val="00351735"/>
    <w:rsid w:val="00352135"/>
    <w:rsid w:val="00352A3A"/>
    <w:rsid w:val="00352C7B"/>
    <w:rsid w:val="00352CAD"/>
    <w:rsid w:val="0035314F"/>
    <w:rsid w:val="003537B9"/>
    <w:rsid w:val="00353C5E"/>
    <w:rsid w:val="003540FA"/>
    <w:rsid w:val="00354AE9"/>
    <w:rsid w:val="00354DAE"/>
    <w:rsid w:val="00354FEE"/>
    <w:rsid w:val="00356611"/>
    <w:rsid w:val="00356C55"/>
    <w:rsid w:val="00356FF4"/>
    <w:rsid w:val="003573CD"/>
    <w:rsid w:val="00360354"/>
    <w:rsid w:val="00360586"/>
    <w:rsid w:val="0036063B"/>
    <w:rsid w:val="00360EB5"/>
    <w:rsid w:val="00361638"/>
    <w:rsid w:val="00361D7F"/>
    <w:rsid w:val="003623C3"/>
    <w:rsid w:val="0036280B"/>
    <w:rsid w:val="00363AFF"/>
    <w:rsid w:val="003647E8"/>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47E"/>
    <w:rsid w:val="0037362E"/>
    <w:rsid w:val="00373800"/>
    <w:rsid w:val="00374924"/>
    <w:rsid w:val="00374A12"/>
    <w:rsid w:val="0037504D"/>
    <w:rsid w:val="00376971"/>
    <w:rsid w:val="00376D4B"/>
    <w:rsid w:val="003778C4"/>
    <w:rsid w:val="00380363"/>
    <w:rsid w:val="00380B94"/>
    <w:rsid w:val="0038120B"/>
    <w:rsid w:val="00381B33"/>
    <w:rsid w:val="00381C87"/>
    <w:rsid w:val="00381E02"/>
    <w:rsid w:val="00381F2E"/>
    <w:rsid w:val="0038336A"/>
    <w:rsid w:val="00384940"/>
    <w:rsid w:val="00384B84"/>
    <w:rsid w:val="003856C2"/>
    <w:rsid w:val="00385965"/>
    <w:rsid w:val="00385C82"/>
    <w:rsid w:val="00386BEC"/>
    <w:rsid w:val="00387529"/>
    <w:rsid w:val="0038761C"/>
    <w:rsid w:val="003878D1"/>
    <w:rsid w:val="00390C51"/>
    <w:rsid w:val="00391057"/>
    <w:rsid w:val="00391582"/>
    <w:rsid w:val="00391808"/>
    <w:rsid w:val="00391D38"/>
    <w:rsid w:val="003929D1"/>
    <w:rsid w:val="00392C7E"/>
    <w:rsid w:val="00392F42"/>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1DD9"/>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A04"/>
    <w:rsid w:val="003C6BA5"/>
    <w:rsid w:val="003C75C8"/>
    <w:rsid w:val="003D0252"/>
    <w:rsid w:val="003D1150"/>
    <w:rsid w:val="003D1247"/>
    <w:rsid w:val="003D1E74"/>
    <w:rsid w:val="003D2CC8"/>
    <w:rsid w:val="003D2E23"/>
    <w:rsid w:val="003D30FE"/>
    <w:rsid w:val="003D68DE"/>
    <w:rsid w:val="003D6FBE"/>
    <w:rsid w:val="003E12EE"/>
    <w:rsid w:val="003E2151"/>
    <w:rsid w:val="003E2317"/>
    <w:rsid w:val="003E3FAF"/>
    <w:rsid w:val="003E450D"/>
    <w:rsid w:val="003E4B2F"/>
    <w:rsid w:val="003E5902"/>
    <w:rsid w:val="003E59A4"/>
    <w:rsid w:val="003E606C"/>
    <w:rsid w:val="003F1CB9"/>
    <w:rsid w:val="003F1F7D"/>
    <w:rsid w:val="003F26EA"/>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55B8"/>
    <w:rsid w:val="00405AFC"/>
    <w:rsid w:val="0040633A"/>
    <w:rsid w:val="0040640C"/>
    <w:rsid w:val="004064E2"/>
    <w:rsid w:val="004069A4"/>
    <w:rsid w:val="00406CB0"/>
    <w:rsid w:val="0040728D"/>
    <w:rsid w:val="0040741A"/>
    <w:rsid w:val="0041078A"/>
    <w:rsid w:val="004127FF"/>
    <w:rsid w:val="00412AB4"/>
    <w:rsid w:val="00413E22"/>
    <w:rsid w:val="00414988"/>
    <w:rsid w:val="00414BFD"/>
    <w:rsid w:val="00415DD4"/>
    <w:rsid w:val="00415DDA"/>
    <w:rsid w:val="00416294"/>
    <w:rsid w:val="004162C6"/>
    <w:rsid w:val="0041691B"/>
    <w:rsid w:val="00417910"/>
    <w:rsid w:val="00417BCF"/>
    <w:rsid w:val="004211C8"/>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3C"/>
    <w:rsid w:val="00431BC1"/>
    <w:rsid w:val="004320D3"/>
    <w:rsid w:val="004323B9"/>
    <w:rsid w:val="0043242A"/>
    <w:rsid w:val="0043356D"/>
    <w:rsid w:val="0043378A"/>
    <w:rsid w:val="00433B9B"/>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10F7"/>
    <w:rsid w:val="004718AA"/>
    <w:rsid w:val="00471E7E"/>
    <w:rsid w:val="00472642"/>
    <w:rsid w:val="00472D3F"/>
    <w:rsid w:val="00472DFD"/>
    <w:rsid w:val="00473147"/>
    <w:rsid w:val="004743D2"/>
    <w:rsid w:val="00475147"/>
    <w:rsid w:val="004759C6"/>
    <w:rsid w:val="00475BDD"/>
    <w:rsid w:val="004768FA"/>
    <w:rsid w:val="0047754D"/>
    <w:rsid w:val="00477B4D"/>
    <w:rsid w:val="00480342"/>
    <w:rsid w:val="00480790"/>
    <w:rsid w:val="00481427"/>
    <w:rsid w:val="004815F3"/>
    <w:rsid w:val="00482570"/>
    <w:rsid w:val="0048264B"/>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FC2"/>
    <w:rsid w:val="004A3509"/>
    <w:rsid w:val="004A4D28"/>
    <w:rsid w:val="004A7161"/>
    <w:rsid w:val="004B1508"/>
    <w:rsid w:val="004B1599"/>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301"/>
    <w:rsid w:val="004C63D7"/>
    <w:rsid w:val="004C6855"/>
    <w:rsid w:val="004C6967"/>
    <w:rsid w:val="004C6C84"/>
    <w:rsid w:val="004C76CE"/>
    <w:rsid w:val="004C76E3"/>
    <w:rsid w:val="004C7AD8"/>
    <w:rsid w:val="004D0019"/>
    <w:rsid w:val="004D013C"/>
    <w:rsid w:val="004D0693"/>
    <w:rsid w:val="004D0C83"/>
    <w:rsid w:val="004D0CEB"/>
    <w:rsid w:val="004D1715"/>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746C"/>
    <w:rsid w:val="004F7501"/>
    <w:rsid w:val="00500078"/>
    <w:rsid w:val="005005BD"/>
    <w:rsid w:val="00500C5B"/>
    <w:rsid w:val="00500CD4"/>
    <w:rsid w:val="00500F34"/>
    <w:rsid w:val="0050116B"/>
    <w:rsid w:val="005011A6"/>
    <w:rsid w:val="00501264"/>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D48"/>
    <w:rsid w:val="00527E76"/>
    <w:rsid w:val="0053019D"/>
    <w:rsid w:val="0053106B"/>
    <w:rsid w:val="00532266"/>
    <w:rsid w:val="00532ABF"/>
    <w:rsid w:val="00532DA7"/>
    <w:rsid w:val="005339E8"/>
    <w:rsid w:val="0053437B"/>
    <w:rsid w:val="005347E9"/>
    <w:rsid w:val="0053527A"/>
    <w:rsid w:val="00535341"/>
    <w:rsid w:val="00536751"/>
    <w:rsid w:val="00536D3F"/>
    <w:rsid w:val="00536DE4"/>
    <w:rsid w:val="0053721D"/>
    <w:rsid w:val="0053725A"/>
    <w:rsid w:val="00537CF5"/>
    <w:rsid w:val="005403C8"/>
    <w:rsid w:val="00540A41"/>
    <w:rsid w:val="00540AE3"/>
    <w:rsid w:val="00540BCE"/>
    <w:rsid w:val="00541611"/>
    <w:rsid w:val="00541898"/>
    <w:rsid w:val="005427B6"/>
    <w:rsid w:val="0054332C"/>
    <w:rsid w:val="00543542"/>
    <w:rsid w:val="00543693"/>
    <w:rsid w:val="00543AD9"/>
    <w:rsid w:val="00544755"/>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296E"/>
    <w:rsid w:val="00573A2D"/>
    <w:rsid w:val="00573BA8"/>
    <w:rsid w:val="00573F9E"/>
    <w:rsid w:val="0057497D"/>
    <w:rsid w:val="0057503E"/>
    <w:rsid w:val="00575426"/>
    <w:rsid w:val="00575BBE"/>
    <w:rsid w:val="005763B4"/>
    <w:rsid w:val="00576B12"/>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30A"/>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712"/>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D7E51"/>
    <w:rsid w:val="005E0391"/>
    <w:rsid w:val="005E047F"/>
    <w:rsid w:val="005E0743"/>
    <w:rsid w:val="005E0970"/>
    <w:rsid w:val="005E09A4"/>
    <w:rsid w:val="005E0CA4"/>
    <w:rsid w:val="005E0D68"/>
    <w:rsid w:val="005E1285"/>
    <w:rsid w:val="005E13D7"/>
    <w:rsid w:val="005E3B5E"/>
    <w:rsid w:val="005E439B"/>
    <w:rsid w:val="005E4C78"/>
    <w:rsid w:val="005E4D82"/>
    <w:rsid w:val="005E5DE0"/>
    <w:rsid w:val="005E706E"/>
    <w:rsid w:val="005E70EF"/>
    <w:rsid w:val="005F0406"/>
    <w:rsid w:val="005F089F"/>
    <w:rsid w:val="005F2463"/>
    <w:rsid w:val="005F3056"/>
    <w:rsid w:val="005F3F78"/>
    <w:rsid w:val="005F4658"/>
    <w:rsid w:val="005F48CC"/>
    <w:rsid w:val="005F52C6"/>
    <w:rsid w:val="005F53B5"/>
    <w:rsid w:val="005F5403"/>
    <w:rsid w:val="005F584F"/>
    <w:rsid w:val="005F5E9D"/>
    <w:rsid w:val="005F761E"/>
    <w:rsid w:val="005F764F"/>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0C3F"/>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1662"/>
    <w:rsid w:val="00622DE2"/>
    <w:rsid w:val="00624548"/>
    <w:rsid w:val="00624A9A"/>
    <w:rsid w:val="006257CE"/>
    <w:rsid w:val="0062587C"/>
    <w:rsid w:val="00625B87"/>
    <w:rsid w:val="006263D7"/>
    <w:rsid w:val="00626688"/>
    <w:rsid w:val="0062669F"/>
    <w:rsid w:val="00626C99"/>
    <w:rsid w:val="0062725E"/>
    <w:rsid w:val="006272E0"/>
    <w:rsid w:val="00627361"/>
    <w:rsid w:val="006273AE"/>
    <w:rsid w:val="00627BCB"/>
    <w:rsid w:val="0063063A"/>
    <w:rsid w:val="006307AC"/>
    <w:rsid w:val="00630D47"/>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484"/>
    <w:rsid w:val="0064651F"/>
    <w:rsid w:val="006468BB"/>
    <w:rsid w:val="006468EC"/>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3224"/>
    <w:rsid w:val="0068358B"/>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A6C59"/>
    <w:rsid w:val="006B0EC3"/>
    <w:rsid w:val="006B10A2"/>
    <w:rsid w:val="006B1423"/>
    <w:rsid w:val="006B1B97"/>
    <w:rsid w:val="006B1BAF"/>
    <w:rsid w:val="006B1F3F"/>
    <w:rsid w:val="006B263A"/>
    <w:rsid w:val="006B28B3"/>
    <w:rsid w:val="006B2B6C"/>
    <w:rsid w:val="006B304B"/>
    <w:rsid w:val="006B37C0"/>
    <w:rsid w:val="006B3EEA"/>
    <w:rsid w:val="006B4EC3"/>
    <w:rsid w:val="006B5100"/>
    <w:rsid w:val="006B5A36"/>
    <w:rsid w:val="006B605F"/>
    <w:rsid w:val="006B615D"/>
    <w:rsid w:val="006B65DF"/>
    <w:rsid w:val="006B6862"/>
    <w:rsid w:val="006B6D38"/>
    <w:rsid w:val="006B71CE"/>
    <w:rsid w:val="006B7291"/>
    <w:rsid w:val="006B777B"/>
    <w:rsid w:val="006B7DEF"/>
    <w:rsid w:val="006B7FF7"/>
    <w:rsid w:val="006C08B2"/>
    <w:rsid w:val="006C170F"/>
    <w:rsid w:val="006C174D"/>
    <w:rsid w:val="006C177D"/>
    <w:rsid w:val="006C295D"/>
    <w:rsid w:val="006C2A69"/>
    <w:rsid w:val="006C2B58"/>
    <w:rsid w:val="006C3A1B"/>
    <w:rsid w:val="006C465D"/>
    <w:rsid w:val="006C4BAA"/>
    <w:rsid w:val="006C568B"/>
    <w:rsid w:val="006C5DCD"/>
    <w:rsid w:val="006C633E"/>
    <w:rsid w:val="006C73D7"/>
    <w:rsid w:val="006C7B24"/>
    <w:rsid w:val="006D022D"/>
    <w:rsid w:val="006D032B"/>
    <w:rsid w:val="006D0B36"/>
    <w:rsid w:val="006D12CB"/>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D7C56"/>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1F8"/>
    <w:rsid w:val="006F2217"/>
    <w:rsid w:val="006F2B51"/>
    <w:rsid w:val="006F34D0"/>
    <w:rsid w:val="006F3BE7"/>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85B"/>
    <w:rsid w:val="00704961"/>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0D53"/>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89E"/>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826"/>
    <w:rsid w:val="00781A60"/>
    <w:rsid w:val="007826D0"/>
    <w:rsid w:val="0078325A"/>
    <w:rsid w:val="0078331B"/>
    <w:rsid w:val="00783E17"/>
    <w:rsid w:val="00784C1C"/>
    <w:rsid w:val="0078519A"/>
    <w:rsid w:val="007854A8"/>
    <w:rsid w:val="007876AC"/>
    <w:rsid w:val="00790519"/>
    <w:rsid w:val="00790C80"/>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3D6F"/>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8D1"/>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E7AC6"/>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3AB"/>
    <w:rsid w:val="00811920"/>
    <w:rsid w:val="00813519"/>
    <w:rsid w:val="00813D10"/>
    <w:rsid w:val="00813E1F"/>
    <w:rsid w:val="008140D8"/>
    <w:rsid w:val="008145A2"/>
    <w:rsid w:val="00814DAA"/>
    <w:rsid w:val="008154CC"/>
    <w:rsid w:val="008156F0"/>
    <w:rsid w:val="00815976"/>
    <w:rsid w:val="00815CF7"/>
    <w:rsid w:val="00815D5C"/>
    <w:rsid w:val="0081627E"/>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042"/>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4E01"/>
    <w:rsid w:val="008357AC"/>
    <w:rsid w:val="008358AA"/>
    <w:rsid w:val="0083608D"/>
    <w:rsid w:val="00836655"/>
    <w:rsid w:val="008368B4"/>
    <w:rsid w:val="00836988"/>
    <w:rsid w:val="00836D9F"/>
    <w:rsid w:val="0083748D"/>
    <w:rsid w:val="00837AE2"/>
    <w:rsid w:val="0084072C"/>
    <w:rsid w:val="00840B13"/>
    <w:rsid w:val="00842642"/>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341"/>
    <w:rsid w:val="00872F81"/>
    <w:rsid w:val="0087388A"/>
    <w:rsid w:val="008741E0"/>
    <w:rsid w:val="008744A3"/>
    <w:rsid w:val="00875F3B"/>
    <w:rsid w:val="00876599"/>
    <w:rsid w:val="0087798C"/>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2DEE"/>
    <w:rsid w:val="008A31AE"/>
    <w:rsid w:val="008A36D8"/>
    <w:rsid w:val="008A3FF2"/>
    <w:rsid w:val="008A44CC"/>
    <w:rsid w:val="008A4B74"/>
    <w:rsid w:val="008A5D64"/>
    <w:rsid w:val="008A6812"/>
    <w:rsid w:val="008A721B"/>
    <w:rsid w:val="008A7529"/>
    <w:rsid w:val="008A7860"/>
    <w:rsid w:val="008A7B14"/>
    <w:rsid w:val="008B0B3C"/>
    <w:rsid w:val="008B15B4"/>
    <w:rsid w:val="008B1D08"/>
    <w:rsid w:val="008B2755"/>
    <w:rsid w:val="008B29EC"/>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62E4"/>
    <w:rsid w:val="008C725D"/>
    <w:rsid w:val="008D0C7D"/>
    <w:rsid w:val="008D1046"/>
    <w:rsid w:val="008D15D0"/>
    <w:rsid w:val="008D1962"/>
    <w:rsid w:val="008D1CC5"/>
    <w:rsid w:val="008D2C42"/>
    <w:rsid w:val="008D4398"/>
    <w:rsid w:val="008D44F7"/>
    <w:rsid w:val="008D45D0"/>
    <w:rsid w:val="008D5290"/>
    <w:rsid w:val="008D5507"/>
    <w:rsid w:val="008E0ECA"/>
    <w:rsid w:val="008E1345"/>
    <w:rsid w:val="008E1BE5"/>
    <w:rsid w:val="008E2798"/>
    <w:rsid w:val="008E2BBD"/>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06E8"/>
    <w:rsid w:val="008F110B"/>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4E43"/>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374EE"/>
    <w:rsid w:val="009407FE"/>
    <w:rsid w:val="0094112A"/>
    <w:rsid w:val="00942C57"/>
    <w:rsid w:val="009447FB"/>
    <w:rsid w:val="00944BDF"/>
    <w:rsid w:val="00944DAD"/>
    <w:rsid w:val="00944EE1"/>
    <w:rsid w:val="0094529C"/>
    <w:rsid w:val="0094574D"/>
    <w:rsid w:val="009459D5"/>
    <w:rsid w:val="00945E76"/>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428"/>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14A"/>
    <w:rsid w:val="009635AC"/>
    <w:rsid w:val="0096634F"/>
    <w:rsid w:val="00966401"/>
    <w:rsid w:val="009673FE"/>
    <w:rsid w:val="0096780A"/>
    <w:rsid w:val="00967DC7"/>
    <w:rsid w:val="0097015A"/>
    <w:rsid w:val="00970586"/>
    <w:rsid w:val="0097063B"/>
    <w:rsid w:val="00970F6F"/>
    <w:rsid w:val="009714BB"/>
    <w:rsid w:val="00972CCE"/>
    <w:rsid w:val="00973712"/>
    <w:rsid w:val="00973A93"/>
    <w:rsid w:val="00974188"/>
    <w:rsid w:val="009763F8"/>
    <w:rsid w:val="009770D5"/>
    <w:rsid w:val="00980240"/>
    <w:rsid w:val="0098068F"/>
    <w:rsid w:val="00982A40"/>
    <w:rsid w:val="009832D3"/>
    <w:rsid w:val="0098395B"/>
    <w:rsid w:val="0098415A"/>
    <w:rsid w:val="009843D2"/>
    <w:rsid w:val="009870CB"/>
    <w:rsid w:val="009876E3"/>
    <w:rsid w:val="00987D07"/>
    <w:rsid w:val="00990B7C"/>
    <w:rsid w:val="00991DD4"/>
    <w:rsid w:val="00992120"/>
    <w:rsid w:val="00992534"/>
    <w:rsid w:val="00993DF2"/>
    <w:rsid w:val="0099402E"/>
    <w:rsid w:val="009943B7"/>
    <w:rsid w:val="00994BD3"/>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5DC"/>
    <w:rsid w:val="009A727E"/>
    <w:rsid w:val="009B0A8C"/>
    <w:rsid w:val="009B12B7"/>
    <w:rsid w:val="009B190D"/>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6A54"/>
    <w:rsid w:val="009D7C8E"/>
    <w:rsid w:val="009E022C"/>
    <w:rsid w:val="009E0689"/>
    <w:rsid w:val="009E0AB4"/>
    <w:rsid w:val="009E1FC5"/>
    <w:rsid w:val="009E224B"/>
    <w:rsid w:val="009E22D0"/>
    <w:rsid w:val="009E2BDF"/>
    <w:rsid w:val="009E3460"/>
    <w:rsid w:val="009E3486"/>
    <w:rsid w:val="009E3A4C"/>
    <w:rsid w:val="009E3F68"/>
    <w:rsid w:val="009E4001"/>
    <w:rsid w:val="009E44F4"/>
    <w:rsid w:val="009E4976"/>
    <w:rsid w:val="009E4A3A"/>
    <w:rsid w:val="009E4FDD"/>
    <w:rsid w:val="009E535C"/>
    <w:rsid w:val="009E5BF9"/>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62A4"/>
    <w:rsid w:val="00A3706D"/>
    <w:rsid w:val="00A375DC"/>
    <w:rsid w:val="00A40651"/>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11D"/>
    <w:rsid w:val="00A5282D"/>
    <w:rsid w:val="00A52FB2"/>
    <w:rsid w:val="00A53269"/>
    <w:rsid w:val="00A541F8"/>
    <w:rsid w:val="00A543C5"/>
    <w:rsid w:val="00A55BA0"/>
    <w:rsid w:val="00A5626B"/>
    <w:rsid w:val="00A56348"/>
    <w:rsid w:val="00A5643F"/>
    <w:rsid w:val="00A56C99"/>
    <w:rsid w:val="00A578E0"/>
    <w:rsid w:val="00A61080"/>
    <w:rsid w:val="00A61336"/>
    <w:rsid w:val="00A6172F"/>
    <w:rsid w:val="00A6185F"/>
    <w:rsid w:val="00A61C5B"/>
    <w:rsid w:val="00A62049"/>
    <w:rsid w:val="00A62487"/>
    <w:rsid w:val="00A62B4F"/>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514"/>
    <w:rsid w:val="00A739D8"/>
    <w:rsid w:val="00A73BDB"/>
    <w:rsid w:val="00A73DBD"/>
    <w:rsid w:val="00A74D01"/>
    <w:rsid w:val="00A76038"/>
    <w:rsid w:val="00A768BD"/>
    <w:rsid w:val="00A76A85"/>
    <w:rsid w:val="00A77957"/>
    <w:rsid w:val="00A8084C"/>
    <w:rsid w:val="00A81E83"/>
    <w:rsid w:val="00A8247A"/>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31F2"/>
    <w:rsid w:val="00AA3E39"/>
    <w:rsid w:val="00AA46DB"/>
    <w:rsid w:val="00AA502B"/>
    <w:rsid w:val="00AA69C5"/>
    <w:rsid w:val="00AA715A"/>
    <w:rsid w:val="00AA7D30"/>
    <w:rsid w:val="00AB0CCA"/>
    <w:rsid w:val="00AB1F06"/>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124"/>
    <w:rsid w:val="00AD3A03"/>
    <w:rsid w:val="00AD4C5F"/>
    <w:rsid w:val="00AD51E7"/>
    <w:rsid w:val="00AD56BD"/>
    <w:rsid w:val="00AD5DCD"/>
    <w:rsid w:val="00AD69BD"/>
    <w:rsid w:val="00AD6AD6"/>
    <w:rsid w:val="00AD7081"/>
    <w:rsid w:val="00AD7532"/>
    <w:rsid w:val="00AD7823"/>
    <w:rsid w:val="00AE12F6"/>
    <w:rsid w:val="00AE1762"/>
    <w:rsid w:val="00AE1EA1"/>
    <w:rsid w:val="00AE208C"/>
    <w:rsid w:val="00AE2107"/>
    <w:rsid w:val="00AE2303"/>
    <w:rsid w:val="00AE255F"/>
    <w:rsid w:val="00AE2963"/>
    <w:rsid w:val="00AE3665"/>
    <w:rsid w:val="00AE406D"/>
    <w:rsid w:val="00AE41EE"/>
    <w:rsid w:val="00AE5A9F"/>
    <w:rsid w:val="00AE6177"/>
    <w:rsid w:val="00AE73AB"/>
    <w:rsid w:val="00AE7BC2"/>
    <w:rsid w:val="00AF0689"/>
    <w:rsid w:val="00AF1FD9"/>
    <w:rsid w:val="00AF21CC"/>
    <w:rsid w:val="00AF25C2"/>
    <w:rsid w:val="00AF2678"/>
    <w:rsid w:val="00AF291B"/>
    <w:rsid w:val="00AF2A7C"/>
    <w:rsid w:val="00AF3250"/>
    <w:rsid w:val="00AF38E8"/>
    <w:rsid w:val="00AF3928"/>
    <w:rsid w:val="00AF3B19"/>
    <w:rsid w:val="00AF479B"/>
    <w:rsid w:val="00AF4B24"/>
    <w:rsid w:val="00AF4B30"/>
    <w:rsid w:val="00AF5338"/>
    <w:rsid w:val="00AF539A"/>
    <w:rsid w:val="00AF6526"/>
    <w:rsid w:val="00AF714C"/>
    <w:rsid w:val="00AF7323"/>
    <w:rsid w:val="00B0036E"/>
    <w:rsid w:val="00B003D1"/>
    <w:rsid w:val="00B0058B"/>
    <w:rsid w:val="00B0065F"/>
    <w:rsid w:val="00B00B92"/>
    <w:rsid w:val="00B00C72"/>
    <w:rsid w:val="00B017B7"/>
    <w:rsid w:val="00B019E9"/>
    <w:rsid w:val="00B01A3F"/>
    <w:rsid w:val="00B02ADE"/>
    <w:rsid w:val="00B038A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7DD"/>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29"/>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241"/>
    <w:rsid w:val="00B4487A"/>
    <w:rsid w:val="00B44A2A"/>
    <w:rsid w:val="00B46560"/>
    <w:rsid w:val="00B4677F"/>
    <w:rsid w:val="00B47724"/>
    <w:rsid w:val="00B47893"/>
    <w:rsid w:val="00B47F06"/>
    <w:rsid w:val="00B5071D"/>
    <w:rsid w:val="00B50A5B"/>
    <w:rsid w:val="00B5223A"/>
    <w:rsid w:val="00B52890"/>
    <w:rsid w:val="00B52F10"/>
    <w:rsid w:val="00B53C3C"/>
    <w:rsid w:val="00B54C21"/>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56C"/>
    <w:rsid w:val="00B739A4"/>
    <w:rsid w:val="00B73A46"/>
    <w:rsid w:val="00B743D7"/>
    <w:rsid w:val="00B75223"/>
    <w:rsid w:val="00B75269"/>
    <w:rsid w:val="00B752E7"/>
    <w:rsid w:val="00B754AD"/>
    <w:rsid w:val="00B75885"/>
    <w:rsid w:val="00B759A0"/>
    <w:rsid w:val="00B75DEA"/>
    <w:rsid w:val="00B76713"/>
    <w:rsid w:val="00B76943"/>
    <w:rsid w:val="00B81259"/>
    <w:rsid w:val="00B81BE7"/>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A26"/>
    <w:rsid w:val="00BB0C2F"/>
    <w:rsid w:val="00BB0C8F"/>
    <w:rsid w:val="00BB0E5C"/>
    <w:rsid w:val="00BB13BC"/>
    <w:rsid w:val="00BB205E"/>
    <w:rsid w:val="00BB2304"/>
    <w:rsid w:val="00BB31B0"/>
    <w:rsid w:val="00BB3BDF"/>
    <w:rsid w:val="00BB4720"/>
    <w:rsid w:val="00BB4A94"/>
    <w:rsid w:val="00BB4AC1"/>
    <w:rsid w:val="00BB4AE8"/>
    <w:rsid w:val="00BB4D73"/>
    <w:rsid w:val="00BB516F"/>
    <w:rsid w:val="00BB5519"/>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0F44"/>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51C"/>
    <w:rsid w:val="00BF4B1C"/>
    <w:rsid w:val="00BF5C56"/>
    <w:rsid w:val="00BF63BF"/>
    <w:rsid w:val="00BF6761"/>
    <w:rsid w:val="00BF715C"/>
    <w:rsid w:val="00BF784B"/>
    <w:rsid w:val="00BF7986"/>
    <w:rsid w:val="00BF7A97"/>
    <w:rsid w:val="00BF7C75"/>
    <w:rsid w:val="00BF7FDE"/>
    <w:rsid w:val="00C012D7"/>
    <w:rsid w:val="00C018D5"/>
    <w:rsid w:val="00C0225C"/>
    <w:rsid w:val="00C031FA"/>
    <w:rsid w:val="00C03332"/>
    <w:rsid w:val="00C03555"/>
    <w:rsid w:val="00C036B8"/>
    <w:rsid w:val="00C03D8A"/>
    <w:rsid w:val="00C041C3"/>
    <w:rsid w:val="00C044A3"/>
    <w:rsid w:val="00C04EB6"/>
    <w:rsid w:val="00C06255"/>
    <w:rsid w:val="00C065C2"/>
    <w:rsid w:val="00C06646"/>
    <w:rsid w:val="00C066F9"/>
    <w:rsid w:val="00C06C4C"/>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582F"/>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084C"/>
    <w:rsid w:val="00C6226B"/>
    <w:rsid w:val="00C625E6"/>
    <w:rsid w:val="00C6298B"/>
    <w:rsid w:val="00C6316E"/>
    <w:rsid w:val="00C632F6"/>
    <w:rsid w:val="00C6358E"/>
    <w:rsid w:val="00C646B3"/>
    <w:rsid w:val="00C64D48"/>
    <w:rsid w:val="00C65612"/>
    <w:rsid w:val="00C65D66"/>
    <w:rsid w:val="00C703E5"/>
    <w:rsid w:val="00C71A7F"/>
    <w:rsid w:val="00C71B10"/>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1C0"/>
    <w:rsid w:val="00C8780F"/>
    <w:rsid w:val="00C9008A"/>
    <w:rsid w:val="00C90149"/>
    <w:rsid w:val="00C90612"/>
    <w:rsid w:val="00C9153C"/>
    <w:rsid w:val="00C917F4"/>
    <w:rsid w:val="00C92960"/>
    <w:rsid w:val="00C92E03"/>
    <w:rsid w:val="00C93465"/>
    <w:rsid w:val="00C9378D"/>
    <w:rsid w:val="00C938FF"/>
    <w:rsid w:val="00C9403E"/>
    <w:rsid w:val="00C95EE3"/>
    <w:rsid w:val="00C963D9"/>
    <w:rsid w:val="00C96860"/>
    <w:rsid w:val="00C96B16"/>
    <w:rsid w:val="00C96BAE"/>
    <w:rsid w:val="00C972FF"/>
    <w:rsid w:val="00C97DAD"/>
    <w:rsid w:val="00CA0E2D"/>
    <w:rsid w:val="00CA12DC"/>
    <w:rsid w:val="00CA14C9"/>
    <w:rsid w:val="00CA2C96"/>
    <w:rsid w:val="00CA2F5A"/>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1EDE"/>
    <w:rsid w:val="00CB2AFD"/>
    <w:rsid w:val="00CB2CE5"/>
    <w:rsid w:val="00CB4122"/>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8A1"/>
    <w:rsid w:val="00CD4F9A"/>
    <w:rsid w:val="00CD631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9D"/>
    <w:rsid w:val="00CE5AB1"/>
    <w:rsid w:val="00CE63B4"/>
    <w:rsid w:val="00CE6613"/>
    <w:rsid w:val="00CE68D4"/>
    <w:rsid w:val="00CE7FAD"/>
    <w:rsid w:val="00CF0BEE"/>
    <w:rsid w:val="00CF0EF0"/>
    <w:rsid w:val="00CF15E7"/>
    <w:rsid w:val="00CF208E"/>
    <w:rsid w:val="00CF3FEE"/>
    <w:rsid w:val="00CF4241"/>
    <w:rsid w:val="00CF4D72"/>
    <w:rsid w:val="00CF59E7"/>
    <w:rsid w:val="00CF6FD2"/>
    <w:rsid w:val="00CF7343"/>
    <w:rsid w:val="00D0068A"/>
    <w:rsid w:val="00D008DC"/>
    <w:rsid w:val="00D0148E"/>
    <w:rsid w:val="00D015CA"/>
    <w:rsid w:val="00D02999"/>
    <w:rsid w:val="00D02D7A"/>
    <w:rsid w:val="00D030F2"/>
    <w:rsid w:val="00D035AD"/>
    <w:rsid w:val="00D04131"/>
    <w:rsid w:val="00D06270"/>
    <w:rsid w:val="00D07248"/>
    <w:rsid w:val="00D07BCE"/>
    <w:rsid w:val="00D10A8A"/>
    <w:rsid w:val="00D11241"/>
    <w:rsid w:val="00D112A6"/>
    <w:rsid w:val="00D125D2"/>
    <w:rsid w:val="00D12DB0"/>
    <w:rsid w:val="00D13FD5"/>
    <w:rsid w:val="00D14532"/>
    <w:rsid w:val="00D15040"/>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2D59"/>
    <w:rsid w:val="00D238E0"/>
    <w:rsid w:val="00D238ED"/>
    <w:rsid w:val="00D23D62"/>
    <w:rsid w:val="00D244F0"/>
    <w:rsid w:val="00D246DF"/>
    <w:rsid w:val="00D24E3C"/>
    <w:rsid w:val="00D2651A"/>
    <w:rsid w:val="00D27C1C"/>
    <w:rsid w:val="00D308C4"/>
    <w:rsid w:val="00D30A4F"/>
    <w:rsid w:val="00D30D3F"/>
    <w:rsid w:val="00D31281"/>
    <w:rsid w:val="00D31507"/>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6677"/>
    <w:rsid w:val="00D47417"/>
    <w:rsid w:val="00D47CAA"/>
    <w:rsid w:val="00D511CC"/>
    <w:rsid w:val="00D52A7B"/>
    <w:rsid w:val="00D54384"/>
    <w:rsid w:val="00D543E9"/>
    <w:rsid w:val="00D55040"/>
    <w:rsid w:val="00D568ED"/>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672C1"/>
    <w:rsid w:val="00D7018C"/>
    <w:rsid w:val="00D70826"/>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E35"/>
    <w:rsid w:val="00D82FA6"/>
    <w:rsid w:val="00D8428A"/>
    <w:rsid w:val="00D849C1"/>
    <w:rsid w:val="00D84F2C"/>
    <w:rsid w:val="00D858CF"/>
    <w:rsid w:val="00D9038C"/>
    <w:rsid w:val="00D905EA"/>
    <w:rsid w:val="00D90898"/>
    <w:rsid w:val="00D90B00"/>
    <w:rsid w:val="00D912E8"/>
    <w:rsid w:val="00D91350"/>
    <w:rsid w:val="00D9212F"/>
    <w:rsid w:val="00D922C3"/>
    <w:rsid w:val="00D93080"/>
    <w:rsid w:val="00D94745"/>
    <w:rsid w:val="00D948A7"/>
    <w:rsid w:val="00D958B9"/>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1CE9"/>
    <w:rsid w:val="00DD367D"/>
    <w:rsid w:val="00DD39C7"/>
    <w:rsid w:val="00DD4360"/>
    <w:rsid w:val="00DD4C58"/>
    <w:rsid w:val="00DD6311"/>
    <w:rsid w:val="00DD70BE"/>
    <w:rsid w:val="00DD7A56"/>
    <w:rsid w:val="00DD7F8E"/>
    <w:rsid w:val="00DE051B"/>
    <w:rsid w:val="00DE0D10"/>
    <w:rsid w:val="00DE0DD8"/>
    <w:rsid w:val="00DE10A5"/>
    <w:rsid w:val="00DE1AF7"/>
    <w:rsid w:val="00DE1CBE"/>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8E9"/>
    <w:rsid w:val="00DF4A8C"/>
    <w:rsid w:val="00DF4B04"/>
    <w:rsid w:val="00DF4EB7"/>
    <w:rsid w:val="00DF6F3F"/>
    <w:rsid w:val="00DF7888"/>
    <w:rsid w:val="00E0271A"/>
    <w:rsid w:val="00E031A2"/>
    <w:rsid w:val="00E03266"/>
    <w:rsid w:val="00E035D3"/>
    <w:rsid w:val="00E03856"/>
    <w:rsid w:val="00E03E2C"/>
    <w:rsid w:val="00E06050"/>
    <w:rsid w:val="00E06413"/>
    <w:rsid w:val="00E06578"/>
    <w:rsid w:val="00E06FE8"/>
    <w:rsid w:val="00E072E8"/>
    <w:rsid w:val="00E07BB2"/>
    <w:rsid w:val="00E106AF"/>
    <w:rsid w:val="00E10A4B"/>
    <w:rsid w:val="00E134AB"/>
    <w:rsid w:val="00E13599"/>
    <w:rsid w:val="00E14562"/>
    <w:rsid w:val="00E14FF2"/>
    <w:rsid w:val="00E154DF"/>
    <w:rsid w:val="00E156E8"/>
    <w:rsid w:val="00E161AF"/>
    <w:rsid w:val="00E1724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D36"/>
    <w:rsid w:val="00E27FDC"/>
    <w:rsid w:val="00E30AB2"/>
    <w:rsid w:val="00E30E2F"/>
    <w:rsid w:val="00E316C2"/>
    <w:rsid w:val="00E318B1"/>
    <w:rsid w:val="00E319F9"/>
    <w:rsid w:val="00E31C0B"/>
    <w:rsid w:val="00E31CC0"/>
    <w:rsid w:val="00E3259C"/>
    <w:rsid w:val="00E3263C"/>
    <w:rsid w:val="00E32DD5"/>
    <w:rsid w:val="00E33156"/>
    <w:rsid w:val="00E33A4B"/>
    <w:rsid w:val="00E33C07"/>
    <w:rsid w:val="00E345B7"/>
    <w:rsid w:val="00E34B9D"/>
    <w:rsid w:val="00E357D3"/>
    <w:rsid w:val="00E35CB6"/>
    <w:rsid w:val="00E35CF5"/>
    <w:rsid w:val="00E35E95"/>
    <w:rsid w:val="00E3712E"/>
    <w:rsid w:val="00E37171"/>
    <w:rsid w:val="00E4006A"/>
    <w:rsid w:val="00E41068"/>
    <w:rsid w:val="00E41167"/>
    <w:rsid w:val="00E41259"/>
    <w:rsid w:val="00E42F02"/>
    <w:rsid w:val="00E44BAA"/>
    <w:rsid w:val="00E46724"/>
    <w:rsid w:val="00E46F60"/>
    <w:rsid w:val="00E472E9"/>
    <w:rsid w:val="00E5029B"/>
    <w:rsid w:val="00E50460"/>
    <w:rsid w:val="00E508C1"/>
    <w:rsid w:val="00E52A26"/>
    <w:rsid w:val="00E52E72"/>
    <w:rsid w:val="00E534E4"/>
    <w:rsid w:val="00E53C35"/>
    <w:rsid w:val="00E53E60"/>
    <w:rsid w:val="00E53EFA"/>
    <w:rsid w:val="00E544B3"/>
    <w:rsid w:val="00E54987"/>
    <w:rsid w:val="00E55393"/>
    <w:rsid w:val="00E55475"/>
    <w:rsid w:val="00E564C0"/>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5D10"/>
    <w:rsid w:val="00E86E33"/>
    <w:rsid w:val="00E8793F"/>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523"/>
    <w:rsid w:val="00E976BC"/>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0F8"/>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A0D"/>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3263"/>
    <w:rsid w:val="00EF4590"/>
    <w:rsid w:val="00EF49C7"/>
    <w:rsid w:val="00EF5637"/>
    <w:rsid w:val="00EF56BF"/>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4C6A"/>
    <w:rsid w:val="00F15585"/>
    <w:rsid w:val="00F20EA0"/>
    <w:rsid w:val="00F21F1B"/>
    <w:rsid w:val="00F227E2"/>
    <w:rsid w:val="00F22928"/>
    <w:rsid w:val="00F22F6A"/>
    <w:rsid w:val="00F23A1B"/>
    <w:rsid w:val="00F246FF"/>
    <w:rsid w:val="00F249BF"/>
    <w:rsid w:val="00F25A10"/>
    <w:rsid w:val="00F26A30"/>
    <w:rsid w:val="00F26AF3"/>
    <w:rsid w:val="00F270EF"/>
    <w:rsid w:val="00F27B29"/>
    <w:rsid w:val="00F27BD2"/>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0ED"/>
    <w:rsid w:val="00F4544C"/>
    <w:rsid w:val="00F4563D"/>
    <w:rsid w:val="00F4605A"/>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78"/>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384"/>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05F"/>
    <w:rsid w:val="00F93617"/>
    <w:rsid w:val="00F93961"/>
    <w:rsid w:val="00F94F25"/>
    <w:rsid w:val="00F9515B"/>
    <w:rsid w:val="00F954CB"/>
    <w:rsid w:val="00F95B1B"/>
    <w:rsid w:val="00F95BCC"/>
    <w:rsid w:val="00F96192"/>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1A4"/>
    <w:rsid w:val="00FB45A4"/>
    <w:rsid w:val="00FB57A5"/>
    <w:rsid w:val="00FB5956"/>
    <w:rsid w:val="00FB5B40"/>
    <w:rsid w:val="00FB7EA3"/>
    <w:rsid w:val="00FC0957"/>
    <w:rsid w:val="00FC114C"/>
    <w:rsid w:val="00FC1DE7"/>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82F"/>
    <w:rsid w:val="00FE7ED4"/>
    <w:rsid w:val="00FE7FDD"/>
    <w:rsid w:val="00FF02F6"/>
    <w:rsid w:val="00FF0411"/>
    <w:rsid w:val="00FF0D73"/>
    <w:rsid w:val="00FF1783"/>
    <w:rsid w:val="00FF1B2B"/>
    <w:rsid w:val="00FF2AF4"/>
    <w:rsid w:val="00FF3343"/>
    <w:rsid w:val="00FF3825"/>
    <w:rsid w:val="00FF4AF4"/>
    <w:rsid w:val="00FF4CAB"/>
    <w:rsid w:val="00FF54AD"/>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45477E78-A5C6-42A0-B46A-0D3C9F983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F06E8"/>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647E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647E8"/>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spd" TargetMode="External"/><Relationship Id="rId39" Type="http://schemas.openxmlformats.org/officeDocument/2006/relationships/hyperlink" Target="http://www.microsoft.com/licensing/resources/vol/volumelicensekey/default.mspx" TargetMode="External"/><Relationship Id="rId21" Type="http://schemas.openxmlformats.org/officeDocument/2006/relationships/hyperlink" Target="file:///C:\Users\justinke\AppData\Local\Temp\Temp2_GER.zip\MicrosoftProductList(Worldwide)(German)(May2013)(IU)%20-%20Copy.docx" TargetMode="External"/><Relationship Id="rId34" Type="http://schemas.openxmlformats.org/officeDocument/2006/relationships/hyperlink" Target="http://www.windowsazure.com" TargetMode="External"/><Relationship Id="rId42" Type="http://schemas.openxmlformats.org/officeDocument/2006/relationships/hyperlink" Target="http://www.vexcel.com/geospatial/bingmapsserver/index.asp" TargetMode="External"/><Relationship Id="rId47" Type="http://schemas.openxmlformats.org/officeDocument/2006/relationships/hyperlink" Target="mailto:bmesupp@microsoft.com" TargetMode="External"/><Relationship Id="rId50" Type="http://schemas.openxmlformats.org/officeDocument/2006/relationships/hyperlink" Target="http://www.microsoft.com/sqlserver/en/us/get-sql-server/how-to-buy.aspx" TargetMode="External"/><Relationship Id="rId55" Type="http://schemas.openxmlformats.org/officeDocument/2006/relationships/hyperlink" Target="http://www.vexcel.com/geospatial/bingmapsserver/index.asp"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licensing"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com/licensing/resources/vol/numbers.mspx" TargetMode="External"/><Relationship Id="rId46" Type="http://schemas.openxmlformats.org/officeDocument/2006/relationships/hyperlink" Target="http://www.microsoft.com/licensing/contracts"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en-us/dynamics/erp-buy-ax-software.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online/faq.aspx" TargetMode="External"/><Relationship Id="rId32" Type="http://schemas.openxmlformats.org/officeDocument/2006/relationships/hyperlink" Target="http://www.microsoft.com/licensing" TargetMode="External"/><Relationship Id="rId37" Type="http://schemas.openxmlformats.org/officeDocument/2006/relationships/hyperlink" Target="https://www.microsoft.com/licensing/servicecenter/default.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www.microsoft.com" TargetMode="External"/><Relationship Id="rId58"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products/exporting/basics.htm" TargetMode="External"/><Relationship Id="rId49" Type="http://schemas.openxmlformats.org/officeDocument/2006/relationships/hyperlink" Target="mailto:bmesupp@microsoft.com" TargetMode="External"/><Relationship Id="rId57" Type="http://schemas.openxmlformats.org/officeDocument/2006/relationships/header" Target="header3.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technet/subscription"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en-us/dynamics/erp-explore-ax-capabilities.aspx"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file:///C:\Users\justinke\AppData\Local\Temp\Temp2_GER.zip\MicrosoftProductList(Worldwide)(German)(May2013)(IU)%20-%20Copy.docx" TargetMode="External"/><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s://support.microsoft.com/oas/default.aspx?prid=13766&amp;st=1" TargetMode="External"/><Relationship Id="rId56" Type="http://schemas.openxmlformats.org/officeDocument/2006/relationships/footer" Target="footer3.xml"/><Relationship Id="rId8" Type="http://schemas.openxmlformats.org/officeDocument/2006/relationships/numbering" Target="numbering.xml"/><Relationship Id="rId51" Type="http://schemas.openxmlformats.org/officeDocument/2006/relationships/hyperlink" Target="https://www.microsoft.com/licensing/servicecenter"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FD5D780-EC73-420E-94FE-39751D198ED0}">
  <ds:schemaRefs>
    <ds:schemaRef ds:uri="http://schemas.openxmlformats.org/officeDocument/2006/bibliography"/>
  </ds:schemaRefs>
</ds:datastoreItem>
</file>

<file path=customXml/itemProps5.xml><?xml version="1.0" encoding="utf-8"?>
<ds:datastoreItem xmlns:ds="http://schemas.openxmlformats.org/officeDocument/2006/customXml" ds:itemID="{DB028622-74BD-4354-A2E4-F1C5A827F320}">
  <ds:schemaRefs>
    <ds:schemaRef ds:uri="http://schemas.openxmlformats.org/officeDocument/2006/bibliography"/>
  </ds:schemaRefs>
</ds:datastoreItem>
</file>

<file path=customXml/itemProps6.xml><?xml version="1.0" encoding="utf-8"?>
<ds:datastoreItem xmlns:ds="http://schemas.openxmlformats.org/officeDocument/2006/customXml" ds:itemID="{6CE4E356-6096-4422-9203-05CDAD1B5D49}">
  <ds:schemaRefs>
    <ds:schemaRef ds:uri="http://schemas.openxmlformats.org/officeDocument/2006/bibliography"/>
  </ds:schemaRefs>
</ds:datastoreItem>
</file>

<file path=customXml/itemProps7.xml><?xml version="1.0" encoding="utf-8"?>
<ds:datastoreItem xmlns:ds="http://schemas.openxmlformats.org/officeDocument/2006/customXml" ds:itemID="{2BB43A27-F895-4D38-A074-D763DB05D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212</Pages>
  <Words>96394</Words>
  <Characters>549451</Characters>
  <Application>Microsoft Office Word</Application>
  <DocSecurity>8</DocSecurity>
  <Lines>4578</Lines>
  <Paragraphs>1289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644556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2013-04-18T09:10:00Z</cp:lastPrinted>
  <dcterms:created xsi:type="dcterms:W3CDTF">2013-04-29T15:29:00Z</dcterms:created>
  <dcterms:modified xsi:type="dcterms:W3CDTF">2013-04-29T15:29:00Z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